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B8860B" w:sz="18"/>
          <w:right w:val="none"/>
          <w:insideH w:val="none"/>
          <w:insideV w:val="none"/>
        </w:tblBorders>
      </w:tblPr>
      <w:tblGrid>
        <w:gridCol w:w="9360"/>
      </w:tblGrid>
      <w:tr>
        <w:trPr>
          <w:cantSplit/>
        </w:trPr>
        <w:tc>
          <w:tcPr>
            <w:tcW w:type="dxa" w:w="9360"/>
            <w:shd w:fill="1F4E9C" w:val="clear"/>
            <w:tcMar>
              <w:top w:type="dxa" w:w="90"/>
              <w:left w:type="dxa" w:w="120"/>
              <w:bottom w:type="dxa" w:w="90"/>
              <w:right w:type="dxa" w:w="120"/>
            </w:tcMar>
          </w:tcPr>
          <w:p>
            <w:pPr>
              <w:spacing w:after="40" w:before="0" w:line="276"/>
            </w:pPr>
            <w:r>
              <w:rPr>
                <w:rFonts w:ascii="Calibri" w:cs="Calibri" w:eastAsia="Calibri" w:hAnsi="Calibri"/>
                <w:b/>
                <w:bCs/>
                <w:color w:val="FFFFFF"/>
                <w:sz w:val="17"/>
                <w:szCs w:val="17"/>
              </w:rPr>
              <w:t xml:space="preserve">INVESTIGACIÓN CUANTITATIVA  ·  PROGRAMA DE MARKETING  ·  SEGUNDO CICLO  ·  2026-II</w:t>
            </w:r>
          </w:p>
          <w:p>
            <w:pPr>
              <w:spacing w:after="40" w:before="0" w:line="276"/>
            </w:pPr>
            <w:r>
              <w:rPr>
                <w:rFonts w:ascii="Calibri" w:cs="Calibri" w:eastAsia="Calibri" w:hAnsi="Calibri"/>
                <w:b/>
                <w:bCs/>
                <w:color w:val="FFFFFF"/>
                <w:sz w:val="32"/>
                <w:szCs w:val="32"/>
              </w:rPr>
              <w:t xml:space="preserve">Sesión 4  ·  Casos de análisis en clase</w:t>
            </w:r>
          </w:p>
          <w:p>
            <w:pPr>
              <w:spacing w:after="0" w:before="0" w:line="276"/>
            </w:pPr>
            <w:r>
              <w:rPr>
                <w:rFonts w:ascii="Calibri" w:cs="Calibri" w:eastAsia="Calibri" w:hAnsi="Calibri"/>
                <w:color w:val="D9E2F3"/>
                <w:sz w:val="22"/>
                <w:szCs w:val="22"/>
              </w:rPr>
              <w:t xml:space="preserve">Formulación del objetivo general y de los objetivos específicos</w:t>
            </w:r>
          </w:p>
        </w:tc>
      </w:tr>
    </w:tbl>
    <w:tbl>
      <w:tblPr>
        <w:tblW w:type="dxa" w:w="9360"/>
        <w:tblBorders>
          <w:top w:val="none"/>
          <w:left w:val="none"/>
          <w:bottom w:val="none"/>
          <w:right w:val="none"/>
          <w:insideH w:val="none"/>
          <w:insideV w:val="none"/>
        </w:tblBorders>
      </w:tblPr>
      <w:tblGrid>
        <w:gridCol w:w="3120"/>
        <w:gridCol w:w="3120"/>
        <w:gridCol w:w="3120"/>
      </w:tblGrid>
      <w:tr>
        <w:trPr>
          <w:cantSplit/>
        </w:trPr>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Docente</w:t>
            </w:r>
          </w:p>
          <w:p>
            <w:pPr>
              <w:spacing w:after="0" w:before="0" w:line="276"/>
            </w:pPr>
            <w:r>
              <w:rPr>
                <w:rFonts w:ascii="Calibri" w:cs="Calibri" w:eastAsia="Calibri" w:hAnsi="Calibri"/>
                <w:color w:val="1A1A1A"/>
                <w:sz w:val="19"/>
                <w:szCs w:val="19"/>
              </w:rPr>
              <w:t xml:space="preserve">Eduardo Luis Mamani Roque</w:t>
            </w:r>
          </w:p>
        </w:tc>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Fecha</w:t>
            </w:r>
          </w:p>
          <w:p>
            <w:pPr>
              <w:spacing w:after="0" w:before="0" w:line="276"/>
            </w:pPr>
            <w:r>
              <w:rPr>
                <w:rFonts w:ascii="Calibri" w:cs="Calibri" w:eastAsia="Calibri" w:hAnsi="Calibri"/>
                <w:color w:val="1A1A1A"/>
                <w:sz w:val="19"/>
                <w:szCs w:val="19"/>
              </w:rPr>
              <w:t xml:space="preserve">Miércoles 26 de agosto de 2026</w:t>
            </w:r>
          </w:p>
        </w:tc>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Trabajo</w:t>
            </w:r>
          </w:p>
          <w:p>
            <w:pPr>
              <w:spacing w:after="0" w:before="0" w:line="276"/>
            </w:pPr>
            <w:r>
              <w:rPr>
                <w:rFonts w:ascii="Calibri" w:cs="Calibri" w:eastAsia="Calibri" w:hAnsi="Calibri"/>
                <w:color w:val="1A1A1A"/>
                <w:sz w:val="19"/>
                <w:szCs w:val="19"/>
              </w:rPr>
              <w:t xml:space="preserve">En equipos · 60 minutos</w:t>
            </w:r>
          </w:p>
        </w:tc>
      </w:tr>
    </w:tbl>
    <w:p>
      <w:pPr>
        <w:spacing w:after="120" w:before="0" w:line="276"/>
      </w:pPr>
      <w:r>
        <w:rPr>
          <w:rFonts w:ascii="Calibri" w:cs="Calibri" w:eastAsia="Calibri" w:hAnsi="Calibri"/>
          <w:color w:val="1A1A1A"/>
          <w:sz w:val="21"/>
          <w:szCs w:val="21"/>
        </w:rPr>
        <w:t xml:space="preserve"/>
      </w:r>
    </w:p>
    <w:p>
      <w:pPr>
        <w:pStyle w:val="Heading1"/>
        <w:pBdr>
          <w:bottom w:val="single" w:color="1F4E9C" w:sz="12" w:space="4"/>
        </w:pBdr>
        <w:spacing w:after="140" w:before="260"/>
      </w:pPr>
      <w:r>
        <w:rPr>
          <w:rFonts w:ascii="Calibri" w:cs="Calibri" w:eastAsia="Calibri" w:hAnsi="Calibri"/>
          <w:b/>
          <w:bCs/>
          <w:color w:val="1F4E9C"/>
          <w:sz w:val="26"/>
          <w:szCs w:val="26"/>
        </w:rPr>
        <w:t xml:space="preserve">1. Propósito de la actividad</w:t>
      </w:r>
    </w:p>
    <w:p>
      <w:pPr>
        <w:pStyle w:val="ListParagraph"/>
        <w:numPr>
          <w:ilvl w:val="0"/>
          <w:numId w:val="2"/>
        </w:numPr>
        <w:spacing w:after="70" w:line="270"/>
      </w:pPr>
      <w:r>
        <w:rPr>
          <w:rFonts w:ascii="Calibri" w:cs="Calibri" w:eastAsia="Calibri" w:hAnsi="Calibri"/>
          <w:color w:val="1A1A1A"/>
          <w:sz w:val="21"/>
          <w:szCs w:val="21"/>
        </w:rPr>
        <w:t xml:space="preserve">Convertir el problema de investigación ya formulado en objetivos medibles.</w:t>
      </w:r>
    </w:p>
    <w:p>
      <w:pPr>
        <w:pStyle w:val="ListParagraph"/>
        <w:numPr>
          <w:ilvl w:val="0"/>
          <w:numId w:val="2"/>
        </w:numPr>
        <w:spacing w:after="70" w:line="270"/>
      </w:pPr>
      <w:r>
        <w:rPr>
          <w:rFonts w:ascii="Calibri" w:cs="Calibri" w:eastAsia="Calibri" w:hAnsi="Calibri"/>
          <w:color w:val="1A1A1A"/>
          <w:sz w:val="21"/>
          <w:szCs w:val="21"/>
        </w:rPr>
        <w:t xml:space="preserve">Distinguir los verbos de investigación de los verbos de acción comercial.</w:t>
      </w:r>
    </w:p>
    <w:p>
      <w:pPr>
        <w:pStyle w:val="ListParagraph"/>
        <w:numPr>
          <w:ilvl w:val="0"/>
          <w:numId w:val="2"/>
        </w:numPr>
        <w:spacing w:after="70" w:line="270"/>
      </w:pPr>
      <w:r>
        <w:rPr>
          <w:rFonts w:ascii="Calibri" w:cs="Calibri" w:eastAsia="Calibri" w:hAnsi="Calibri"/>
          <w:color w:val="1A1A1A"/>
          <w:sz w:val="21"/>
          <w:szCs w:val="21"/>
        </w:rPr>
        <w:t xml:space="preserve">Derivar de cada componente del problema un objetivo específico del estudio.</w:t>
      </w:r>
    </w:p>
    <w:p>
      <w:pPr>
        <w:pStyle w:val="ListParagraph"/>
        <w:numPr>
          <w:ilvl w:val="0"/>
          <w:numId w:val="2"/>
        </w:numPr>
        <w:spacing w:after="70" w:line="270"/>
      </w:pPr>
      <w:r>
        <w:rPr>
          <w:rFonts w:ascii="Calibri" w:cs="Calibri" w:eastAsia="Calibri" w:hAnsi="Calibri"/>
          <w:color w:val="1A1A1A"/>
          <w:sz w:val="21"/>
          <w:szCs w:val="21"/>
        </w:rPr>
        <w:t xml:space="preserve">Dejar listas las secciones temáticas que tendrá el cuestionario del proyecto.</w:t>
      </w:r>
    </w:p>
    <w:p>
      <w:pPr>
        <w:pStyle w:val="Heading1"/>
        <w:pBdr>
          <w:bottom w:val="single" w:color="1F4E9C" w:sz="12" w:space="4"/>
        </w:pBdr>
        <w:spacing w:after="140" w:before="260"/>
      </w:pPr>
      <w:r>
        <w:rPr>
          <w:rFonts w:ascii="Calibri" w:cs="Calibri" w:eastAsia="Calibri" w:hAnsi="Calibri"/>
          <w:b/>
          <w:bCs/>
          <w:color w:val="1F4E9C"/>
          <w:sz w:val="26"/>
          <w:szCs w:val="26"/>
        </w:rPr>
        <w:t xml:space="preserve">2. Del problema a los objetivos: la ruta metodológica</w:t>
      </w:r>
    </w:p>
    <w:tbl>
      <w:tblPr>
        <w:tblW w:type="dxa" w:w="9360"/>
        <w:tblBorders>
          <w:top w:val="none"/>
          <w:left w:val="none"/>
          <w:bottom w:val="none"/>
          <w:right w:val="none"/>
          <w:insideH w:val="none"/>
          <w:insideV w:val="none"/>
        </w:tblBorders>
      </w:tblPr>
      <w:tblGrid>
        <w:gridCol w:w="2100"/>
        <w:gridCol w:w="320"/>
        <w:gridCol w:w="2100"/>
        <w:gridCol w:w="320"/>
        <w:gridCol w:w="2100"/>
        <w:gridCol w:w="320"/>
        <w:gridCol w:w="2100"/>
      </w:tblGrid>
      <w:tr>
        <w:trPr>
          <w:cantSplit/>
          <w:trHeight w:val="900" w:hRule="atLeast"/>
        </w:trPr>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Problema (PIM)</w:t>
            </w:r>
          </w:p>
          <w:p>
            <w:pPr>
              <w:spacing w:after="0" w:before="0" w:line="276"/>
              <w:jc w:val="center"/>
            </w:pPr>
            <w:r>
              <w:rPr>
                <w:rFonts w:ascii="Calibri" w:cs="Calibri" w:eastAsia="Calibri" w:hAnsi="Calibri"/>
                <w:color w:val="33404F"/>
                <w:sz w:val="16"/>
                <w:szCs w:val="16"/>
              </w:rPr>
              <w:t xml:space="preserve">¿Qué no sabemos?</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Objetivo general</w:t>
            </w:r>
          </w:p>
          <w:p>
            <w:pPr>
              <w:spacing w:after="0" w:before="0" w:line="276"/>
              <w:jc w:val="center"/>
            </w:pPr>
            <w:r>
              <w:rPr>
                <w:rFonts w:ascii="Calibri" w:cs="Calibri" w:eastAsia="Calibri" w:hAnsi="Calibri"/>
                <w:color w:val="33404F"/>
                <w:sz w:val="16"/>
                <w:szCs w:val="16"/>
              </w:rPr>
              <w:t xml:space="preserve">El espejo del PIM</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Objetivos específicos</w:t>
            </w:r>
          </w:p>
          <w:p>
            <w:pPr>
              <w:spacing w:after="0" w:before="0" w:line="276"/>
              <w:jc w:val="center"/>
            </w:pPr>
            <w:r>
              <w:rPr>
                <w:rFonts w:ascii="Calibri" w:cs="Calibri" w:eastAsia="Calibri" w:hAnsi="Calibri"/>
                <w:color w:val="33404F"/>
                <w:sz w:val="16"/>
                <w:szCs w:val="16"/>
              </w:rPr>
              <w:t xml:space="preserve">Una dimensión cada uno</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Cuestionario</w:t>
            </w:r>
          </w:p>
          <w:p>
            <w:pPr>
              <w:spacing w:after="0" w:before="0" w:line="276"/>
              <w:jc w:val="center"/>
            </w:pPr>
            <w:r>
              <w:rPr>
                <w:rFonts w:ascii="Calibri" w:cs="Calibri" w:eastAsia="Calibri" w:hAnsi="Calibri"/>
                <w:color w:val="33404F"/>
                <w:sz w:val="16"/>
                <w:szCs w:val="16"/>
              </w:rPr>
              <w:t xml:space="preserve">Secciones y preguntas</w:t>
            </w:r>
          </w:p>
        </w:tc>
      </w:tr>
    </w:tbl>
    <w:p>
      <w:pPr>
        <w:spacing w:after="12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33404F"/>
          <w:sz w:val="23"/>
          <w:szCs w:val="23"/>
        </w:rPr>
        <w:t xml:space="preserve">2.1  Anatomía de un objetivo bien redactado</w:t>
      </w:r>
    </w:p>
    <w:p>
      <w:pPr>
        <w:spacing w:after="120" w:before="0" w:line="276"/>
      </w:pPr>
      <w:r>
        <w:rPr>
          <w:rFonts w:ascii="Calibri" w:cs="Calibri" w:eastAsia="Calibri" w:hAnsi="Calibri"/>
          <w:i/>
          <w:iCs/>
          <w:color w:val="1A1A1A"/>
          <w:sz w:val="20"/>
          <w:szCs w:val="20"/>
        </w:rPr>
        <w:t xml:space="preserve">Todo objetivo se construye con la misma fórmula. Si falta una pieza, el objetivo no se puede medir.</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600"/>
        <w:gridCol w:w="6760"/>
      </w:tblGrid>
      <w:tr>
        <w:trPr>
          <w:cantSplit/>
          <w:tblHeader/>
        </w:trPr>
        <w:tc>
          <w:tcPr>
            <w:tcW w:type="dxa" w:w="26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COMPONENTE</w:t>
            </w:r>
          </w:p>
        </w:tc>
        <w:tc>
          <w:tcPr>
            <w:tcW w:type="dxa" w:w="676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EN EL EJEMPLO RESUELTO</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1. Verbo en infinitivo</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w:t>
            </w:r>
          </w:p>
        </w:tc>
      </w:tr>
      <w:tr>
        <w:trPr>
          <w:cantSplit/>
        </w:trPr>
        <w:tc>
          <w:tcPr>
            <w:tcW w:type="dxa" w:w="26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2. Variable que se mide</w:t>
            </w:r>
          </w:p>
        </w:tc>
        <w:tc>
          <w:tcPr>
            <w:tcW w:type="dxa" w:w="67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el nivel de interés por opciones de comida saludable</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3. Unidad de análisis</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en los clientes mayores de 18 años del restaurante</w:t>
            </w:r>
          </w:p>
        </w:tc>
      </w:tr>
      <w:tr>
        <w:trPr>
          <w:cantSplit/>
        </w:trPr>
        <w:tc>
          <w:tcPr>
            <w:tcW w:type="dxa" w:w="26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4. Ámbito geográfico</w:t>
            </w:r>
          </w:p>
        </w:tc>
        <w:tc>
          <w:tcPr>
            <w:tcW w:type="dxa" w:w="67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 la ciudad de Arequipa</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5. Período de estudio</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durante septiembre de 2026</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33404F"/>
          <w:sz w:val="23"/>
          <w:szCs w:val="23"/>
        </w:rPr>
        <w:t xml:space="preserve">2.2  La regla de oro: verbos de datos, no verbos de acción</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4680"/>
        <w:gridCol w:w="4680"/>
      </w:tblGrid>
      <w:tr>
        <w:trPr>
          <w:cantSplit/>
          <w:tblHeader/>
        </w:trPr>
        <w:tc>
          <w:tcPr>
            <w:tcW w:type="dxa" w:w="4680"/>
            <w:shd w:fill="0E8F94"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VERBOS DE INVESTIGACIÓN  (correctos)</w:t>
            </w:r>
          </w:p>
        </w:tc>
        <w:tc>
          <w:tcPr>
            <w:tcW w:type="dxa" w:w="4680"/>
            <w:shd w:fill="A03B3B"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VERBOS DE ACCIÓN COMERCIAL  (incorrectos)</w:t>
            </w:r>
          </w:p>
        </w:tc>
      </w:tr>
      <w:tr>
        <w:trPr>
          <w:cantSplit/>
        </w:trPr>
        <w:tc>
          <w:tcPr>
            <w:tcW w:type="dxa" w:w="4680"/>
            <w:shd w:fill="F2F8F8"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  ·  Identificar</w:t>
            </w:r>
          </w:p>
        </w:tc>
        <w:tc>
          <w:tcPr>
            <w:tcW w:type="dxa" w:w="4680"/>
            <w:shd w:fill="FDF4F4"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Vender  ·  Incrementar</w:t>
            </w:r>
          </w:p>
        </w:tc>
      </w:tr>
      <w:tr>
        <w:trPr>
          <w:cantSplit/>
        </w:trPr>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Medir  ·  Comparar</w:t>
            </w:r>
          </w:p>
        </w:tc>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Mejorar  ·  Posicionar</w:t>
            </w:r>
          </w:p>
        </w:tc>
      </w:tr>
      <w:tr>
        <w:trPr>
          <w:cantSplit/>
        </w:trPr>
        <w:tc>
          <w:tcPr>
            <w:tcW w:type="dxa" w:w="4680"/>
            <w:shd w:fill="F2F8F8"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Establecer  ·  Analizar</w:t>
            </w:r>
          </w:p>
        </w:tc>
        <w:tc>
          <w:tcPr>
            <w:tcW w:type="dxa" w:w="4680"/>
            <w:shd w:fill="FDF4F4"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Lanzar  ·  Diseñar</w:t>
            </w:r>
          </w:p>
        </w:tc>
      </w:tr>
      <w:tr>
        <w:trPr>
          <w:cantSplit/>
        </w:trPr>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Describir  ·  Estimar</w:t>
            </w:r>
          </w:p>
        </w:tc>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Fidelizar  ·  Captar</w:t>
            </w:r>
          </w:p>
        </w:tc>
      </w:tr>
    </w:tbl>
    <w:p>
      <w:pPr>
        <w:spacing w:after="140" w:before="0" w:line="276"/>
      </w:pPr>
      <w:r>
        <w:rPr>
          <w:rFonts w:ascii="Calibri" w:cs="Calibri" w:eastAsia="Calibri" w:hAnsi="Calibri"/>
          <w:color w:val="1A1A1A"/>
          <w:sz w:val="21"/>
          <w:szCs w:val="21"/>
        </w:rPr>
        <w:t xml:space="preserve"/>
      </w:r>
    </w:p>
    <w:tbl>
      <w:tblPr>
        <w:tblW w:type="dxa" w:w="9360"/>
        <w:tblBorders>
          <w:top w:val="none"/>
          <w:left w:val="single" w:color="B8860B" w:sz="18"/>
          <w:bottom w:val="none"/>
          <w:right w:val="none"/>
          <w:insideH w:val="none"/>
          <w:insideV w:val="none"/>
        </w:tblBorders>
      </w:tblPr>
      <w:tblGrid>
        <w:gridCol w:w="9360"/>
      </w:tblGrid>
      <w:tr>
        <w:trPr>
          <w:cantSplit/>
        </w:trPr>
        <w:tc>
          <w:tcPr>
            <w:tcW w:type="dxa" w:w="9360"/>
            <w:shd w:fill="F5F7FA" w:val="clear"/>
            <w:tcMar>
              <w:top w:type="dxa" w:w="90"/>
              <w:left w:type="dxa" w:w="120"/>
              <w:bottom w:type="dxa" w:w="90"/>
              <w:right w:type="dxa" w:w="120"/>
            </w:tcMar>
          </w:tcPr>
          <w:p>
            <w:pPr>
              <w:spacing w:after="60" w:before="0" w:line="276"/>
            </w:pPr>
            <w:r>
              <w:rPr>
                <w:rFonts w:ascii="Calibri" w:cs="Calibri" w:eastAsia="Calibri" w:hAnsi="Calibri"/>
                <w:b/>
                <w:bCs/>
                <w:color w:val="B8860B"/>
                <w:sz w:val="21"/>
                <w:szCs w:val="21"/>
              </w:rPr>
              <w:t xml:space="preserve">Errores frecuentes que debes evitar</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Usar dos verbos en un mismo objetivo (“identificar y proponer”): mide una sola cosa por objetivo.</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Prometer una decisión de negocio (“aumentar las ventas en 15 %”): eso lo decide el gerente, no el estudio.</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Redactar objetivos específicos que repiten el objetivo general con otras palabras.</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Formular objetivos sobre variables que después no aparecen en el cuestionario.</w:t>
            </w:r>
          </w:p>
        </w:tc>
      </w:tr>
    </w:tbl>
    <w:p>
      <w:pPr>
        <w:spacing w:after="120" w:before="0" w:line="276"/>
      </w:pPr>
      <w:r>
        <w:rPr>
          <w:rFonts w:ascii="Calibri" w:cs="Calibri" w:eastAsia="Calibri" w:hAnsi="Calibri"/>
          <w:color w:val="1A1A1A"/>
          <w:sz w:val="21"/>
          <w:szCs w:val="21"/>
        </w:rPr>
        <w:t xml:space="preserve"/>
      </w:r>
    </w:p>
    <w:p>
      <w:pPr>
        <w:pStyle w:val="Heading1"/>
        <w:pBdr>
          <w:bottom w:val="single" w:color="1F4E9C" w:sz="12" w:space="4"/>
        </w:pBdr>
        <w:spacing w:after="140" w:before="260"/>
      </w:pPr>
      <w:r>
        <w:rPr>
          <w:rFonts w:ascii="Calibri" w:cs="Calibri" w:eastAsia="Calibri" w:hAnsi="Calibri"/>
          <w:b/>
          <w:bCs/>
          <w:color w:val="1F4E9C"/>
          <w:sz w:val="26"/>
          <w:szCs w:val="26"/>
        </w:rPr>
        <w:t xml:space="preserve">3. Ejemplo resuelto paso a paso</w:t>
      </w:r>
    </w:p>
    <w:p>
      <w:pPr>
        <w:spacing w:after="140" w:before="0" w:line="276"/>
      </w:pPr>
      <w:r>
        <w:rPr>
          <w:rFonts w:ascii="Calibri" w:cs="Calibri" w:eastAsia="Calibri" w:hAnsi="Calibri"/>
          <w:i/>
          <w:iCs/>
          <w:color w:val="1A1A1A"/>
          <w:sz w:val="20"/>
          <w:szCs w:val="20"/>
        </w:rPr>
        <w:t xml:space="preserve">Retomamos el mismo caso desarrollado en la sesión anterior: un restaurante de comida rápida de Arequipa que evalúa incorporar una línea de opciones saludables (ensaladas, wraps y bowls).</w:t>
      </w:r>
    </w:p>
    <w:p>
      <w:pPr>
        <w:pStyle w:val="Heading2"/>
        <w:spacing w:after="110" w:before="220"/>
      </w:pPr>
      <w:r>
        <w:rPr>
          <w:rFonts w:ascii="Calibri" w:cs="Calibri" w:eastAsia="Calibri" w:hAnsi="Calibri"/>
          <w:b/>
          <w:bCs/>
          <w:color w:val="1F4E9C"/>
          <w:sz w:val="23"/>
          <w:szCs w:val="23"/>
        </w:rPr>
        <w:t xml:space="preserve">Paso 1.  Decisión gerencial identificada</w:t>
      </w:r>
    </w:p>
    <w:p>
      <w:pPr>
        <w:shd w:fill="F5F7FA" w:val="clear"/>
        <w:spacing w:after="140" w:before="0" w:line="276"/>
      </w:pPr>
      <w:r>
        <w:rPr>
          <w:rFonts w:ascii="Calibri" w:cs="Calibri" w:eastAsia="Calibri" w:hAnsi="Calibri"/>
          <w:color w:val="1A1A1A"/>
          <w:sz w:val="21"/>
          <w:szCs w:val="21"/>
        </w:rPr>
        <w:t xml:space="preserve">Determinar si resulta conveniente incorporar una línea de opciones saludables en la carta del restaurante.</w:t>
      </w:r>
    </w:p>
    <w:p>
      <w:pPr>
        <w:pStyle w:val="Heading2"/>
        <w:spacing w:after="110" w:before="220"/>
      </w:pPr>
      <w:r>
        <w:rPr>
          <w:rFonts w:ascii="Calibri" w:cs="Calibri" w:eastAsia="Calibri" w:hAnsi="Calibri"/>
          <w:b/>
          <w:bCs/>
          <w:color w:val="1F4E9C"/>
          <w:sz w:val="23"/>
          <w:szCs w:val="23"/>
        </w:rPr>
        <w:t xml:space="preserve">Paso 2.  Problema de investigación de mercados (ya formulado)</w:t>
      </w:r>
    </w:p>
    <w:p>
      <w:pPr>
        <w:shd w:fill="F5F7FA" w:val="clear"/>
        <w:spacing w:after="140" w:before="0" w:line="276"/>
      </w:pPr>
      <w:r>
        <w:rPr>
          <w:rFonts w:ascii="Calibri" w:cs="Calibri" w:eastAsia="Calibri" w:hAnsi="Calibri"/>
          <w:color w:val="1A1A1A"/>
          <w:sz w:val="21"/>
          <w:szCs w:val="21"/>
        </w:rPr>
        <w:t xml:space="preserve">¿Cuál es el nivel de interés, la frecuencia de consumo, la preferencia por tipos de productos y la disposición de pago de los clientes mayores de 18 años del restaurante en la ciudad de Arequipa durante septiembre de 2026, respecto a las opciones de comida saludable, para determinar la conveniencia de incorporar una nueva línea de productos saludables en la carta?</w:t>
      </w:r>
    </w:p>
    <w:p>
      <w:pPr>
        <w:pStyle w:val="Heading2"/>
        <w:spacing w:after="110" w:before="220"/>
      </w:pPr>
      <w:r>
        <w:rPr>
          <w:rFonts w:ascii="Calibri" w:cs="Calibri" w:eastAsia="Calibri" w:hAnsi="Calibri"/>
          <w:b/>
          <w:bCs/>
          <w:color w:val="1F4E9C"/>
          <w:sz w:val="23"/>
          <w:szCs w:val="23"/>
        </w:rPr>
        <w:t xml:space="preserve">Paso 3.  Objetivo general: el espejo del problema</w:t>
      </w:r>
    </w:p>
    <w:p>
      <w:pPr>
        <w:spacing w:after="100" w:before="0" w:line="276"/>
      </w:pPr>
      <w:r>
        <w:rPr>
          <w:rFonts w:ascii="Calibri" w:cs="Calibri" w:eastAsia="Calibri" w:hAnsi="Calibri"/>
          <w:i/>
          <w:iCs/>
          <w:color w:val="1A1A1A"/>
          <w:sz w:val="20"/>
          <w:szCs w:val="20"/>
        </w:rPr>
        <w:t xml:space="preserve">Se toma el enunciado del problema, se retira el signo de interrogación y se reemplaza “¿Cuál es…?” por un verbo en infinitivo. El contenido no cambia: cambia la forma.</w:t>
      </w:r>
    </w:p>
    <w:tbl>
      <w:tblPr>
        <w:tblW w:type="dxa" w:w="9360"/>
        <w:tblBorders>
          <w:top w:val="single" w:color="1F4E9C" w:sz="8"/>
          <w:left w:val="single" w:color="1F4E9C" w:sz="24"/>
          <w:bottom w:val="single" w:color="1F4E9C" w:sz="8"/>
          <w:right w:val="single" w:color="1F4E9C" w:sz="8"/>
          <w:insideH w:val="none"/>
          <w:insideV w:val="none"/>
        </w:tblBorders>
      </w:tblPr>
      <w:tblGrid>
        <w:gridCol w:w="9360"/>
      </w:tblGrid>
      <w:tr>
        <w:trPr>
          <w:cantSplit/>
        </w:trPr>
        <w:tc>
          <w:tcPr>
            <w:tcW w:type="dxa" w:w="936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21"/>
                <w:szCs w:val="21"/>
              </w:rPr>
              <w:t xml:space="preserve">Determinar </w:t>
            </w:r>
            <w:r>
              <w:rPr>
                <w:rFonts w:ascii="Calibri" w:cs="Calibri" w:eastAsia="Calibri" w:hAnsi="Calibri"/>
                <w:color w:val="1A1A1A"/>
                <w:sz w:val="21"/>
                <w:szCs w:val="21"/>
              </w:rPr>
              <w:t xml:space="preserve">el nivel de interés, la frecuencia de consumo, la preferencia por tipos de productos y la disposición de pago respecto a las opciones de comida saludable, en los clientes mayores de 18 años del restaurante de la ciudad de Arequipa, durante septiembre de 2026.</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1F4E9C"/>
          <w:sz w:val="23"/>
          <w:szCs w:val="23"/>
        </w:rPr>
        <w:t xml:space="preserve">Paso 4.  Objetivos específicos: una dimensión cada uno</w:t>
      </w:r>
    </w:p>
    <w:p>
      <w:pPr>
        <w:spacing w:after="100" w:before="0" w:line="276"/>
      </w:pPr>
      <w:r>
        <w:rPr>
          <w:rFonts w:ascii="Calibri" w:cs="Calibri" w:eastAsia="Calibri" w:hAnsi="Calibri"/>
          <w:i/>
          <w:iCs/>
          <w:color w:val="1A1A1A"/>
          <w:sz w:val="20"/>
          <w:szCs w:val="20"/>
        </w:rPr>
        <w:t xml:space="preserve">Cada objetivo específico toma una sola variable del problema y se convierte, más adelante, en una sección del cuestionario.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700"/>
        <w:gridCol w:w="6460"/>
        <w:gridCol w:w="2200"/>
      </w:tblGrid>
      <w:tr>
        <w:trPr>
          <w:cantSplit/>
          <w:tblHeader/>
        </w:trPr>
        <w:tc>
          <w:tcPr>
            <w:tcW w:type="dxa" w:w="7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Nº</w:t>
            </w:r>
          </w:p>
        </w:tc>
        <w:tc>
          <w:tcPr>
            <w:tcW w:type="dxa" w:w="646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REDACCIÓN DEL OBJETIVO ESPECÍFICO</w:t>
            </w:r>
          </w:p>
        </w:tc>
        <w:tc>
          <w:tcPr>
            <w:tcW w:type="dxa" w:w="22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DIMENSIÓN</w:t>
            </w:r>
          </w:p>
        </w:tc>
      </w:tr>
      <w:tr>
        <w:trPr>
          <w:cantSplit/>
        </w:trPr>
        <w:tc>
          <w:tcPr>
            <w:tcW w:type="dxa" w:w="7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1</w:t>
            </w:r>
          </w:p>
        </w:tc>
        <w:tc>
          <w:tcPr>
            <w:tcW w:type="dxa" w:w="64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Identificar el perfil demográfico y los hábitos de consumo de comida saludable de los clientes del restaurante.</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Segmentación</w:t>
            </w:r>
          </w:p>
        </w:tc>
      </w:tr>
      <w:tr>
        <w:trPr>
          <w:cantSplit/>
        </w:trPr>
        <w:tc>
          <w:tcPr>
            <w:tcW w:type="dxa" w:w="7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2</w:t>
            </w:r>
          </w:p>
        </w:tc>
        <w:tc>
          <w:tcPr>
            <w:tcW w:type="dxa" w:w="64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 el nivel de aceptación de cada alternativa saludable propuesta: ensaladas, wraps y bowls.</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Producto</w:t>
            </w:r>
          </w:p>
        </w:tc>
      </w:tr>
      <w:tr>
        <w:trPr>
          <w:cantSplit/>
        </w:trPr>
        <w:tc>
          <w:tcPr>
            <w:tcW w:type="dxa" w:w="7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3</w:t>
            </w:r>
          </w:p>
        </w:tc>
        <w:tc>
          <w:tcPr>
            <w:tcW w:type="dxa" w:w="64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Establecer el rango de precios que los clientes están dispuestos a pagar por cada alternativa saludable.</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Precio</w:t>
            </w:r>
          </w:p>
        </w:tc>
      </w:tr>
      <w:tr>
        <w:trPr>
          <w:cantSplit/>
        </w:trPr>
        <w:tc>
          <w:tcPr>
            <w:tcW w:type="dxa" w:w="7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4</w:t>
            </w:r>
          </w:p>
        </w:tc>
        <w:tc>
          <w:tcPr>
            <w:tcW w:type="dxa" w:w="64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Medir la intención de compra de la nueva línea saludable durante los próximos tres meses.</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Demanda potencial</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1F4E9C"/>
          <w:sz w:val="23"/>
          <w:szCs w:val="23"/>
        </w:rPr>
        <w:t xml:space="preserve">Paso 5.  Verificación: del objetivo a la pregunta del cuestionario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1100"/>
        <w:gridCol w:w="3400"/>
        <w:gridCol w:w="2200"/>
        <w:gridCol w:w="2660"/>
      </w:tblGrid>
      <w:tr>
        <w:trPr>
          <w:cantSplit/>
          <w:tblHeader/>
        </w:trPr>
        <w:tc>
          <w:tcPr>
            <w:tcW w:type="dxa" w:w="11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OBJETIVO</w:t>
            </w:r>
          </w:p>
        </w:tc>
        <w:tc>
          <w:tcPr>
            <w:tcW w:type="dxa" w:w="34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VARIABLE QUE SE MIDE</w:t>
            </w:r>
          </w:p>
        </w:tc>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ESCALA</w:t>
            </w:r>
          </w:p>
        </w:tc>
        <w:tc>
          <w:tcPr>
            <w:tcW w:type="dxa" w:w="266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SECCIÓN DEL CUESTIONARIO</w:t>
            </w:r>
          </w:p>
        </w:tc>
      </w:tr>
      <w:tr>
        <w:trPr>
          <w:cantSplit/>
        </w:trPr>
        <w:tc>
          <w:tcPr>
            <w:tcW w:type="dxa" w:w="11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1</w:t>
            </w:r>
          </w:p>
        </w:tc>
        <w:tc>
          <w:tcPr>
            <w:tcW w:type="dxa" w:w="34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Edad, sexo, frecuencia de consumo</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Razón / nominal</w:t>
            </w:r>
          </w:p>
        </w:tc>
        <w:tc>
          <w:tcPr>
            <w:tcW w:type="dxa" w:w="266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A: filtro y perfil</w:t>
            </w:r>
          </w:p>
        </w:tc>
      </w:tr>
      <w:tr>
        <w:trPr>
          <w:cantSplit/>
        </w:trPr>
        <w:tc>
          <w:tcPr>
            <w:tcW w:type="dxa" w:w="11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2</w:t>
            </w:r>
          </w:p>
        </w:tc>
        <w:tc>
          <w:tcPr>
            <w:tcW w:type="dxa" w:w="34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Agrado por cada alternativa</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Likert de 5 puntos</w:t>
            </w:r>
          </w:p>
        </w:tc>
        <w:tc>
          <w:tcPr>
            <w:tcW w:type="dxa" w:w="266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B: producto</w:t>
            </w:r>
          </w:p>
        </w:tc>
      </w:tr>
      <w:tr>
        <w:trPr>
          <w:cantSplit/>
        </w:trPr>
        <w:tc>
          <w:tcPr>
            <w:tcW w:type="dxa" w:w="11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3</w:t>
            </w:r>
          </w:p>
        </w:tc>
        <w:tc>
          <w:tcPr>
            <w:tcW w:type="dxa" w:w="34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Precio dispuesto a pagar</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Razón (soles)</w:t>
            </w:r>
          </w:p>
        </w:tc>
        <w:tc>
          <w:tcPr>
            <w:tcW w:type="dxa" w:w="266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C: precio</w:t>
            </w:r>
          </w:p>
        </w:tc>
      </w:tr>
      <w:tr>
        <w:trPr>
          <w:cantSplit/>
        </w:trPr>
        <w:tc>
          <w:tcPr>
            <w:tcW w:type="dxa" w:w="11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4</w:t>
            </w:r>
          </w:p>
        </w:tc>
        <w:tc>
          <w:tcPr>
            <w:tcW w:type="dxa" w:w="34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Intención de compra</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Likert de 5 puntos</w:t>
            </w:r>
          </w:p>
        </w:tc>
        <w:tc>
          <w:tcPr>
            <w:tcW w:type="dxa" w:w="266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D: intención</w:t>
            </w:r>
          </w:p>
        </w:tc>
      </w:tr>
    </w:tbl>
    <w:p>
      <w:pPr>
        <w:spacing w:after="120" w:before="0" w:line="276"/>
      </w:pPr>
      <w:r>
        <w:rPr>
          <w:rFonts w:ascii="Calibri" w:cs="Calibri" w:eastAsia="Calibri" w:hAnsi="Calibri"/>
          <w:color w:val="1A1A1A"/>
          <w:sz w:val="21"/>
          <w:szCs w:val="21"/>
        </w:rPr>
        <w:t xml:space="preserve"/>
      </w:r>
    </w:p>
    <w:tbl>
      <w:tblPr>
        <w:tblW w:type="dxa" w:w="9360"/>
        <w:tblBorders>
          <w:top w:val="none"/>
          <w:left w:val="single" w:color="0E8F94" w:sz="18"/>
          <w:bottom w:val="none"/>
          <w:right w:val="none"/>
          <w:insideH w:val="none"/>
          <w:insideV w:val="none"/>
        </w:tblBorders>
      </w:tblPr>
      <w:tblGrid>
        <w:gridCol w:w="9360"/>
      </w:tblGrid>
      <w:tr>
        <w:trPr>
          <w:cantSplit/>
        </w:trPr>
        <w:tc>
          <w:tcPr>
            <w:tcW w:type="dxa" w:w="9360"/>
            <w:shd w:fill="F5F7FA" w:val="clear"/>
            <w:tcMar>
              <w:top w:type="dxa" w:w="90"/>
              <w:left w:type="dxa" w:w="120"/>
              <w:bottom w:type="dxa" w:w="90"/>
              <w:right w:type="dxa" w:w="120"/>
            </w:tcMar>
          </w:tcPr>
          <w:p>
            <w:pPr>
              <w:spacing w:after="60" w:before="0" w:line="276"/>
            </w:pPr>
            <w:r>
              <w:rPr>
                <w:rFonts w:ascii="Calibri" w:cs="Calibri" w:eastAsia="Calibri" w:hAnsi="Calibri"/>
                <w:b/>
                <w:bCs/>
                <w:color w:val="0E8F94"/>
                <w:sz w:val="21"/>
                <w:szCs w:val="21"/>
              </w:rPr>
              <w:t xml:space="preserve">Prueba de coherencia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Si un objetivo específico no genera al menos una pregunta del cuestionario, sobra.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Si una pregunta del cuestionario no responde a ningún objetivo, elimínala.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La suma de los objetivos específicos debe cubrir por completo el objetivo general.</w:t>
            </w:r>
          </w:p>
        </w:tc>
      </w:tr>
    </w:tbl>
    <w:p>
      <w:r>
        <w:br w:type="page"/>
      </w:r>
    </w:p>
    <w:p>
      <w:pPr>
        <w:pStyle w:val="Heading1"/>
        <w:pBdr>
          <w:bottom w:val="single" w:color="1F4E9C" w:sz="12" w:space="4"/>
        </w:pBdr>
        <w:spacing w:after="140" w:before="260"/>
      </w:pPr>
      <w:r>
        <w:rPr>
          <w:rFonts w:ascii="Calibri" w:cs="Calibri" w:eastAsia="Calibri" w:hAnsi="Calibri"/>
          <w:b/>
          <w:bCs/>
          <w:color w:val="1F4E9C"/>
          <w:sz w:val="26"/>
          <w:szCs w:val="26"/>
        </w:rPr>
        <w:t xml:space="preserve">4. Casos para trabajar en clase</w:t>
      </w:r>
    </w:p>
    <w:p>
      <w:pPr>
        <w:spacing w:after="160" w:before="0" w:line="276"/>
      </w:pPr>
      <w:r>
        <w:rPr>
          <w:rFonts w:ascii="Calibri" w:cs="Calibri" w:eastAsia="Calibri" w:hAnsi="Calibri"/>
          <w:color w:val="1A1A1A"/>
          <w:sz w:val="20"/>
          <w:szCs w:val="20"/>
        </w:rPr>
        <w:t xml:space="preserve">Instrucciones: cada equipo desarrolla el caso asignado. El problema de investigación ya está formulado; su tarea es redactar el objetivo general y cuatro objetivos específicos siguiendo la fórmula de la sección 2.1. Verifiquen los verbos antes de escribir.</w:t>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1  ·  Gloria — nueva presentación de leche para universitarios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Gloria evalúa lanzar una nueva presentación de leche dirigida a jóvenes universitarios, con un envase individual y un precio accesible. Antes de realizar el lanzamiento, la empresa necesita conocer las preferencias de los estudiantes respecto al tamaño, precio, sabor y frecuencia de consumo.</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existe suficiente aceptación para lanzar la nueva presentación individual dirigida a estudiantes universitarios.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el nivel de aceptación, la frecuencia de consumo, la preferencia de sabor y tamaño, y la disposición de pago respecto a una nueva presentación individual de leche, en los estudiantes universitarios de 18 a 25 años de la ciudad de Arequipa durante septiembre de 2026, para decidir si conviene lanzar dicha presentación?</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y momento de consumo de leche.</w:t>
      </w:r>
    </w:p>
    <w:p>
      <w:pPr>
        <w:pStyle w:val="ListParagraph"/>
        <w:numPr>
          <w:ilvl w:val="0"/>
          <w:numId w:val="2"/>
        </w:numPr>
        <w:spacing w:after="70" w:line="270"/>
      </w:pPr>
      <w:r>
        <w:rPr>
          <w:rFonts w:ascii="Calibri" w:cs="Calibri" w:eastAsia="Calibri" w:hAnsi="Calibri"/>
          <w:color w:val="1A1A1A"/>
          <w:sz w:val="19"/>
          <w:szCs w:val="19"/>
        </w:rPr>
        <w:t xml:space="preserve">Producto: preferencia de sabor, tamaño y tipo de envase.</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presentación individual.</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compra de la nueva presentación.</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2  ·  Cineplanet — promoción para estudiantes universitarios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Cineplanet evalúa implementar una promoción especial para estudiantes universitarios durante determinados días de la semana. Antes de lanzar la promoción, necesita conocer la frecuencia con la que los estudiantes asisten al cine, cuánto están dispuestos a pagar y qué tipo de promociones consideran más atractivas.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resulta conveniente implementar una promoción dirigida a estudiantes en los días de menor afluencia.</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la frecuencia de asistencia al cine, la disposición de pago por la entrada y el tipo de promoción preferida por los estudiantes universitarios de 18 a 25 años de la ciudad de Arequipa durante septiembre de 2026, para decidir si conviene implementar una promoción dirigida a este segmento?</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asistencia y día preferido.</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entrada con y sin promoción.</w:t>
      </w:r>
    </w:p>
    <w:p>
      <w:pPr>
        <w:pStyle w:val="ListParagraph"/>
        <w:numPr>
          <w:ilvl w:val="0"/>
          <w:numId w:val="2"/>
        </w:numPr>
        <w:spacing w:after="70" w:line="270"/>
      </w:pPr>
      <w:r>
        <w:rPr>
          <w:rFonts w:ascii="Calibri" w:cs="Calibri" w:eastAsia="Calibri" w:hAnsi="Calibri"/>
          <w:color w:val="1A1A1A"/>
          <w:sz w:val="19"/>
          <w:szCs w:val="19"/>
        </w:rPr>
        <w:t xml:space="preserve">Promoción: tipo de beneficio más valorado (2x1, combo, descuento).</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asistir bajo la promoción evaluada.</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3  ·  Plaza Vea — compras a través del aplicativo móvil</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Plaza Vea busca incrementar las compras realizadas mediante su aplicativo móvil. Para ello, necesita conocer con qué frecuencia sus clientes utilizan el aplicativo, cuáles son las principales dificultades que encuentran y qué factores podrían motivarlos a realizar más compras mediante este canal.</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Definir qué acciones implementar para incrementar las compras realizadas mediante el aplicativo móvil.</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la frecuencia de uso, el nivel de satisfacción, las dificultades percibidas y los factores motivadores del aplicativo móvil, en los clientes mayores de 18 años de Plaza Vea en la ciudad de Arequipa durante septiembre de 2026, para definir las acciones que incrementen las compras por este canal?</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uso del aplicativo y tipo de compra.</w:t>
      </w:r>
    </w:p>
    <w:p>
      <w:pPr>
        <w:pStyle w:val="ListParagraph"/>
        <w:numPr>
          <w:ilvl w:val="0"/>
          <w:numId w:val="2"/>
        </w:numPr>
        <w:spacing w:after="70" w:line="270"/>
      </w:pPr>
      <w:r>
        <w:rPr>
          <w:rFonts w:ascii="Calibri" w:cs="Calibri" w:eastAsia="Calibri" w:hAnsi="Calibri"/>
          <w:color w:val="1A1A1A"/>
          <w:sz w:val="19"/>
          <w:szCs w:val="19"/>
        </w:rPr>
        <w:t xml:space="preserve">Experiencia de uso: dificultades percibidas en el proceso de compra.</w:t>
      </w:r>
    </w:p>
    <w:p>
      <w:pPr>
        <w:pStyle w:val="ListParagraph"/>
        <w:numPr>
          <w:ilvl w:val="0"/>
          <w:numId w:val="2"/>
        </w:numPr>
        <w:spacing w:after="70" w:line="270"/>
      </w:pPr>
      <w:r>
        <w:rPr>
          <w:rFonts w:ascii="Calibri" w:cs="Calibri" w:eastAsia="Calibri" w:hAnsi="Calibri"/>
          <w:color w:val="1A1A1A"/>
          <w:sz w:val="19"/>
          <w:szCs w:val="19"/>
        </w:rPr>
        <w:t xml:space="preserve">Satisfacción: nivel de satisfacción con el canal digital.</w:t>
      </w:r>
    </w:p>
    <w:p>
      <w:pPr>
        <w:pStyle w:val="ListParagraph"/>
        <w:numPr>
          <w:ilvl w:val="0"/>
          <w:numId w:val="2"/>
        </w:numPr>
        <w:spacing w:after="70" w:line="270"/>
      </w:pPr>
      <w:r>
        <w:rPr>
          <w:rFonts w:ascii="Calibri" w:cs="Calibri" w:eastAsia="Calibri" w:hAnsi="Calibri"/>
          <w:color w:val="1A1A1A"/>
          <w:sz w:val="19"/>
          <w:szCs w:val="19"/>
        </w:rPr>
        <w:t xml:space="preserve">Factores motivadores: incentivos que elevarían la frecuencia de compra.</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4  ·  Cadena de pollerías — ampliación del servicio de delivery</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Una cadena de pollerías de Arequipa ha observado un incremento en los pedidos mediante delivery y evalúa ampliar este servicio hacia nuevos distritos. Antes de realizar la inversión, necesita conocer la frecuencia de pedidos, el tiempo de entrega esperado, el precio que los clientes están dispuestos a pagar por el servicio y los principales factores que influyen en su elección.</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resulta conveniente ampliar la cobertura del servicio de delivery hacia nuevos distritos.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la frecuencia de pedidos por delivery, el tiempo de entrega esperado, la disposición de pago por el servicio y los factores de elección del proveedor, en los residentes de 18 a 60 años de los distritos evaluados de la ciudad de Arequipa durante septiembre de 2026, para decidir si conviene ampliar la cobertura del delivery?</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pedidos y ocasión de consumo.</w:t>
      </w:r>
    </w:p>
    <w:p>
      <w:pPr>
        <w:pStyle w:val="ListParagraph"/>
        <w:numPr>
          <w:ilvl w:val="0"/>
          <w:numId w:val="2"/>
        </w:numPr>
        <w:spacing w:after="70" w:line="270"/>
      </w:pPr>
      <w:r>
        <w:rPr>
          <w:rFonts w:ascii="Calibri" w:cs="Calibri" w:eastAsia="Calibri" w:hAnsi="Calibri"/>
          <w:color w:val="1A1A1A"/>
          <w:sz w:val="19"/>
          <w:szCs w:val="19"/>
        </w:rPr>
        <w:t xml:space="preserve">Servicio: tiempo de entrega esperado y horario de mayor demanda.</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el costo de envío.</w:t>
      </w:r>
    </w:p>
    <w:p>
      <w:pPr>
        <w:pStyle w:val="ListParagraph"/>
        <w:numPr>
          <w:ilvl w:val="0"/>
          <w:numId w:val="2"/>
        </w:numPr>
        <w:spacing w:after="70" w:line="270"/>
      </w:pPr>
      <w:r>
        <w:rPr>
          <w:rFonts w:ascii="Calibri" w:cs="Calibri" w:eastAsia="Calibri" w:hAnsi="Calibri"/>
          <w:color w:val="1A1A1A"/>
          <w:sz w:val="19"/>
          <w:szCs w:val="19"/>
        </w:rPr>
        <w:t xml:space="preserve">Posicionamiento: factores que influyen en la elección del proveedor.</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5  ·  Universidad — cursos en modalidad completamente virtual</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Una universidad evalúa ofrecer determinados cursos de manera completamente virtual. Antes de implementar esta modalidad, necesita conocer las preferencias de los estudiantes, su disposición para llevar cursos virtuales y los factores que consideran importantes para elegir entre clases presenciales y virtuales.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Definir qué cursos podrían ofrecerse bajo una modalidad completamente virtual.</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la preferencia de modalidad, la disposición a llevar cursos virtuales y la importancia asignada a los factores de elección entre lo presencial y lo virtual, en los estudiantes matriculados de la universidad en la ciudad de Arequipa durante septiembre de 2026, para definir qué cursos pueden ofrecerse de manera completamente virtual?</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condiciones de conectividad y horario disponible.</w:t>
      </w:r>
    </w:p>
    <w:p>
      <w:pPr>
        <w:pStyle w:val="ListParagraph"/>
        <w:numPr>
          <w:ilvl w:val="0"/>
          <w:numId w:val="2"/>
        </w:numPr>
        <w:spacing w:after="70" w:line="270"/>
      </w:pPr>
      <w:r>
        <w:rPr>
          <w:rFonts w:ascii="Calibri" w:cs="Calibri" w:eastAsia="Calibri" w:hAnsi="Calibri"/>
          <w:color w:val="1A1A1A"/>
          <w:sz w:val="19"/>
          <w:szCs w:val="19"/>
        </w:rPr>
        <w:t xml:space="preserve">Preferencia: modalidad preferida por tipo de curso.</w:t>
      </w:r>
    </w:p>
    <w:p>
      <w:pPr>
        <w:pStyle w:val="ListParagraph"/>
        <w:numPr>
          <w:ilvl w:val="0"/>
          <w:numId w:val="2"/>
        </w:numPr>
        <w:spacing w:after="70" w:line="270"/>
      </w:pPr>
      <w:r>
        <w:rPr>
          <w:rFonts w:ascii="Calibri" w:cs="Calibri" w:eastAsia="Calibri" w:hAnsi="Calibri"/>
          <w:color w:val="1A1A1A"/>
          <w:sz w:val="19"/>
          <w:szCs w:val="19"/>
        </w:rPr>
        <w:t xml:space="preserve">Factores de elección: importancia de interacción, horario y costo.</w:t>
      </w:r>
    </w:p>
    <w:p>
      <w:pPr>
        <w:pStyle w:val="ListParagraph"/>
        <w:numPr>
          <w:ilvl w:val="0"/>
          <w:numId w:val="2"/>
        </w:numPr>
        <w:spacing w:after="70" w:line="270"/>
      </w:pPr>
      <w:r>
        <w:rPr>
          <w:rFonts w:ascii="Calibri" w:cs="Calibri" w:eastAsia="Calibri" w:hAnsi="Calibri"/>
          <w:color w:val="1A1A1A"/>
          <w:sz w:val="19"/>
          <w:szCs w:val="19"/>
        </w:rPr>
        <w:t xml:space="preserve">Disposición: intención de matrícula en cursos virtuales.</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6  ·  Gimnasio — nueva membresía para jóvenes de 18 a 25 años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 gimnasio evalúa crear una nueva membresía dirigida a jóvenes de 18 a 25 años, que incluya acceso durante horarios específicos y asesoría básica de entrenamiento. Antes de lanzar el nuevo plan, necesita conocer la frecuencia con la que los jóvenes realizan actividad física, cuánto estarían dispuestos a pagar y qué beneficios consideran más importantes.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existe suficiente demanda para implementar la nueva membresía dirigida a jóvenes.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40" w:before="0" w:line="276"/>
      </w:pPr>
      <w:r>
        <w:rPr>
          <w:rFonts w:ascii="Calibri" w:cs="Calibri" w:eastAsia="Calibri" w:hAnsi="Calibri"/>
          <w:color w:val="1A1A1A"/>
          <w:sz w:val="20"/>
          <w:szCs w:val="20"/>
        </w:rPr>
        <w:t xml:space="preserve">¿Cuál es la frecuencia de actividad física, la disposición de pago mensual y la importancia asignada a los beneficios de una membresía, en los jóvenes de 18 a 25 años de la ciudad de Arequipa durante septiembre de 2026, para decidir si existe demanda suficiente para lanzar un nuevo plan de membresía?</w:t>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y horario de actividad física.</w:t>
      </w:r>
    </w:p>
    <w:p>
      <w:pPr>
        <w:pStyle w:val="ListParagraph"/>
        <w:numPr>
          <w:ilvl w:val="0"/>
          <w:numId w:val="2"/>
        </w:numPr>
        <w:spacing w:after="70" w:line="270"/>
      </w:pPr>
      <w:r>
        <w:rPr>
          <w:rFonts w:ascii="Calibri" w:cs="Calibri" w:eastAsia="Calibri" w:hAnsi="Calibri"/>
          <w:color w:val="1A1A1A"/>
          <w:sz w:val="19"/>
          <w:szCs w:val="19"/>
        </w:rPr>
        <w:t xml:space="preserve">Producto: beneficios más valorados del plan (horario, asesoría, clases).</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membresía mensual.</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afiliación al nuevo plan.</w:t>
      </w:r>
    </w:p>
    <w:p>
      <w:pPr>
        <w:spacing w:after="10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140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115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r>
        <w:br w:type="page"/>
      </w:r>
    </w:p>
    <w:p>
      <w:pPr>
        <w:pStyle w:val="Heading1"/>
        <w:pBdr>
          <w:bottom w:val="single" w:color="1F4E9C" w:sz="12" w:space="4"/>
        </w:pBdr>
        <w:spacing w:after="140" w:before="260"/>
      </w:pPr>
      <w:r>
        <w:rPr>
          <w:rFonts w:ascii="Calibri" w:cs="Calibri" w:eastAsia="Calibri" w:hAnsi="Calibri"/>
          <w:b/>
          <w:bCs/>
          <w:color w:val="1F4E9C"/>
          <w:sz w:val="26"/>
          <w:szCs w:val="26"/>
        </w:rPr>
        <w:t xml:space="preserve">5. Lista de cotejo antes de entregar</w:t>
      </w:r>
    </w:p>
    <w:p>
      <w:pPr>
        <w:spacing w:after="140" w:before="0" w:line="276"/>
      </w:pPr>
      <w:r>
        <w:rPr>
          <w:rFonts w:ascii="Calibri" w:cs="Calibri" w:eastAsia="Calibri" w:hAnsi="Calibri"/>
          <w:color w:val="1A1A1A"/>
          <w:sz w:val="20"/>
          <w:szCs w:val="20"/>
        </w:rPr>
        <w:t xml:space="preserve">Revisa cada punto con tu equipo. Un objetivo que no cumple los seis criterios debe reescribirse.</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8400"/>
        <w:gridCol w:w="960"/>
      </w:tblGrid>
      <w:tr>
        <w:trPr>
          <w:cantSplit/>
          <w:tblHeader/>
        </w:trPr>
        <w:tc>
          <w:tcPr>
            <w:tcW w:type="dxa" w:w="84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CRITERIO</w:t>
            </w:r>
          </w:p>
        </w:tc>
        <w:tc>
          <w:tcPr>
            <w:tcW w:type="dxa" w:w="960"/>
            <w:shd w:fill="33404F" w:val="clear"/>
            <w:tcMar>
              <w:top w:type="dxa" w:w="90"/>
              <w:left w:type="dxa" w:w="120"/>
              <w:bottom w:type="dxa" w:w="90"/>
              <w:right w:type="dxa" w:w="120"/>
            </w:tcMar>
          </w:tcPr>
          <w:p>
            <w:pPr>
              <w:spacing w:after="0" w:before="0" w:line="276"/>
              <w:jc w:val="center"/>
            </w:pPr>
            <w:r>
              <w:rPr>
                <w:rFonts w:ascii="Calibri" w:cs="Calibri" w:eastAsia="Calibri" w:hAnsi="Calibri"/>
                <w:b/>
                <w:bCs/>
                <w:color w:val="FFFFFF"/>
                <w:sz w:val="18"/>
                <w:szCs w:val="18"/>
              </w:rPr>
              <w:t xml:space="preserve">SÍ / NO</w:t>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El objetivo general responde exactamente al problema de investigación formulado.</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inicia con un solo verbo en infinitivo de investigación.</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Ningún objetivo contiene verbos de acción comercial (vender, mejorar, posicionar, lanzar).</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indica la variable, la unidad de análisis, el ámbito y el período.</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Los cuatro objetivos específicos cubren dimensiones distintas y no se repiten entre sí.</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específico puede traducirse en al menos una pregunta del cuestionario.</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6" w:sz="6" w:space="6"/>
      </w:pBdr>
      <w:jc w:val="right"/>
    </w:pPr>
    <w:r>
      <w:rPr>
        <w:rFonts w:ascii="Calibri" w:cs="Calibri" w:eastAsia="Calibri" w:hAnsi="Calibri"/>
        <w:color w:val="7A8699"/>
        <w:sz w:val="16"/>
        <w:szCs w:val="16"/>
      </w:rPr>
      <w:t xml:space="preserve">Investigación Cuantitativa · Sesión 4 · Objetivos de investigación          </w:t>
    </w:r>
    <w:r>
      <w:rPr>
        <w:rFonts w:ascii="Calibri" w:cs="Calibri" w:eastAsia="Calibri" w:hAnsi="Calibri"/>
        <w:b/>
        <w:bCs/>
        <w:color w:val="1F4E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4E9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2026-08-26T18:40:36.842Z</dcterms:created>
  <dcterms:modified xsi:type="dcterms:W3CDTF">2026-08-26T18:40:36.842Z</dcterms:modified>
</cp:coreProperties>
</file>

<file path=docProps/custom.xml><?xml version="1.0" encoding="utf-8"?>
<Properties xmlns="http://schemas.openxmlformats.org/officeDocument/2006/custom-properties" xmlns:vt="http://schemas.openxmlformats.org/officeDocument/2006/docPropsVTypes"/>
</file>