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sz w:val="20"/>
        </w:rPr>
        <w:t>Tabela 1 – Receita per capita de ISS e cota-parte do ICMS (2025) e do IBS municipal (2029-2077): municípios paranaenses de maior e menor valor em 2025 e medidas de dispersão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134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População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2050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1. Araucária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152.173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6.469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6.928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7.541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9.539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2. Ortigueira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23.043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6.353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6.849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7.962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9.923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3. Alto Paraíso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2.840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6.295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6.750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7.429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9.419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13.070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4. Porto Barreiro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3.138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5.901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5.336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7.314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11.936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5. Serranópolis do Iguaçu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4.746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5.984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8.576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6. Campina do Simão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3.901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5.160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5.422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6.442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10.521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7. Maripá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6.068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4.544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4.903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5.597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7.694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12.609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8. Saudade do Iguaçu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5.874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4.456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5.030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8.221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10.135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9. Bom Sucesso do Sul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3.248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4.809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6.584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10.729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10. Quatro Pontes</w:t>
            </w:r>
          </w:p>
        </w:tc>
        <w:tc>
          <w:tcPr>
            <w:tcW w:type="dxa" w:w="113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4.279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4.240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4.542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4.835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6.614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10.765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360. Porecatu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12.192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902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1.174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2.167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5.232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361. Fazenda Rio Grande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126.682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938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1.841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362. Figueira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7.873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1.070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2.059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5.161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363. Matinhos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37.825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748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809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790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1.793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364. Colombo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244.387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864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1.789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4.759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365. Paiçandu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44.441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633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693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1.689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366. Pontal do Paraná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29.857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606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733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1.563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2.476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367. Itaperuçu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30.679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605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1.552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4.331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368. Almirante Tamandaré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122.147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570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720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1.622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4.575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369. Sarandi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109.454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550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631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1.569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4.696</w:t>
            </w:r>
          </w:p>
        </w:tc>
      </w:tr>
      <w:tr>
        <w:tc>
          <w:tcPr>
            <w:tcW w:type="dxa" w:w="1077"/>
            <w:gridSpan w:val="7"/>
            <w:tcBorders>
              <w:top w:val="single" w:sz="6"/>
            </w:tcBorders>
          </w:tcPr>
          <w:p>
            <w:pPr>
              <w:spacing w:after="0"/>
            </w:pPr>
            <w:r/>
            <w:r>
              <w:rPr>
                <w:b/>
                <w:sz w:val="18"/>
              </w:rPr>
              <w:t>Medidas de dispersão – 369 municípios com dados auditados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Média (R$)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2.030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2.178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2.312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3.347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6.018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Desvio-padrão (R$)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906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967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1.063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1.271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Coeficiente de variação (%)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44,6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44,4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46,0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38,0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26,3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Desvio médio absoluto / média (%)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32,7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32,5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32,6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Índice de Gini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0,230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0,184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0,122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Razão máx./mín.</w:t>
            </w:r>
          </w:p>
        </w:tc>
        <w:tc>
          <w:tcPr>
            <w:tcW w:type="dxa" w:w="113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13,1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12,6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3,0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própria, com base na DCA/Siconfi, Portal da Transparência do PR e PIT/TCE-PR (base municipal final auditada). Receita per capita = ISS + cota-parte do ICMS em 2025, substituídos pelo IBS municipal de 2029 em diante, conforme o cronograma do art. 131 do ADCT (EC 132/2023) e PIB real de 2,2% a.a. após 2033. Valores em R$ constantes de 2025; população fixa (média 2019-2026). Medidas de dispersão calculadas sobre todos os municípios elegíveis, e não só os exibidos; o desvio-padrão em reais acompanha o crescimento real da receita, por isso o coeficiente de variação e o desvio médio relativo (ambos divididos pela média) são as medidas comparáveis entre anos.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