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38,0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+3,6%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+5,8%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+6,1%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+7,1%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45,0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46,3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47,6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51,0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+2,3%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+7,3%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