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i w:val="0"/>
          <w:sz w:val="26"/>
        </w:rPr>
        <w:t>Dispersão municipal per capita no Paraná: 2025, 2033 e 2077</w:t>
      </w:r>
    </w:p>
    <w:p>
      <w:pPr>
        <w:spacing w:after="80"/>
      </w:pPr>
      <w:r>
        <w:rPr>
          <w:b/>
          <w:i w:val="0"/>
          <w:sz w:val="20"/>
        </w:rPr>
        <w:t>Tabela 1 – Municípios paranaenses de maior e menor ISS per capita em 2025 e a receita per capita (ISS + cota-parte do ICMS, substituídos pelo IBS) projetada em 2033 e 2077 (R$ de 2025)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948"/>
            <w:tcBorders>
              <w:top w:val="single" w:sz="6"/>
              <w:bottom w:val="single" w:sz="6"/>
            </w:tcBorders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Município</w:t>
            </w:r>
          </w:p>
        </w:tc>
        <w:tc>
          <w:tcPr>
            <w:tcW w:type="dxa" w:w="1361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População</w:t>
              <w:br/>
              <w:t>(média 2019-26)</w:t>
            </w:r>
          </w:p>
        </w:tc>
        <w:tc>
          <w:tcPr>
            <w:tcW w:type="dxa" w:w="1361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ISS per capita</w:t>
              <w:br/>
              <w:t>2025</w:t>
            </w:r>
          </w:p>
        </w:tc>
        <w:tc>
          <w:tcPr>
            <w:tcW w:type="dxa" w:w="1474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Receita per capita</w:t>
              <w:br/>
              <w:t>2025</w:t>
            </w:r>
          </w:p>
        </w:tc>
        <w:tc>
          <w:tcPr>
            <w:tcW w:type="dxa" w:w="964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2033</w:t>
            </w:r>
          </w:p>
        </w:tc>
        <w:tc>
          <w:tcPr>
            <w:tcW w:type="dxa" w:w="964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2077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1. Paranaguá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153.682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3.042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4.001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3.906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8.838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2. Curitiba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1.901.095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1.487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2.072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2.254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5.718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3. Maringá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429.188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1.250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1.902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2.085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5.588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4. São José dos Pinhais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336.508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1.167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2.633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3.217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7.209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5. Antonina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18.642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1.142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2.318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2.453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5.541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6. Pinhais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132.578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1.013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1.882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1.968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5.169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7. Quatro Barras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24.446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1.001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3.072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3.008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6.677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8. Ortigueira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23.043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981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6.353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7.967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13.213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9. Araucária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152.173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933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6.469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7.546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13.274</w:t>
            </w:r>
          </w:p>
        </w:tc>
      </w:tr>
      <w:tr>
        <w:tc>
          <w:tcPr>
            <w:tcW w:type="dxa" w:w="2948"/>
            <w:tcBorders>
              <w:bottom w:val="dashed" w:sz="6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10. Londrina</w:t>
            </w:r>
          </w:p>
        </w:tc>
        <w:tc>
          <w:tcPr>
            <w:tcW w:type="dxa" w:w="1361"/>
            <w:tcBorders>
              <w:bottom w:val="dashed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576.936</w:t>
            </w:r>
          </w:p>
        </w:tc>
        <w:tc>
          <w:tcPr>
            <w:tcW w:type="dxa" w:w="1361"/>
            <w:tcBorders>
              <w:bottom w:val="dashed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929</w:t>
            </w:r>
          </w:p>
        </w:tc>
        <w:tc>
          <w:tcPr>
            <w:tcW w:type="dxa" w:w="1474"/>
            <w:tcBorders>
              <w:bottom w:val="dashed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1.489</w:t>
            </w:r>
          </w:p>
        </w:tc>
        <w:tc>
          <w:tcPr>
            <w:tcW w:type="dxa" w:w="964"/>
            <w:tcBorders>
              <w:bottom w:val="dashed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1.631</w:t>
            </w:r>
          </w:p>
        </w:tc>
        <w:tc>
          <w:tcPr>
            <w:tcW w:type="dxa" w:w="964"/>
            <w:tcBorders>
              <w:bottom w:val="dashed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5.108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359. Grandes Rios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5.521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67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1.344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1.625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6.492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360. Japira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4.993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66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1.773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2.021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5.825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361. Iguatu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2.216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63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1.951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2.399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9.702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362. Arapuã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3.235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62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2.261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2.740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8.020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363. Amaporã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5.684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59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1.304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1.697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6.191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364. Santana do Itararé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5.227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52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1.705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1.836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6.364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365. Rancho Alegre D'Oeste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2.629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46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3.474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4.235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9.374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366. Salto do Itararé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5.035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46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973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1.221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6.426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367. Santa Inês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1.653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39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2.226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2.646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10.263</w:t>
            </w:r>
          </w:p>
        </w:tc>
      </w:tr>
      <w:tr>
        <w:tc>
          <w:tcPr>
            <w:tcW w:type="dxa" w:w="2948"/>
            <w:tcBorders>
              <w:bottom w:val="single" w:sz="6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368. Iracema do Oeste</w:t>
            </w:r>
          </w:p>
        </w:tc>
        <w:tc>
          <w:tcPr>
            <w:tcW w:type="dxa" w:w="1361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2.285</w:t>
            </w:r>
          </w:p>
        </w:tc>
        <w:tc>
          <w:tcPr>
            <w:tcW w:type="dxa" w:w="1361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37</w:t>
            </w:r>
          </w:p>
        </w:tc>
        <w:tc>
          <w:tcPr>
            <w:tcW w:type="dxa" w:w="1474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2.189</w:t>
            </w:r>
          </w:p>
        </w:tc>
        <w:tc>
          <w:tcPr>
            <w:tcW w:type="dxa" w:w="964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2.755</w:t>
            </w:r>
          </w:p>
        </w:tc>
        <w:tc>
          <w:tcPr>
            <w:tcW w:type="dxa" w:w="964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8.528</w:t>
            </w:r>
          </w:p>
        </w:tc>
      </w:tr>
    </w:tbl>
    <w:p>
      <w:pPr>
        <w:spacing w:after="200"/>
      </w:pPr>
      <w:r>
        <w:rPr>
          <w:b w:val="0"/>
          <w:i/>
          <w:sz w:val="16"/>
        </w:rPr>
        <w:t>Fonte: elaboração própria a partir da DCA/Siconfi, Portal da Transparência do PR e PIT/TCE-PR (base municipal final auditada). Ranking pelo ISS per capita de 2025; a receita per capita de 2033 e 2077 refere-se ao conjunto ISS + cota-parte do ICMS (o ISS deixa de existir isoladamente em 2033).</w:t>
      </w:r>
    </w:p>
    <w:p>
      <w:pPr>
        <w:spacing w:after="80"/>
      </w:pPr>
      <w:r>
        <w:rPr>
          <w:b/>
          <w:i w:val="0"/>
          <w:sz w:val="20"/>
        </w:rPr>
        <w:t>Tabela 2 – Municípios paranaenses de maior e menor receita per capita (ISS + cota-parte do ICMS) em 2025 e sua projeção para 2033 e 2077 (R$ de 2025)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948"/>
            <w:tcBorders>
              <w:top w:val="single" w:sz="6"/>
              <w:bottom w:val="single" w:sz="6"/>
            </w:tcBorders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Município</w:t>
            </w:r>
          </w:p>
        </w:tc>
        <w:tc>
          <w:tcPr>
            <w:tcW w:type="dxa" w:w="1361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População</w:t>
              <w:br/>
              <w:t>(média 2019-26)</w:t>
            </w:r>
          </w:p>
        </w:tc>
        <w:tc>
          <w:tcPr>
            <w:tcW w:type="dxa" w:w="1361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ISS per capita</w:t>
              <w:br/>
              <w:t>2025</w:t>
            </w:r>
          </w:p>
        </w:tc>
        <w:tc>
          <w:tcPr>
            <w:tcW w:type="dxa" w:w="1474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Receita per capita</w:t>
              <w:br/>
              <w:t>2025</w:t>
            </w:r>
          </w:p>
        </w:tc>
        <w:tc>
          <w:tcPr>
            <w:tcW w:type="dxa" w:w="964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2033</w:t>
            </w:r>
          </w:p>
        </w:tc>
        <w:tc>
          <w:tcPr>
            <w:tcW w:type="dxa" w:w="964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2077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1. Araucária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152.173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933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6.469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7.546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13.274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2. Ortigueira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23.043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981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6.353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7.967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13.213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3. Alto Paraíso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2.840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340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6.295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7.434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13.032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4. Porto Barreiro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3.138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138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5.596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5.341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11.866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5. Serranópolis do Iguaçu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4.746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216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5.582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6.501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13.060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6. Campina do Simão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3.901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129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5.160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4.702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10.483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7. Maripá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6.068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422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4.544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5.602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12.674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8. Saudade do Iguaçu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5.874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240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4.456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8.226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13.229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9. Bom Sucesso do Sul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3.248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262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4.284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4.813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10.703</w:t>
            </w:r>
          </w:p>
        </w:tc>
      </w:tr>
      <w:tr>
        <w:tc>
          <w:tcPr>
            <w:tcW w:type="dxa" w:w="2948"/>
            <w:tcBorders>
              <w:bottom w:val="dashed" w:sz="6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10. Quatro Pontes</w:t>
            </w:r>
          </w:p>
        </w:tc>
        <w:tc>
          <w:tcPr>
            <w:tcW w:type="dxa" w:w="1361"/>
            <w:tcBorders>
              <w:bottom w:val="dashed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4.279</w:t>
            </w:r>
          </w:p>
        </w:tc>
        <w:tc>
          <w:tcPr>
            <w:tcW w:type="dxa" w:w="1361"/>
            <w:tcBorders>
              <w:bottom w:val="dashed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450</w:t>
            </w:r>
          </w:p>
        </w:tc>
        <w:tc>
          <w:tcPr>
            <w:tcW w:type="dxa" w:w="1474"/>
            <w:tcBorders>
              <w:bottom w:val="dashed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4.240</w:t>
            </w:r>
          </w:p>
        </w:tc>
        <w:tc>
          <w:tcPr>
            <w:tcW w:type="dxa" w:w="964"/>
            <w:tcBorders>
              <w:bottom w:val="dashed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4.839</w:t>
            </w:r>
          </w:p>
        </w:tc>
        <w:tc>
          <w:tcPr>
            <w:tcW w:type="dxa" w:w="964"/>
            <w:tcBorders>
              <w:bottom w:val="dashed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10.846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359. Porecatu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12.192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172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902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1.188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5.584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360. Fazenda Rio Grande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126.682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298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847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942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4.805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361. Figueira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7.873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142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764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1.082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5.469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362. Matinhos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37.825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340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748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792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5.128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363. Colombo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244.387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258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729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854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4.510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364. Paiçandu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44.441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179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633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759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4.690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365. Pontal do Paraná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29.857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266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606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1.573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5.315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366. Itaperuçu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30.679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162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605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723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4.896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367. Almirante Tamandaré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122.147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213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570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722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4.624</w:t>
            </w:r>
          </w:p>
        </w:tc>
      </w:tr>
      <w:tr>
        <w:tc>
          <w:tcPr>
            <w:tcW w:type="dxa" w:w="2948"/>
            <w:tcBorders>
              <w:bottom w:val="single" w:sz="6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368. Sarandi</w:t>
            </w:r>
          </w:p>
        </w:tc>
        <w:tc>
          <w:tcPr>
            <w:tcW w:type="dxa" w:w="1361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109.454</w:t>
            </w:r>
          </w:p>
        </w:tc>
        <w:tc>
          <w:tcPr>
            <w:tcW w:type="dxa" w:w="1361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149</w:t>
            </w:r>
          </w:p>
        </w:tc>
        <w:tc>
          <w:tcPr>
            <w:tcW w:type="dxa" w:w="1474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496</w:t>
            </w:r>
          </w:p>
        </w:tc>
        <w:tc>
          <w:tcPr>
            <w:tcW w:type="dxa" w:w="964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625</w:t>
            </w:r>
          </w:p>
        </w:tc>
        <w:tc>
          <w:tcPr>
            <w:tcW w:type="dxa" w:w="964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4.541</w:t>
            </w:r>
          </w:p>
        </w:tc>
      </w:tr>
    </w:tbl>
    <w:p>
      <w:pPr>
        <w:spacing w:after="200"/>
      </w:pPr>
      <w:r>
        <w:rPr>
          <w:b w:val="0"/>
          <w:i/>
          <w:sz w:val="16"/>
        </w:rPr>
        <w:t>Fonte: elaboração própria (mesma base da Tabela 1). População fixada na média 2019-2026 nos três anos, para isolar o efeito da redistribuição do efeito do crescimento demográfico.</w:t>
      </w:r>
    </w:p>
    <w:p>
      <w:pPr>
        <w:spacing w:after="80"/>
      </w:pPr>
      <w:r>
        <w:rPr>
          <w:b/>
          <w:i w:val="0"/>
          <w:sz w:val="20"/>
        </w:rPr>
        <w:t>Tabela 3 – Medidas de dispersão da receita per capita municipal, Paraná, 2025, 2033 e 2077</w:t>
      </w:r>
    </w:p>
    <w:p>
      <w:pPr>
        <w:spacing w:after="40"/>
      </w:pPr>
      <w:r>
        <w:rPr>
          <w:b/>
          <w:i w:val="0"/>
          <w:sz w:val="18"/>
        </w:rPr>
        <w:t>Painel A – 368 municípios com dados auditados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tcBorders>
              <w:top w:val="single" w:sz="6"/>
              <w:bottom w:val="single" w:sz="6"/>
            </w:tcBorders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Medida</w:t>
            </w:r>
          </w:p>
        </w:tc>
        <w:tc>
          <w:tcPr>
            <w:tcW w:type="dxa" w:w="1701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  <w:tc>
          <w:tcPr>
            <w:tcW w:type="dxa" w:w="1701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2033</w:t>
            </w:r>
          </w:p>
        </w:tc>
        <w:tc>
          <w:tcPr>
            <w:tcW w:type="dxa" w:w="1701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2077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Maior valor (R$)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6.469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8.226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13.274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Menor valor (R$)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496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625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4.510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Amplitude (R$)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5.973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7.601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8.764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Razão máx./mín.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13,1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13,2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2,9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Razão P90/P10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2,76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2,74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1,75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Coeficiente de variação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0,45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0,25</w:t>
            </w:r>
          </w:p>
        </w:tc>
      </w:tr>
      <w:tr>
        <w:tc>
          <w:tcPr>
            <w:tcW w:type="dxa" w:w="3402"/>
            <w:tcBorders>
              <w:bottom w:val="single" w:sz="6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Índice de Gini</w:t>
            </w:r>
          </w:p>
        </w:tc>
        <w:tc>
          <w:tcPr>
            <w:tcW w:type="dxa" w:w="1701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0,230</w:t>
            </w:r>
          </w:p>
        </w:tc>
        <w:tc>
          <w:tcPr>
            <w:tcW w:type="dxa" w:w="1701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0,227</w:t>
            </w:r>
          </w:p>
        </w:tc>
        <w:tc>
          <w:tcPr>
            <w:tcW w:type="dxa" w:w="1701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0,130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  <w:sz w:val="18"/>
        </w:rPr>
        <w:t>Painel B – amostra do artigo (187 municípios, população média ≥ 10 mil)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tcBorders>
              <w:top w:val="single" w:sz="6"/>
              <w:bottom w:val="single" w:sz="6"/>
            </w:tcBorders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Medida</w:t>
            </w:r>
          </w:p>
        </w:tc>
        <w:tc>
          <w:tcPr>
            <w:tcW w:type="dxa" w:w="1701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  <w:tc>
          <w:tcPr>
            <w:tcW w:type="dxa" w:w="1701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2033</w:t>
            </w:r>
          </w:p>
        </w:tc>
        <w:tc>
          <w:tcPr>
            <w:tcW w:type="dxa" w:w="1701"/>
            <w:tcBorders>
              <w:top w:val="single" w:sz="6"/>
              <w:bottom w:val="single" w:sz="6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2077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Maior valor (R$)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6.469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7.967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13.274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Menor valor (R$)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496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625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4.510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Amplitude (R$)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5.973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7.342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8.764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Razão máx./mín.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13,1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12,7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2,9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Razão P90/P10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2,39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2,29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1,34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Coeficiente de variação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0,45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0,21</w:t>
            </w:r>
          </w:p>
        </w:tc>
      </w:tr>
      <w:tr>
        <w:tc>
          <w:tcPr>
            <w:tcW w:type="dxa" w:w="3402"/>
            <w:tcBorders>
              <w:bottom w:val="single" w:sz="6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Índice de Gini</w:t>
            </w:r>
          </w:p>
        </w:tc>
        <w:tc>
          <w:tcPr>
            <w:tcW w:type="dxa" w:w="1701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0,224</w:t>
            </w:r>
          </w:p>
        </w:tc>
        <w:tc>
          <w:tcPr>
            <w:tcW w:type="dxa" w:w="1701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0,211</w:t>
            </w:r>
          </w:p>
        </w:tc>
        <w:tc>
          <w:tcPr>
            <w:tcW w:type="dxa" w:w="1701"/>
            <w:tcBorders>
              <w:bottom w:val="single" w:sz="6"/>
            </w:tcBorders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0,084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/>
          <w:sz w:val="16"/>
        </w:rPr>
        <w:t>Fonte: elaboração própria. Valores em R$ constantes de 2025; população fixa (média 2019-2026); 2033 e 2077 conforme o cronograma do art. 131 do ADCT (EC 132/2023) e crescimento real do PIB de 2,2% a.a. após 2033. Excluídos: municípios sem ISS de 2025 observado diretamente, com pendência de auditoria ou com menos de 5 anos de ISS observado. ISS discrepante (&gt;= 5x ou &lt;= 0,2x a mediana dos demais anos) substituído pelo PIT/TCE-PR quando a divergência supera 20%.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