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7,3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77,8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43,3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47,5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−0,1%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+0,1%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202,3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217,0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53,9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60,6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+6,4%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17,2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17,7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20,3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+9,1%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