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−8,8%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7,3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77,8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43,3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47,5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−0,1%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+0,1%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202,3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217,0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19,3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+6,1%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53,9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55,4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57,0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60,6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+6,4%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