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2"/>
        </w:rPr>
        <w:t xml:space="preserve">Tabela 5 – </w:t>
      </w:r>
      <w:r>
        <w:rPr>
          <w:sz w:val="22"/>
        </w:rPr>
        <w:t>Receita estadual projetada por UF no cenário de destino pleno, 2029–2033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c>
          <w:tcPr>
            <w:tcW w:type="dxa" w:w="567"/>
            <w:vMerge w:val="restart"/>
            <w:tcBorders>
              <w:top w:val="single" w:sz="12"/>
            </w:tcBorders>
          </w:tcPr>
          <w:p>
            <w:pPr>
              <w:spacing w:after="0" w:before="20"/>
              <w:jc w:val="left"/>
            </w:pPr>
            <w:r/>
            <w:r>
              <w:rPr>
                <w:b/>
                <w:sz w:val="18"/>
              </w:rPr>
              <w:t>UF</w:t>
            </w:r>
          </w:p>
        </w:tc>
        <w:tc>
          <w:tcPr>
            <w:tcW w:type="dxa" w:w="964"/>
            <w:vMerge w:val="restart"/>
            <w:tcBorders>
              <w:top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Receita</w:t>
              <w:br/>
              <w:t>pré-IBS</w:t>
            </w:r>
          </w:p>
        </w:tc>
        <w:tc>
          <w:tcPr>
            <w:tcW w:type="dxa" w:w="3685"/>
            <w:gridSpan w:val="5"/>
            <w:tcBorders>
              <w:bottom w:val="single" w:sz="4"/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sz w:val="18"/>
              </w:rPr>
              <w:t>Receita pós-IBS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R$ bilhões, preços de 2025</w:t>
            </w:r>
          </w:p>
        </w:tc>
        <w:tc>
          <w:tcPr>
            <w:tcW w:type="dxa" w:w="4395"/>
            <w:gridSpan w:val="5"/>
            <w:tcBorders>
              <w:bottom w:val="single" w:sz="4"/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sz w:val="18"/>
              </w:rPr>
              <w:t>Variação da receita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ano contra pré-IBS</w:t>
            </w:r>
          </w:p>
        </w:tc>
      </w:tr>
      <w:tr>
        <w:tc>
          <w:tcPr>
            <w:tcW w:type="dxa" w:w="567"/>
            <w:vMerge/>
            <w:tcBorders>
              <w:bottom w:val="single" w:sz="6"/>
            </w:tcBorders>
          </w:tcPr>
          <w:p/>
        </w:tc>
        <w:tc>
          <w:tcPr>
            <w:tcW w:type="dxa" w:w="964"/>
            <w:vMerge/>
            <w:tcBorders>
              <w:bottom w:val="single" w:sz="6"/>
            </w:tcBorders>
          </w:tcPr>
          <w:p/>
        </w:tc>
        <w:tc>
          <w:tcPr>
            <w:tcW w:type="dxa" w:w="73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2029</w:t>
            </w:r>
          </w:p>
        </w:tc>
        <w:tc>
          <w:tcPr>
            <w:tcW w:type="dxa" w:w="73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2030</w:t>
            </w:r>
          </w:p>
        </w:tc>
        <w:tc>
          <w:tcPr>
            <w:tcW w:type="dxa" w:w="73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2031</w:t>
            </w:r>
          </w:p>
        </w:tc>
        <w:tc>
          <w:tcPr>
            <w:tcW w:type="dxa" w:w="73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2032</w:t>
            </w:r>
          </w:p>
        </w:tc>
        <w:tc>
          <w:tcPr>
            <w:tcW w:type="dxa" w:w="737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2033</w:t>
            </w:r>
          </w:p>
        </w:tc>
        <w:tc>
          <w:tcPr>
            <w:tcW w:type="dxa" w:w="879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2029</w:t>
            </w:r>
          </w:p>
        </w:tc>
        <w:tc>
          <w:tcPr>
            <w:tcW w:type="dxa" w:w="879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2030</w:t>
            </w:r>
          </w:p>
        </w:tc>
        <w:tc>
          <w:tcPr>
            <w:tcW w:type="dxa" w:w="879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2031</w:t>
            </w:r>
          </w:p>
        </w:tc>
        <w:tc>
          <w:tcPr>
            <w:tcW w:type="dxa" w:w="879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2032</w:t>
            </w:r>
          </w:p>
        </w:tc>
        <w:tc>
          <w:tcPr>
            <w:tcW w:type="dxa" w:w="879"/>
            <w:tcBorders>
              <w:bottom w:val="single" w:sz="6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2033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TO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5,1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−4,6%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−9,6%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MA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11,9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12,7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12,9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13,0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13,2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12,7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−4,0%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−9,5%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MT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19,5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21,0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21,2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21,4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20,8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−4,4%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−9,1%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7,4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−4,2%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−8,4%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ES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17,0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18,4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−7,7%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RO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6,7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−7,1%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SC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33,8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36,1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36,5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37,0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37,5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37,1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−2,6%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−6,6%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PI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7,1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−5,5%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PA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21,0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21,0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−4,8%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RR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1,8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−3,8%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PB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8,0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8,5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8,7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8,8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9,0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9,0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−0,6%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−3,8%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MS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13,2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14,2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14,4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14,7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15,0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15,2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−0,6%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−1,7%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−2,1%</w:t>
            </w:r>
          </w:p>
        </w:tc>
      </w:tr>
      <w:tr>
        <w:tc>
          <w:tcPr>
            <w:tcW w:type="dxa" w:w="567"/>
            <w:shd w:val="clear" w:color="auto" w:fill="E7E6E6"/>
          </w:tcPr>
          <w:p>
            <w:pPr>
              <w:spacing w:after="0" w:before="20"/>
              <w:jc w:val="left"/>
            </w:pPr>
            <w:r/>
            <w:r>
              <w:rPr>
                <w:b/>
                <w:sz w:val="18"/>
              </w:rPr>
              <w:t>PR</w:t>
            </w:r>
          </w:p>
        </w:tc>
        <w:tc>
          <w:tcPr>
            <w:tcW w:type="dxa" w:w="964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40,1</w:t>
            </w:r>
          </w:p>
        </w:tc>
        <w:tc>
          <w:tcPr>
            <w:tcW w:type="dxa" w:w="737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43,2</w:t>
            </w:r>
          </w:p>
        </w:tc>
        <w:tc>
          <w:tcPr>
            <w:tcW w:type="dxa" w:w="737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44,1</w:t>
            </w:r>
          </w:p>
        </w:tc>
        <w:tc>
          <w:tcPr>
            <w:tcW w:type="dxa" w:w="737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45,0</w:t>
            </w:r>
          </w:p>
        </w:tc>
        <w:tc>
          <w:tcPr>
            <w:tcW w:type="dxa" w:w="737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46,0</w:t>
            </w:r>
          </w:p>
        </w:tc>
        <w:tc>
          <w:tcPr>
            <w:tcW w:type="dxa" w:w="737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47,3</w:t>
            </w:r>
          </w:p>
        </w:tc>
        <w:tc>
          <w:tcPr>
            <w:tcW w:type="dxa" w:w="879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−0,2%</w:t>
            </w:r>
          </w:p>
        </w:tc>
        <w:tc>
          <w:tcPr>
            <w:tcW w:type="dxa" w:w="879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−0,3%</w:t>
            </w:r>
          </w:p>
        </w:tc>
        <w:tc>
          <w:tcPr>
            <w:tcW w:type="dxa" w:w="879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−0,3%</w:t>
            </w:r>
          </w:p>
        </w:tc>
        <w:tc>
          <w:tcPr>
            <w:tcW w:type="dxa" w:w="879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−0,4%</w:t>
            </w:r>
          </w:p>
        </w:tc>
        <w:tc>
          <w:tcPr>
            <w:tcW w:type="dxa" w:w="879"/>
            <w:shd w:val="clear" w:color="auto" w:fill="E7E6E6"/>
          </w:tcPr>
          <w:p>
            <w:pPr>
              <w:spacing w:after="0" w:before="20"/>
              <w:jc w:val="right"/>
            </w:pPr>
            <w:r/>
            <w:r>
              <w:rPr>
                <w:b/>
                <w:sz w:val="18"/>
              </w:rPr>
              <w:t>+0,3%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SE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5,5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+0,5%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MG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66,1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71,1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72,6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74,2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75,9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78,3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+0,9%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GO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23,0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24,8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25,3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25,9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26,5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27,4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−0,1%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+1,4%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PE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22,5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23,0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23,5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24,1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24,9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+1,6%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BA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31,6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34,1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34,9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35,8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36,6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37,8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+1,7%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AP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+2,2%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CE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16,2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17,4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17,8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19,5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+2,5%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RN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7,9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8,1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8,3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8,6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+0,4%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+3,6%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AC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2,0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+4,4%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SP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178,8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193,4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198,3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203,6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209,1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220,0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+0,8%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+4,7%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DF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16,5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17,9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18,5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19,1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19,7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20,6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+0,9%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+3,1%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+4,3%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+6,3%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AM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12,7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13,7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14,1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14,5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14,8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15,9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+1,2%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+6,4%</w:t>
            </w:r>
          </w:p>
        </w:tc>
      </w:tr>
      <w:tr>
        <w:tc>
          <w:tcPr>
            <w:tcW w:type="dxa" w:w="567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RJ</w:t>
            </w:r>
          </w:p>
        </w:tc>
        <w:tc>
          <w:tcPr>
            <w:tcW w:type="dxa" w:w="964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48,5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52,6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54,0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55,6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57,3</w:t>
            </w:r>
          </w:p>
        </w:tc>
        <w:tc>
          <w:tcPr>
            <w:tcW w:type="dxa" w:w="73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61,0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+0,5%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+1,3%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+2,0%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+2,7%</w:t>
            </w:r>
          </w:p>
        </w:tc>
        <w:tc>
          <w:tcPr>
            <w:tcW w:type="dxa" w:w="879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+7,1%</w:t>
            </w:r>
          </w:p>
        </w:tc>
      </w:tr>
      <w:tr>
        <w:tc>
          <w:tcPr>
            <w:tcW w:type="dxa" w:w="567"/>
            <w:tcBorders>
              <w:bottom w:val="single" w:sz="12"/>
            </w:tcBorders>
          </w:tcPr>
          <w:p>
            <w:pPr>
              <w:spacing w:after="0" w:before="20"/>
              <w:jc w:val="left"/>
            </w:pPr>
            <w:r/>
            <w:r>
              <w:rPr>
                <w:b w:val="0"/>
                <w:sz w:val="18"/>
              </w:rPr>
              <w:t>RS</w:t>
            </w:r>
          </w:p>
        </w:tc>
        <w:tc>
          <w:tcPr>
            <w:tcW w:type="dxa" w:w="964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40,5</w:t>
            </w:r>
          </w:p>
        </w:tc>
        <w:tc>
          <w:tcPr>
            <w:tcW w:type="dxa" w:w="737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43,9</w:t>
            </w:r>
          </w:p>
        </w:tc>
        <w:tc>
          <w:tcPr>
            <w:tcW w:type="dxa" w:w="737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45,0</w:t>
            </w:r>
          </w:p>
        </w:tc>
        <w:tc>
          <w:tcPr>
            <w:tcW w:type="dxa" w:w="737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46,3</w:t>
            </w:r>
          </w:p>
        </w:tc>
        <w:tc>
          <w:tcPr>
            <w:tcW w:type="dxa" w:w="737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47,7</w:t>
            </w:r>
          </w:p>
        </w:tc>
        <w:tc>
          <w:tcPr>
            <w:tcW w:type="dxa" w:w="737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51,1</w:t>
            </w:r>
          </w:p>
        </w:tc>
        <w:tc>
          <w:tcPr>
            <w:tcW w:type="dxa" w:w="879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+0,5%</w:t>
            </w:r>
          </w:p>
        </w:tc>
        <w:tc>
          <w:tcPr>
            <w:tcW w:type="dxa" w:w="879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+1,1%</w:t>
            </w:r>
          </w:p>
        </w:tc>
        <w:tc>
          <w:tcPr>
            <w:tcW w:type="dxa" w:w="879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+1,8%</w:t>
            </w:r>
          </w:p>
        </w:tc>
        <w:tc>
          <w:tcPr>
            <w:tcW w:type="dxa" w:w="879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+2,5%</w:t>
            </w:r>
          </w:p>
        </w:tc>
        <w:tc>
          <w:tcPr>
            <w:tcW w:type="dxa" w:w="879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 w:val="0"/>
                <w:sz w:val="18"/>
              </w:rPr>
              <w:t>+7,4%</w:t>
            </w:r>
          </w:p>
        </w:tc>
      </w:tr>
    </w:tbl>
    <w:p>
      <w:pPr>
        <w:spacing w:before="80"/>
      </w:pPr>
      <w:r>
        <w:rPr>
          <w:sz w:val="16"/>
        </w:rPr>
        <w:t>Fonte: SICONFI/STN; EC n.º 132/2023; LC n.º 214/2025; LC n.º 227/2026. Elaboração própria. Nota: receita pré-IBS corresponde à participação neutra de 2025 do ente estadual (ICMS + FECOP, líquido de cota-parte) aplicada à receita de referência nacional de cada ano. Ordenada pela variação relativa em 2033, da mais negativa à mais positiva. Paraná em destaque.</w:t>
      </w:r>
    </w:p>
    <w:sectPr w:rsidR="00FC693F" w:rsidRPr="0006063C" w:rsidSect="00034616">
      <w:pgSz w:w="11906" w:h="16838"/>
      <w:pgMar w:top="1440" w:right="1106" w:bottom="1440" w:left="11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