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−8,4%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47,3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−0,4%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78,2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203,4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219,6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+7,1%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46,3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47,6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51,0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+7,3%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