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trodução"/>
    <w:p>
      <w:pPr>
        <w:spacing w:line="276" w:lineRule="auto" w:before="0" w:after="120"/>
        <w:ind w:firstLine="0"/>
        <w:jc w:val="center"/>
      </w:pPr>
      <w:r>
        <w:rPr>
          <w:rFonts w:ascii="Times New Roman" w:hAnsi="Times New Roman"/>
          <w:b/>
          <w:i w:val="0"/>
          <w:caps w:val="0"/>
          <w:sz w:val="28"/>
        </w:rPr>
        <w:t>IMPACTOS REDISTRIBUTIVOS DA REFORMA TRIBUTÁRIA DO CONSUMO NO PARANÁ</w:t>
      </w:r>
    </w:p>
    <w:p>
      <w:pPr>
        <w:spacing w:line="276" w:lineRule="auto" w:before="0" w:after="360"/>
        <w:ind w:firstLine="0"/>
        <w:jc w:val="center"/>
      </w:pPr>
      <w:r>
        <w:rPr>
          <w:rFonts w:ascii="Times New Roman" w:hAnsi="Times New Roman"/>
          <w:b/>
          <w:i w:val="0"/>
          <w:caps w:val="0"/>
          <w:sz w:val="24"/>
        </w:rPr>
        <w:t>Projeções de receita e implicações fiscais para o Estado e os municípios</w:t>
      </w:r>
    </w:p>
    <w:p>
      <w:pPr>
        <w:spacing w:line="276" w:lineRule="auto" w:before="120" w:after="120"/>
        <w:ind w:firstLine="0"/>
        <w:jc w:val="left"/>
      </w:pPr>
      <w:r>
        <w:rPr>
          <w:rFonts w:ascii="Times New Roman" w:hAnsi="Times New Roman"/>
          <w:b/>
          <w:i w:val="0"/>
          <w:caps w:val="0"/>
          <w:sz w:val="24"/>
        </w:rPr>
        <w:t>RESUMO</w:t>
      </w:r>
    </w:p>
    <w:p>
      <w:pPr>
        <w:spacing w:line="240" w:lineRule="auto" w:before="0" w:after="120"/>
        <w:ind w:firstLine="0"/>
        <w:jc w:val="both"/>
      </w:pPr>
      <w:r>
        <w:rPr>
          <w:rFonts w:ascii="Times New Roman" w:hAnsi="Times New Roman"/>
          <w:b w:val="0"/>
          <w:i w:val="0"/>
          <w:caps w:val="0"/>
          <w:sz w:val="24"/>
        </w:rPr>
        <w:t>Este artigo estima os efeitos da reforma tributária do consumo sobre as receitas do Estado do Paraná e de seus municípios. A metodologia aplica as regras de transição do ICMS e do ISS para o IBS e compara as receitas projetadas com um cenário contrafactual sem reforma. Os resultados indicam relativa neutralidade para o governo estadual: em 2033, a receita líquida da cota-parte municipal é projetada em R$ 47,5 bilhões, 0,8% acima do contrafactual. Entre os municípios, 229 apresentam perdas, que somam R$ 2,13 bilhões entre 2029 e 2033. Os resultados ressaltam o papel do coeficiente de participação histórica na suavização dos efeitos iniciais da reforma e a relevância da qualidade das informações fiscais para a projeção das receitas subnacionais.</w:t>
      </w:r>
    </w:p>
    <w:p>
      <w:pPr>
        <w:spacing w:line="276" w:lineRule="auto" w:before="120" w:after="280"/>
        <w:ind w:firstLine="0"/>
        <w:jc w:val="left"/>
      </w:pPr>
      <w:r>
        <w:rPr>
          <w:rFonts w:ascii="Times New Roman" w:hAnsi="Times New Roman"/>
          <w:b/>
          <w:sz w:val="24"/>
        </w:rPr>
        <w:t>Palavras-chave:</w:t>
      </w:r>
      <w:r>
        <w:rPr>
          <w:rFonts w:ascii="Times New Roman" w:hAnsi="Times New Roman"/>
          <w:b w:val="0"/>
          <w:i w:val="0"/>
          <w:caps w:val="0"/>
          <w:sz w:val="24"/>
        </w:rPr>
        <w:t xml:space="preserve"> reforma tributária; IBS; federalismo fiscal.</w:t>
      </w:r>
    </w:p>
    <w:p>
      <w:pPr>
        <w:spacing w:line="276" w:lineRule="auto" w:before="120" w:after="120"/>
        <w:ind w:firstLine="0"/>
        <w:jc w:val="left"/>
      </w:pPr>
      <w:r>
        <w:rPr>
          <w:rFonts w:ascii="Times New Roman" w:hAnsi="Times New Roman"/>
          <w:b/>
          <w:i w:val="0"/>
          <w:caps w:val="0"/>
          <w:sz w:val="24"/>
        </w:rPr>
        <w:t>ABSTRACT</w:t>
      </w:r>
    </w:p>
    <w:p>
      <w:pPr>
        <w:spacing w:line="240" w:lineRule="auto" w:before="0" w:after="120"/>
        <w:ind w:firstLine="0"/>
        <w:jc w:val="both"/>
      </w:pPr>
      <w:r>
        <w:rPr>
          <w:rFonts w:ascii="Times New Roman" w:hAnsi="Times New Roman"/>
          <w:b w:val="0"/>
          <w:i w:val="0"/>
          <w:caps w:val="0"/>
          <w:sz w:val="24"/>
        </w:rPr>
        <w:t>This paper estimates the effects of Brazil’s consumption tax reform on the revenues of the State of Paraná and its municipalities. The methodology applies the transition rules from ICMS and ISS to the IBS and compares projected revenues with a no-reform counterfactual. Results indicate relative neutrality for the state government: in 2033, revenue net of the municipal share is projected at BRL 47.5 billion, 0.8% above the counterfactual. Among municipalities, 229 record losses, which total BRL 2.13 billion over 2029–2033. The results highlight the role of the historical participation coefficient in smoothing the initial effects of the reform and the relevance of fiscal data quality for projecting subnational revenues.</w:t>
      </w:r>
    </w:p>
    <w:p>
      <w:pPr>
        <w:spacing w:line="276" w:lineRule="auto" w:before="120" w:after="280"/>
        <w:ind w:firstLine="0"/>
        <w:jc w:val="left"/>
      </w:pPr>
      <w:r>
        <w:rPr>
          <w:rFonts w:ascii="Times New Roman" w:hAnsi="Times New Roman"/>
          <w:b/>
          <w:sz w:val="24"/>
        </w:rPr>
        <w:t>Keywords:</w:t>
      </w:r>
      <w:r>
        <w:rPr>
          <w:rFonts w:ascii="Times New Roman" w:hAnsi="Times New Roman"/>
          <w:b w:val="0"/>
          <w:i w:val="0"/>
          <w:caps w:val="0"/>
          <w:sz w:val="24"/>
        </w:rPr>
        <w:t xml:space="preserve"> tax reform; IBS; fiscal federalism.</w:t>
      </w:r>
    </w:p>
    <w:p>
      <w:pPr>
        <w:pStyle w:val="Heading1"/>
        <w:pageBreakBefore w:val="0"/>
      </w:pPr>
      <w:r>
        <w:rPr>
          <w:rStyle w:val="SectionNumber"/>
        </w:rPr>
        <w:t xml:space="preserve">1</w:t>
      </w:r>
      <w:r>
        <w:tab/>
      </w:r>
      <w:r>
        <w:t xml:space="preserve">Introdução</w:t>
      </w:r>
    </w:p>
    <w:p>
      <w:pPr>
        <w:pStyle w:val="FirstParagraph"/>
      </w:pPr>
      <w:r>
        <w:t>A reforma tributária do consumo representa uma das principais mudanças no federalismo fiscal brasileiro. O novo regime tributário altera a lógica de apropriação da receita ao deslocá-la progressivamente da origem da produção para o local do consumo. Essa mudança pode modificar a arrecadação dos entes subnacionais e afeta diretamente algumas de suas principais fontes de financiamento. No Paraná, estão em questão cerca de R$ 53 bilhões de arrecadação anual de ICMS, valor superior à metade das receitas correntes brutas do Estado.</w:t>
      </w:r>
      <w:r>
        <w:rPr>
          <w:vertAlign w:val="superscript"/>
        </w:rPr>
      </w:r>
      <w:r/>
    </w:p>
    <w:p>
      <w:pPr>
        <w:pStyle w:val="BodyText"/>
      </w:pPr>
      <w:r>
        <w:t>A literatura aplicada à reforma tributária avançou na mensuração de seus efeitos distributivos, mas ainda oferece poucas evidências sobre a trajetória das receitas de estados e municípios ao longo da transição. Entre os estudos disponíveis, Gobetti e Monteiro (2023) estimaram ganho de aproximadamente 15,6% na receita conjunta dos entes paranaenses sob as novas regras de distribuição, em comparação com o sistema então vigente. O exercício, contudo, foi elaborado durante a tramitação da reforma, antes da edição das Leis Complementares n.º 214/2025 e n.º 227/2026. Seus resultados constituem referência importante para a análise dos efeitos distributivos associados ao critério de destino, mas não incorporam integralmente as regras posteriormente definidas para a formação e a distribuição da receita do IBS.</w:t>
      </w:r>
    </w:p>
    <w:p>
      <w:pPr>
        <w:pStyle w:val="BodyText"/>
      </w:pPr>
      <w:r>
        <w:t>Nesse sentido, permanece em aberto a magnitude dos efeitos do desenho definitivo da transição sobre as receitas do Estado e dos municípios do Paraná. A passagem para o destino será gradual e conviverá, por várias décadas, com mecanismos de preservação da distribuição anterior por meio do coeficiente de participação histórica. A pergunta que orienta este trabalho é, portanto: como a transição do ICMS e do ISS para o IBS afetará as receitas do governo estadual e dos municípios do Paraná nos primeiros anos de implementação da reforma?</w:t>
      </w:r>
    </w:p>
    <w:p>
      <w:pPr>
        <w:pStyle w:val="BodyText"/>
      </w:pPr>
      <w:r>
        <w:t>Este estudo estima os efeitos da transição para o IBS sobre as receitas do Estado e dos municípios do Paraná entre 2029 e 2033. O modelo estima os coeficientes histórico e de destino, aplica as regras de repartição e compara a receita projetada com um cenário contrafactual sem reforma. Para o governo estadual, os resultados indicam relativa neutralidade: a receita projetada alcança R$ 47,5 bilhões em 2033, 0,8% acima do contrafactual. Entre os 399 municípios paranaenses, 229 registram receita inferior ao cenário sem reforma em 2033, com perdas acumuladas de R$ 2,13 bilhões no período. O exercício oferece, assim, uma estrutura replicável para acompanhar como os mecanismos da transição se convertem em receita efetivamente disponível para os governos subnacionais.</w:t>
      </w:r>
    </w:p>
    <w:p>
      <w:pPr>
        <w:pStyle w:val="BodyText"/>
      </w:pPr>
      <w:r>
        <w:t>Além desta introdução, o artigo está organizado em cinco seções. A Seção 2 apresenta o enquadramento conceitual da reforma a partir da literatura sobre federalismo fiscal. A Seção 3 descreve os dados, os parâmetros legais e o modelo de projeção. A Seção 4 apresenta os resultados para o governo estadual e os municípios paranaenses, incluindo uma comparação do Paraná com outras unidades da Federação. A Seção 5 discute as implicações fiscais e institucionais. A Seção 6 reúne as considerações finais.</w:t>
      </w:r>
    </w:p>
    <w:bookmarkEnd w:id="9"/>
    <w:bookmarkStart w:id="10" w:name="X0cec52c4fad5a9b6f661e5010dacacf31990b10"/>
    <w:p>
      <w:pPr>
        <w:pStyle w:val="Heading1"/>
      </w:pPr>
      <w:r>
        <w:rPr>
          <w:rStyle w:val="SectionNumber"/>
        </w:rPr>
        <w:t xml:space="preserve">2</w:t>
      </w:r>
      <w:r>
        <w:tab/>
      </w:r>
      <w:r>
        <w:t xml:space="preserve">Federalismo fiscal e redistribuição da receita no IBS</w:t>
      </w:r>
    </w:p>
    <w:p>
      <w:pPr>
        <w:pStyle w:val="FirstParagraph"/>
      </w:pPr>
      <w:r>
        <w:t xml:space="preserve">O federalismo fiscal oferece o ponto de partida para compreender por que a reforma tributária produz efeitos distintos entre territórios. A literatura trata esse problema a partir da correspondência entre responsabilidades de gasto, fontes de receita e autonomia decisória em economias politicamente descentralizadas (Musgrave, 1959; Oates, 1972, 1999; Rosen e Gayer, 2014). A questão vai, portanto, além da simplificação das obrigações tributárias para empresas e contribuintes. Ao alterar a forma como a receita é apropriada e repartida, a reforma modifica a capacidade fiscal relativa de estados e municípios.</w:t>
      </w:r>
    </w:p>
    <w:p>
      <w:pPr>
        <w:pStyle w:val="BodyText"/>
      </w:pPr>
      <w:r>
        <w:t xml:space="preserve">Uma tensão clássica do federalismo fiscal está no equilíbrio entre autonomia subnacional e coordenação nacional. A descentralização pode aproximar políticas públicas das preferências locais, sobretudo quando necessidades e custos diferem entre territórios. A autonomia fiscal, contudo, também pode gerar externalidades quando governos disputam bases móveis de arrecadação ou adotam políticas que afetam outros entes. O desenho tributário precisa, nesse caso, conciliar as vantagens da descentralização com os custos da competição entre jurisdições (Oates, 1972, 1999; Ter-Minassian, 1997).</w:t>
      </w:r>
    </w:p>
    <w:p>
      <w:pPr>
        <w:pStyle w:val="BodyText"/>
      </w:pPr>
      <w:r>
        <w:t xml:space="preserve">Nos tributos sobre o consumo, essa tensão se traduz na escolha entre origem e destino. Sob a origem, a receita permanece mais próxima do território onde ocorre a produção ou a circulação econômica; sob o destino, acompanha o local do consumo final. A literatura internacional sobre impostos sobre valor agregado associa o princípio do destino a maior neutralidade nas decisões de produção e comércio (Ebrill et al., 2001; Keen, 2013). Essa maior neutralidade, contudo, produz efeitos distributivos quando produção e consumo estão localizados em territórios diferentes.</w:t>
      </w:r>
    </w:p>
    <w:p>
      <w:pPr>
        <w:pStyle w:val="BodyText"/>
      </w:pPr>
      <w:r>
        <w:t xml:space="preserve">No Brasil, essa tensão assumiu uma forma particular no ICMS. Embora combinasse elementos de origem e destino, o imposto preservou vínculo relevante entre atividade produtiva e arrecadação estadual (Baratto e Macedo, 2007). Esse vínculo também sustentou o uso de benefícios e regimes especiais na disputa por investimentos, estratégia associada pela literatura à guerra fiscal e a custos de eficiência (Varsano, 1997). No Paraná, Nascimento (2002) analisou empiricamente os efeitos dessa competição sobre a arrecadação estadual de ICMS. O IBS altera os dois canais que sustentavam esse mecanismo: restringe o uso do imposto como instrumento de atração e reduz o retorno fiscal direto da localização produtiva quando o consumo final ocorre em outro território.</w:t>
      </w:r>
    </w:p>
    <w:p>
      <w:pPr>
        <w:pStyle w:val="BodyText"/>
      </w:pPr>
      <w:r>
        <w:t xml:space="preserve">A redistribuição alcança também os municípios por meio das novas regras de repartição. No Paraná, 65% do Índice de Participação dos Municípios depende atualmente do Valor Adicionado Fiscal, enquanto no IBS 80% da cota-parte estadual será distribuída segundo a população. Prado (2025) observa que, no Sul e Sudeste, essa mudança pode produzir efeitos assimétricos porque população e geração de valor adicionado apresentam distribuições territoriais distintas. Em escala nacional, Gobetti e Monteiro (2023) também identificam efeitos redistributivos particularmente relevantes entre municípios.</w:t>
      </w:r>
    </w:p>
    <w:p>
      <w:pPr>
        <w:pStyle w:val="BodyText"/>
      </w:pPr>
      <w:r>
        <w:t xml:space="preserve">A transição federativa faz com que esses efeitos se manifestem gradualmente. A EC n.</w:t>
      </w:r>
      <w:r>
        <w:rPr>
          <w:vertAlign w:val="superscript"/>
        </w:rPr>
        <w:t xml:space="preserve">o</w:t>
      </w:r>
      <w:r>
        <w:t xml:space="preserve"> 132/2023 e a LC n.</w:t>
      </w:r>
      <w:r>
        <w:rPr>
          <w:vertAlign w:val="superscript"/>
        </w:rPr>
        <w:t xml:space="preserve">o</w:t>
      </w:r>
      <w:r>
        <w:t xml:space="preserve"> 227/2026 preservam por décadas uma parcela da receita vinculada à participação histórica dos entes; em 2033, primeiro ano sem ICMS e ISS, esse componente ainda responde por 90% do IBS. Depois disso, seu peso diminui progressivamente até 2077. A trajetória de curto prazo depende, portanto, sobretudo da posição herdada do sistema anterior, enquanto os novos critérios ganham influência à medida que a transição avança.</w:t>
      </w:r>
    </w:p>
    <w:p>
      <w:pPr>
        <w:pStyle w:val="BodyText"/>
      </w:pPr>
      <w:r>
        <w:t xml:space="preserve">A redistribuição produzida pelo IBS é, portanto, parte constitutiva da nova arquitetura federativa. Para o Paraná, a questão empírica é mensurar a magnitude e o ritmo com que a transição altera a participação do Estado na receita nacional e redistribui recursos entre seus municípios. A seção seguinte operacionaliza esse problema ao estimar as participações histórica e de destino do Paraná e de seus municípios e projetar sua combinação ao longo da transição.</w:t>
      </w:r>
    </w:p>
    <w:bookmarkEnd w:id="10"/>
    <w:bookmarkStart w:id="18" w:name="metodologia"/>
    <w:p>
      <w:pPr>
        <w:pStyle w:val="Heading1"/>
      </w:pPr>
      <w:r>
        <w:rPr>
          <w:rStyle w:val="SectionNumber"/>
        </w:rPr>
        <w:t xml:space="preserve">3</w:t>
      </w:r>
      <w:r>
        <w:tab/>
      </w:r>
      <w:r>
        <w:t xml:space="preserve">Metodologia</w:t>
      </w:r>
    </w:p>
    <w:p>
      <w:pPr>
        <w:pStyle w:val="FirstParagraph"/>
      </w:pPr>
      <w:r>
        <w:t xml:space="preserve">Esta seção descreve a estratégia utilizada para estimar os efeitos da transição para o IBS sobre a receita do governo estadual e dos municípios do Paraná entre 2029 e 2033. O método projeta a arrecadação nacional de referência, aplica as regras de transição e repartição, estima os coeficientes histórico e de destino e incorpora o Seguro-Receita e o financiamento do CGIBS. A receita resultante é comparada com um cenário sem reforma que preserva a participação de cada ente na arrecadação nacional observada em 2025.</w:t>
      </w:r>
    </w:p>
    <w:bookmarkStart w:id="12" w:name="X86c13fa8db8cf746f6be89a141cd42a083ad4b6"/>
    <w:p>
      <w:pPr>
        <w:pStyle w:val="Heading2"/>
      </w:pPr>
      <w:r>
        <w:rPr>
          <w:rStyle w:val="SectionNumber"/>
        </w:rPr>
        <w:t xml:space="preserve">3.1</w:t>
      </w:r>
      <w:r>
        <w:tab/>
      </w:r>
      <w:r>
        <w:t xml:space="preserve">Arrecadação nacional e parâmetros da transição</w:t>
      </w:r>
    </w:p>
    <w:p>
      <w:pPr>
        <w:pStyle w:val="FirstParagraph"/>
      </w:pPr>
      <w:r>
        <w:t xml:space="preserve">A projeção parte da arrecadação nacional de referência. Com o IBS, a receita de cada ente passa a depender não apenas da evolução de sua própria base tributária, mas também da parcela que lhe cabe em um agregado nacional. O modelo projeta primeiro esse montante e, em seguida, aplica as regras de transição e repartição para determinar a receita de cada ente. A mesma trajetória nacional é utilizada nos cenários com e sem reforma, de modo que a diferença entre eles reflita as novas regras de distribuição da receita.</w:t>
      </w:r>
    </w:p>
    <w:p>
      <w:pPr>
        <w:pStyle w:val="BodyText"/>
      </w:pPr>
      <w:r>
        <w:t xml:space="preserve">O agregado nacional é projetado a partir do princípio de neutralidade previsto nos arts. 361 a 365 da Lei Complementar n.</w:t>
      </w:r>
      <w:r>
        <w:rPr>
          <w:vertAlign w:val="superscript"/>
        </w:rPr>
        <w:t xml:space="preserve">o</w:t>
      </w:r>
      <w:r>
        <w:t xml:space="preserve"> 214/2025, com as alterações da Lei Complementar n.</w:t>
      </w:r>
      <w:r>
        <w:rPr>
          <w:vertAlign w:val="superscript"/>
        </w:rPr>
        <w:t xml:space="preserve">o</w:t>
      </w:r>
      <w:r>
        <w:t xml:space="preserve"> 227/2026. A legislação utiliza a razão média entre a receita de referência e o PIB observada entre 2024 e 2026 para calibrar as alíquotas de referência. O modelo utiliza os dados fechados de 2024 e 2025 e, para 2026, uma estimativa preliminar construída com a arrecadação disponível no RREO e o PIB projetado pelo Boletim Focus. </w:t>
      </w:r>
      <w:r>
        <w:rPr/>
        <w:t>A média resultante é de 8,0193% do PIB.</w:t>
      </w:r>
      <w:r>
        <w:rPr/>
      </w:r>
    </w:p>
    <w:p>
      <w:pPr>
        <w:pStyle w:val="BodyText"/>
      </w:pPr>
      <w:r>
        <w:t xml:space="preserve">Essa razão é aplicada à trajetória projetada do PIB real. O Boletim Focus é utilizado no horizonte mais próximo e as projeções da Instituição Fiscal Independente nos anos subsequentes. Os valores são expressos a preços constantes de 2025. A arrecadação nacional de referência no ano</w:t>
      </w:r>
      <w:r>
        <w:t xml:space="preserve"> </w:t>
      </w:r>
      <m:oMath>
        <m:r>
          <m:t>t</m:t>
        </m:r>
      </m:oMath>
      <w:r>
        <w:t xml:space="preserve"> </w:t>
      </w:r>
      <w:r>
        <w:t xml:space="preserve">é denotada por</w:t>
      </w:r>
      <w:r>
        <w:t xml:space="preserve"> </w:t>
      </w:r>
      <m:oMath>
        <m:sSub>
          <m:e>
            <m:r>
              <m:t>A</m:t>
            </m:r>
          </m:e>
          <m:sub>
            <m:r>
              <m:t>t</m:t>
            </m:r>
          </m:sub>
        </m:sSub>
      </m:oMath>
      <w:r>
        <w:t xml:space="preserve">.</w:t>
      </w:r>
    </w:p>
    <w:p>
      <w:pPr>
        <w:pStyle w:val="BodyText"/>
      </w:pPr>
      <w:r>
        <w:t xml:space="preserve">Uma vez projetada</w:t>
      </w:r>
      <w:r>
        <w:t xml:space="preserve"> </w:t>
      </w:r>
      <m:oMath>
        <m:sSub>
          <m:e>
            <m:r>
              <m:t>A</m:t>
            </m:r>
          </m:e>
          <m:sub>
            <m:r>
              <m:t>t</m:t>
            </m:r>
          </m:sub>
        </m:sSub>
      </m:oMath>
      <w:r>
        <w:t xml:space="preserve">, o modelo incorpora duas transições simultâneas. A primeira é a substituição gradual do ICMS e do ISS pelo IBS. Entre 2029 e 2032, uma parcela da arrecadação permanece associada aos tributos anteriores e outra já corresponde ao IBS. Em 2033, ICMS e ISS são extintos e toda a base de referência passa ao novo imposto. Essas parcelas são representadas por</w:t>
      </w:r>
      <w:r>
        <w:t xml:space="preserve"> </w:t>
      </w:r>
      <m:oMath>
        <m:sSub>
          <m:e>
            <m:r>
              <m:t>f</m:t>
            </m:r>
          </m:e>
          <m:sub>
            <m:r>
              <m:t>t</m:t>
            </m:r>
          </m:sub>
        </m:sSub>
      </m:oMath>
      <w:r>
        <w:t xml:space="preserve"> </w:t>
      </w:r>
      <w:r>
        <w:t xml:space="preserve">e</w:t>
      </w:r>
      <w:r>
        <w:t xml:space="preserve"> </w:t>
      </w:r>
      <m:oMath>
        <m:sSub>
          <m:e>
            <m:r>
              <m:t>s</m:t>
            </m:r>
          </m:e>
          <m:sub>
            <m:r>
              <m:t>t</m:t>
            </m:r>
          </m:sub>
        </m:sSub>
        <m:r>
          <m:rPr>
            <m:sty m:val="p"/>
          </m:rPr>
          <m:t>=</m:t>
        </m:r>
        <m:r>
          <m:t>1</m:t>
        </m:r>
        <m:r>
          <m:rPr>
            <m:sty m:val="p"/>
          </m:rPr>
          <m:t>−</m:t>
        </m:r>
        <m:sSub>
          <m:e>
            <m:r>
              <m:t>f</m:t>
            </m:r>
          </m:e>
          <m:sub>
            <m:r>
              <m:t>t</m:t>
            </m:r>
          </m:sub>
        </m:sSub>
      </m:oMath>
      <w:r>
        <w:t xml:space="preserve">.</w:t>
      </w:r>
    </w:p>
    <w:p>
      <w:pPr>
        <w:pStyle w:val="BodyText"/>
      </w:pPr>
      <w:r>
        <w:t xml:space="preserve">A segunda é a transição na regra de repartição do IBS. O novo imposto não passa imediatamente a ser distribuído apenas pelo destino. No horizonte analisado, a maior parte permanece vinculada à participação histórica dos entes: 80% do IBS entre 2029 e 2032 e 90% em 2033. A parcela não distribuída pelo componente histórico financia o Seguro-Receita e, após essa retenção, segue para o destino do consumo. Em horizonte mais longo, o peso do componente histórico diminui progressivamente e o destino passa a predominar.</w:t>
      </w:r>
    </w:p>
    <w:p>
      <w:pPr>
        <w:pStyle w:val="BodyText"/>
      </w:pPr>
      <w:r>
        <w:t xml:space="preserve">A Tabela 1 resume as duas transições e os demais parâmetros utilizados no modelo. A primeira aparece nas parcelas</w:t>
      </w:r>
      <w:r>
        <w:t xml:space="preserve"> </w:t>
      </w:r>
      <m:oMath>
        <m:sSub>
          <m:e>
            <m:r>
              <m:t>f</m:t>
            </m:r>
          </m:e>
          <m:sub>
            <m:r>
              <m:t>t</m:t>
            </m:r>
          </m:sub>
        </m:sSub>
      </m:oMath>
      <w:r>
        <w:t xml:space="preserve"> </w:t>
      </w:r>
      <w:r>
        <w:t xml:space="preserve">e</w:t>
      </w:r>
      <w:r>
        <w:t xml:space="preserve"> </w:t>
      </w:r>
      <m:oMath>
        <m:sSub>
          <m:e>
            <m:r>
              <m:t>s</m:t>
            </m:r>
          </m:e>
          <m:sub>
            <m:r>
              <m:t>t</m:t>
            </m:r>
          </m:sub>
        </m:sSub>
      </m:oMath>
      <w:r>
        <w:t xml:space="preserve">. A segunda é representada por</w:t>
      </w:r>
      <w:r>
        <w:t xml:space="preserve"> </w:t>
      </w:r>
      <m:oMath>
        <m:sSub>
          <m:e>
            <m:r>
              <m:t>λ</m:t>
            </m:r>
          </m:e>
          <m:sub>
            <m:r>
              <m:t>t</m:t>
            </m:r>
          </m:sub>
        </m:sSub>
      </m:oMath>
      <w:r>
        <w:t xml:space="preserve">, que define o peso do componente histórico dentro do IBS. O parâmetro</w:t>
      </w:r>
      <w:r>
        <w:t xml:space="preserve"> </w:t>
      </w:r>
      <m:oMath>
        <m:sSub>
          <m:e>
            <m:r>
              <m:t>ρ</m:t>
            </m:r>
          </m:e>
          <m:sub>
            <m:r>
              <m:t>t</m:t>
            </m:r>
          </m:sub>
        </m:sSub>
      </m:oMath>
      <w:r>
        <w:t xml:space="preserve"> </w:t>
      </w:r>
      <w:r>
        <w:t xml:space="preserve">corresponde à retenção destinada ao Seguro-Receita, enquanto o financiamento do CGIBS é tratado como dedução posterior da receita de IBS atribuída ao ente. Como o componente histórico domina a distribuição do IBS no período analisado, sua mensuração é o primeiro elemento específico de repartição considerado na subseção seguinte.</w:t>
      </w:r>
    </w:p>
    <w:bookmarkStart w:id="11" w:name="tab:parametros"/>
    <w:p>
      <w:pPr>
        <w:pStyle w:val="TableCaption"/>
      </w:pPr>
      <w:r>
        <w:rPr>
          <w:b/>
          <w:bCs/>
        </w:rPr>
        <w:t xml:space="preserve">Tabela 1:</w:t>
      </w:r>
      <w:r>
        <w:t xml:space="preserve"> Parâmetros das duas transições utilizados no modelo de projeção</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1: Parâmetros das duas transições utilizados no modelo de projeção"/>
      </w:tblPr>
      <w:tblGrid>
        <w:gridCol w:w="623"/>
        <w:gridCol w:w="1077"/>
        <w:gridCol w:w="850"/>
        <w:gridCol w:w="1757"/>
        <w:gridCol w:w="1190"/>
        <w:gridCol w:w="1757"/>
        <w:gridCol w:w="963"/>
        <w:gridCol w:w="850"/>
      </w:tblGrid>
      <w:tr>
        <w:trPr>
          <w:tblHeader w:val="on"/>
          <w:cantSplit/>
          <w:tblHeader/>
        </w:trPr>
        <w:tc>
          <w:tcPr>
            <w:tcW w:type="dxa" w:w="62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Ano</w:t>
            </w:r>
          </w:p>
        </w:tc>
        <w:tc>
          <w:tcPr>
            <w:tcW w:type="dxa" w:w="107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ICMS/ISS</w:t>
            </w:r>
            <w:r>
              <w:rPr>
                <w:rFonts w:ascii="Times New Roman" w:hAnsi="Times New Roman"/>
                <w:b/>
                <w:sz w:val="16"/>
              </w:rPr>
              <w:br/>
            </w:r>
            <w:r>
              <w:rPr>
                <w:rFonts w:ascii="Times New Roman" w:hAnsi="Times New Roman"/>
                <w:b/>
                <w:bCs/>
                <w:sz w:val="16"/>
              </w:rPr>
              <w:t xml:space="preserve">reman.</w:t>
            </w:r>
            <w:r>
              <w:rPr>
                <w:rFonts w:ascii="Times New Roman" w:hAnsi="Times New Roman"/>
                <w:b/>
                <w:sz w:val="16"/>
              </w:rPr>
              <w:br/>
            </w:r>
            <m:oMath>
              <m:sSub>
                <m:e>
                  <m:r>
                    <m:t>f</m:t>
                  </m:r>
                </m:e>
                <m:sub>
                  <m:r>
                    <m:t>t</m:t>
                  </m:r>
                </m:sub>
              </m:sSub>
            </m:oMath>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Base em</w:t>
            </w:r>
            <w:r>
              <w:rPr>
                <w:rFonts w:ascii="Times New Roman" w:hAnsi="Times New Roman"/>
                <w:b/>
                <w:sz w:val="16"/>
              </w:rPr>
              <w:br/>
            </w:r>
            <w:r>
              <w:rPr>
                <w:rFonts w:ascii="Times New Roman" w:hAnsi="Times New Roman"/>
                <w:b/>
                <w:bCs/>
                <w:sz w:val="16"/>
              </w:rPr>
              <w:t xml:space="preserve">IBS</w:t>
            </w:r>
            <w:r>
              <w:rPr>
                <w:rFonts w:ascii="Times New Roman" w:hAnsi="Times New Roman"/>
                <w:b/>
                <w:sz w:val="16"/>
              </w:rPr>
              <w:br/>
            </w:r>
            <m:oMath>
              <m:sSub>
                <m:e>
                  <m:r>
                    <m:t>s</m:t>
                  </m:r>
                </m:e>
                <m:sub>
                  <m:r>
                    <m:t>t</m:t>
                  </m:r>
                </m:sub>
              </m:sSub>
            </m:oMath>
          </w:p>
        </w:tc>
        <w:tc>
          <w:tcPr>
            <w:tcW w:type="dxa" w:w="175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Componente</w:t>
            </w:r>
            <w:r>
              <w:rPr>
                <w:rFonts w:ascii="Times New Roman" w:hAnsi="Times New Roman"/>
                <w:b/>
                <w:sz w:val="16"/>
              </w:rPr>
              <w:br/>
            </w:r>
            <w:r>
              <w:rPr>
                <w:rFonts w:ascii="Times New Roman" w:hAnsi="Times New Roman"/>
                <w:b/>
                <w:bCs/>
                <w:sz w:val="16"/>
              </w:rPr>
              <w:t xml:space="preserve">histórico no IBS</w:t>
            </w:r>
            <w:r>
              <w:rPr>
                <w:rFonts w:ascii="Times New Roman" w:hAnsi="Times New Roman"/>
                <w:b/>
                <w:sz w:val="16"/>
              </w:rPr>
              <w:br/>
            </w:r>
            <m:oMath>
              <m:sSub>
                <m:e>
                  <m:r>
                    <m:t>λ</m:t>
                  </m:r>
                </m:e>
                <m:sub>
                  <m:r>
                    <m:t>t</m:t>
                  </m:r>
                </m:sub>
              </m:sSub>
            </m:oMath>
          </w:p>
        </w:tc>
        <w:tc>
          <w:tcPr>
            <w:tcW w:type="dxa" w:w="119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Histórico</w:t>
            </w:r>
            <w:r>
              <w:rPr>
                <w:rFonts w:ascii="Times New Roman" w:hAnsi="Times New Roman"/>
                <w:b/>
                <w:sz w:val="16"/>
              </w:rPr>
              <w:br/>
            </w:r>
            <w:r>
              <w:rPr>
                <w:rFonts w:ascii="Times New Roman" w:hAnsi="Times New Roman"/>
                <w:b/>
                <w:bCs/>
                <w:sz w:val="16"/>
              </w:rPr>
              <w:t xml:space="preserve">sobre</w:t>
            </w:r>
            <w:r>
              <w:rPr>
                <w:rFonts w:ascii="Times New Roman" w:hAnsi="Times New Roman"/>
                <w:b/>
                <w:bCs/>
                <w:sz w:val="16"/>
              </w:rPr>
              <w:t xml:space="preserve"> </w:t>
            </w:r>
            <m:oMath>
              <m:sSub>
                <m:e>
                  <m:r>
                    <m:t>A</m:t>
                  </m:r>
                </m:e>
                <m:sub>
                  <m:r>
                    <m:t>t</m:t>
                  </m:r>
                </m:sub>
              </m:sSub>
            </m:oMath>
          </w:p>
        </w:tc>
        <w:tc>
          <w:tcPr>
            <w:tcW w:type="dxa" w:w="175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Seguro-Receita</w:t>
            </w:r>
            <w:r>
              <w:rPr>
                <w:rFonts w:ascii="Times New Roman" w:hAnsi="Times New Roman"/>
                <w:b/>
                <w:sz w:val="16"/>
              </w:rPr>
              <w:br/>
            </w:r>
            <w:r>
              <w:rPr>
                <w:rFonts w:ascii="Times New Roman" w:hAnsi="Times New Roman"/>
                <w:b/>
                <w:bCs/>
                <w:sz w:val="16"/>
              </w:rPr>
              <w:t xml:space="preserve">sobre</w:t>
            </w:r>
            <w:r>
              <w:rPr>
                <w:rFonts w:ascii="Times New Roman" w:hAnsi="Times New Roman"/>
                <w:b/>
                <w:bCs/>
                <w:sz w:val="16"/>
              </w:rPr>
              <w:t xml:space="preserve"> </w:t>
            </w:r>
            <m:oMath>
              <m:sSub>
                <m:e>
                  <m:r>
                    <m:t>A</m:t>
                  </m:r>
                </m:e>
                <m:sub>
                  <m:r>
                    <m:t>t</m:t>
                  </m:r>
                </m:sub>
              </m:sSub>
            </m:oMath>
          </w:p>
        </w:tc>
        <w:tc>
          <w:tcPr>
            <w:tcW w:type="dxa" w:w="96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Destino</w:t>
            </w:r>
            <w:r>
              <w:rPr>
                <w:rFonts w:ascii="Times New Roman" w:hAnsi="Times New Roman"/>
                <w:b/>
                <w:sz w:val="16"/>
              </w:rPr>
              <w:br/>
            </w:r>
            <w:r>
              <w:rPr>
                <w:rFonts w:ascii="Times New Roman" w:hAnsi="Times New Roman"/>
                <w:b/>
                <w:bCs/>
                <w:sz w:val="16"/>
              </w:rPr>
              <w:t xml:space="preserve">sobre</w:t>
            </w:r>
            <w:r>
              <w:rPr>
                <w:rFonts w:ascii="Times New Roman" w:hAnsi="Times New Roman"/>
                <w:b/>
                <w:bCs/>
                <w:sz w:val="16"/>
              </w:rPr>
              <w:t xml:space="preserve"> </w:t>
            </w:r>
            <m:oMath>
              <m:sSub>
                <m:e>
                  <m:r>
                    <m:t>A</m:t>
                  </m:r>
                </m:e>
                <m:sub>
                  <m:r>
                    <m:t>t</m:t>
                  </m:r>
                </m:sub>
              </m:sSub>
            </m:oMath>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Limite</w:t>
            </w:r>
            <w:r>
              <w:rPr>
                <w:rFonts w:ascii="Times New Roman" w:hAnsi="Times New Roman"/>
                <w:b/>
                <w:sz w:val="16"/>
              </w:rPr>
              <w:br/>
            </w:r>
            <w:r>
              <w:rPr>
                <w:rFonts w:ascii="Times New Roman" w:hAnsi="Times New Roman"/>
                <w:b/>
                <w:bCs/>
                <w:sz w:val="16"/>
              </w:rPr>
              <w:t xml:space="preserve">CGIBS</w:t>
            </w:r>
          </w:p>
        </w:tc>
      </w:tr>
      <w:tr>
        <w:trPr>
          <w:cantSplit/>
        </w:trPr>
        <w:tc>
          <w:tcPr>
            <w:tcW w:type="dxa" w:w="623"/>
          </w:tcPr>
          <w:p>
            <w:pPr>
              <w:pStyle w:val="Compact"/>
              <w:spacing w:line="240" w:lineRule="auto" w:before="20" w:after="20"/>
              <w:ind w:firstLine="0"/>
              <w:jc w:val="left"/>
            </w:pPr>
            <w:r>
              <w:rPr>
                <w:rFonts w:ascii="Times New Roman" w:hAnsi="Times New Roman"/>
                <w:sz w:val="16"/>
              </w:rPr>
              <w:t xml:space="preserve">2029</w:t>
            </w:r>
          </w:p>
        </w:tc>
        <w:tc>
          <w:tcPr>
            <w:tcW w:type="dxa" w:w="1077"/>
          </w:tcPr>
          <w:p>
            <w:pPr>
              <w:pStyle w:val="Compact"/>
              <w:spacing w:line="240" w:lineRule="auto" w:before="20" w:after="20"/>
              <w:ind w:firstLine="0"/>
              <w:jc w:val="center"/>
            </w:pPr>
            <w:r>
              <w:rPr>
                <w:rFonts w:ascii="Times New Roman" w:hAnsi="Times New Roman"/>
                <w:sz w:val="16"/>
              </w:rPr>
              <w:t xml:space="preserve">90%</w:t>
            </w:r>
          </w:p>
        </w:tc>
        <w:tc>
          <w:tcPr>
            <w:tcW w:type="dxa" w:w="850"/>
          </w:tcPr>
          <w:p>
            <w:pPr>
              <w:pStyle w:val="Compact"/>
              <w:spacing w:line="240" w:lineRule="auto" w:before="20" w:after="20"/>
              <w:ind w:firstLine="0"/>
              <w:jc w:val="center"/>
            </w:pPr>
            <w:r>
              <w:rPr>
                <w:rFonts w:ascii="Times New Roman" w:hAnsi="Times New Roman"/>
                <w:sz w:val="16"/>
              </w:rPr>
              <w:t xml:space="preserve">10%</w:t>
            </w:r>
          </w:p>
        </w:tc>
        <w:tc>
          <w:tcPr>
            <w:tcW w:type="dxa" w:w="1757"/>
          </w:tcPr>
          <w:p>
            <w:pPr>
              <w:pStyle w:val="Compact"/>
              <w:spacing w:line="240" w:lineRule="auto" w:before="20" w:after="20"/>
              <w:ind w:firstLine="0"/>
              <w:jc w:val="center"/>
            </w:pPr>
            <w:r>
              <w:rPr>
                <w:rFonts w:ascii="Times New Roman" w:hAnsi="Times New Roman"/>
                <w:sz w:val="16"/>
              </w:rPr>
              <w:t xml:space="preserve">80%</w:t>
            </w:r>
          </w:p>
        </w:tc>
        <w:tc>
          <w:tcPr>
            <w:tcW w:type="dxa" w:w="1190"/>
          </w:tcPr>
          <w:p>
            <w:pPr>
              <w:pStyle w:val="Compact"/>
              <w:spacing w:line="240" w:lineRule="auto" w:before="20" w:after="20"/>
              <w:ind w:firstLine="0"/>
              <w:jc w:val="center"/>
            </w:pPr>
            <w:r>
              <w:rPr>
                <w:rFonts w:ascii="Times New Roman" w:hAnsi="Times New Roman"/>
                <w:sz w:val="16"/>
              </w:rPr>
              <w:t xml:space="preserve">8,00%</w:t>
            </w:r>
          </w:p>
        </w:tc>
        <w:tc>
          <w:tcPr>
            <w:tcW w:type="dxa" w:w="1757"/>
          </w:tcPr>
          <w:p>
            <w:pPr>
              <w:pStyle w:val="Compact"/>
              <w:spacing w:line="240" w:lineRule="auto" w:before="20" w:after="20"/>
              <w:ind w:firstLine="0"/>
              <w:jc w:val="center"/>
            </w:pPr>
            <w:r>
              <w:rPr>
                <w:rFonts w:ascii="Times New Roman" w:hAnsi="Times New Roman"/>
                <w:sz w:val="16"/>
              </w:rPr>
              <w:t xml:space="preserve">0,10%</w:t>
            </w:r>
          </w:p>
        </w:tc>
        <w:tc>
          <w:tcPr>
            <w:tcW w:type="dxa" w:w="963"/>
          </w:tcPr>
          <w:p>
            <w:pPr>
              <w:pStyle w:val="Compact"/>
              <w:spacing w:line="240" w:lineRule="auto" w:before="20" w:after="20"/>
              <w:ind w:firstLine="0"/>
              <w:jc w:val="center"/>
            </w:pPr>
            <w:r>
              <w:rPr>
                <w:rFonts w:ascii="Times New Roman" w:hAnsi="Times New Roman"/>
                <w:sz w:val="16"/>
              </w:rPr>
              <w:t xml:space="preserve">1,90%</w:t>
            </w:r>
          </w:p>
        </w:tc>
        <w:tc>
          <w:tcPr>
            <w:tcW w:type="dxa" w:w="850"/>
          </w:tcPr>
          <w:p>
            <w:pPr>
              <w:pStyle w:val="Compact"/>
              <w:spacing w:line="240" w:lineRule="auto" w:before="20" w:after="20"/>
              <w:ind w:firstLine="0"/>
              <w:jc w:val="center"/>
            </w:pPr>
            <w:r>
              <w:rPr>
                <w:rFonts w:ascii="Times New Roman" w:hAnsi="Times New Roman"/>
                <w:sz w:val="16"/>
              </w:rPr>
              <w:t xml:space="preserve">2,00%</w:t>
            </w:r>
          </w:p>
        </w:tc>
      </w:tr>
      <w:tr>
        <w:trPr>
          <w:cantSplit/>
        </w:trPr>
        <w:tc>
          <w:tcPr>
            <w:tcW w:type="dxa" w:w="623"/>
          </w:tcPr>
          <w:p>
            <w:pPr>
              <w:pStyle w:val="Compact"/>
              <w:spacing w:line="240" w:lineRule="auto" w:before="20" w:after="20"/>
              <w:ind w:firstLine="0"/>
              <w:jc w:val="left"/>
            </w:pPr>
            <w:r>
              <w:rPr>
                <w:rFonts w:ascii="Times New Roman" w:hAnsi="Times New Roman"/>
                <w:sz w:val="16"/>
              </w:rPr>
              <w:t xml:space="preserve">2030</w:t>
            </w:r>
          </w:p>
        </w:tc>
        <w:tc>
          <w:tcPr>
            <w:tcW w:type="dxa" w:w="1077"/>
          </w:tcPr>
          <w:p>
            <w:pPr>
              <w:pStyle w:val="Compact"/>
              <w:spacing w:line="240" w:lineRule="auto" w:before="20" w:after="20"/>
              <w:ind w:firstLine="0"/>
              <w:jc w:val="center"/>
            </w:pPr>
            <w:r>
              <w:rPr>
                <w:rFonts w:ascii="Times New Roman" w:hAnsi="Times New Roman"/>
                <w:sz w:val="16"/>
              </w:rPr>
              <w:t xml:space="preserve">80%</w:t>
            </w:r>
          </w:p>
        </w:tc>
        <w:tc>
          <w:tcPr>
            <w:tcW w:type="dxa" w:w="850"/>
          </w:tcPr>
          <w:p>
            <w:pPr>
              <w:pStyle w:val="Compact"/>
              <w:spacing w:line="240" w:lineRule="auto" w:before="20" w:after="20"/>
              <w:ind w:firstLine="0"/>
              <w:jc w:val="center"/>
            </w:pPr>
            <w:r>
              <w:rPr>
                <w:rFonts w:ascii="Times New Roman" w:hAnsi="Times New Roman"/>
                <w:sz w:val="16"/>
              </w:rPr>
              <w:t xml:space="preserve">20%</w:t>
            </w:r>
          </w:p>
        </w:tc>
        <w:tc>
          <w:tcPr>
            <w:tcW w:type="dxa" w:w="1757"/>
          </w:tcPr>
          <w:p>
            <w:pPr>
              <w:pStyle w:val="Compact"/>
              <w:spacing w:line="240" w:lineRule="auto" w:before="20" w:after="20"/>
              <w:ind w:firstLine="0"/>
              <w:jc w:val="center"/>
            </w:pPr>
            <w:r>
              <w:rPr>
                <w:rFonts w:ascii="Times New Roman" w:hAnsi="Times New Roman"/>
                <w:sz w:val="16"/>
              </w:rPr>
              <w:t xml:space="preserve">80%</w:t>
            </w:r>
          </w:p>
        </w:tc>
        <w:tc>
          <w:tcPr>
            <w:tcW w:type="dxa" w:w="1190"/>
          </w:tcPr>
          <w:p>
            <w:pPr>
              <w:pStyle w:val="Compact"/>
              <w:spacing w:line="240" w:lineRule="auto" w:before="20" w:after="20"/>
              <w:ind w:firstLine="0"/>
              <w:jc w:val="center"/>
            </w:pPr>
            <w:r>
              <w:rPr>
                <w:rFonts w:ascii="Times New Roman" w:hAnsi="Times New Roman"/>
                <w:sz w:val="16"/>
              </w:rPr>
              <w:t xml:space="preserve">16,00%</w:t>
            </w:r>
          </w:p>
        </w:tc>
        <w:tc>
          <w:tcPr>
            <w:tcW w:type="dxa" w:w="1757"/>
          </w:tcPr>
          <w:p>
            <w:pPr>
              <w:pStyle w:val="Compact"/>
              <w:spacing w:line="240" w:lineRule="auto" w:before="20" w:after="20"/>
              <w:ind w:firstLine="0"/>
              <w:jc w:val="center"/>
            </w:pPr>
            <w:r>
              <w:rPr>
                <w:rFonts w:ascii="Times New Roman" w:hAnsi="Times New Roman"/>
                <w:sz w:val="16"/>
              </w:rPr>
              <w:t xml:space="preserve">0,20%</w:t>
            </w:r>
          </w:p>
        </w:tc>
        <w:tc>
          <w:tcPr>
            <w:tcW w:type="dxa" w:w="963"/>
          </w:tcPr>
          <w:p>
            <w:pPr>
              <w:pStyle w:val="Compact"/>
              <w:spacing w:line="240" w:lineRule="auto" w:before="20" w:after="20"/>
              <w:ind w:firstLine="0"/>
              <w:jc w:val="center"/>
            </w:pPr>
            <w:r>
              <w:rPr>
                <w:rFonts w:ascii="Times New Roman" w:hAnsi="Times New Roman"/>
                <w:sz w:val="16"/>
              </w:rPr>
              <w:t xml:space="preserve">3,80%</w:t>
            </w:r>
          </w:p>
        </w:tc>
        <w:tc>
          <w:tcPr>
            <w:tcW w:type="dxa" w:w="850"/>
          </w:tcPr>
          <w:p>
            <w:pPr>
              <w:pStyle w:val="Compact"/>
              <w:spacing w:line="240" w:lineRule="auto" w:before="20" w:after="20"/>
              <w:ind w:firstLine="0"/>
              <w:jc w:val="center"/>
            </w:pPr>
            <w:r>
              <w:rPr>
                <w:rFonts w:ascii="Times New Roman" w:hAnsi="Times New Roman"/>
                <w:sz w:val="16"/>
              </w:rPr>
              <w:t xml:space="preserve">1,00%</w:t>
            </w:r>
          </w:p>
        </w:tc>
      </w:tr>
      <w:tr>
        <w:trPr>
          <w:cantSplit/>
        </w:trPr>
        <w:tc>
          <w:tcPr>
            <w:tcW w:type="dxa" w:w="623"/>
          </w:tcPr>
          <w:p>
            <w:pPr>
              <w:pStyle w:val="Compact"/>
              <w:spacing w:line="240" w:lineRule="auto" w:before="20" w:after="20"/>
              <w:ind w:firstLine="0"/>
              <w:jc w:val="left"/>
            </w:pPr>
            <w:r>
              <w:rPr>
                <w:rFonts w:ascii="Times New Roman" w:hAnsi="Times New Roman"/>
                <w:sz w:val="16"/>
              </w:rPr>
              <w:t xml:space="preserve">2031</w:t>
            </w:r>
          </w:p>
        </w:tc>
        <w:tc>
          <w:tcPr>
            <w:tcW w:type="dxa" w:w="1077"/>
          </w:tcPr>
          <w:p>
            <w:pPr>
              <w:pStyle w:val="Compact"/>
              <w:spacing w:line="240" w:lineRule="auto" w:before="20" w:after="20"/>
              <w:ind w:firstLine="0"/>
              <w:jc w:val="center"/>
            </w:pPr>
            <w:r>
              <w:rPr>
                <w:rFonts w:ascii="Times New Roman" w:hAnsi="Times New Roman"/>
                <w:sz w:val="16"/>
              </w:rPr>
              <w:t xml:space="preserve">70%</w:t>
            </w:r>
          </w:p>
        </w:tc>
        <w:tc>
          <w:tcPr>
            <w:tcW w:type="dxa" w:w="850"/>
          </w:tcPr>
          <w:p>
            <w:pPr>
              <w:pStyle w:val="Compact"/>
              <w:spacing w:line="240" w:lineRule="auto" w:before="20" w:after="20"/>
              <w:ind w:firstLine="0"/>
              <w:jc w:val="center"/>
            </w:pPr>
            <w:r>
              <w:rPr>
                <w:rFonts w:ascii="Times New Roman" w:hAnsi="Times New Roman"/>
                <w:sz w:val="16"/>
              </w:rPr>
              <w:t xml:space="preserve">30%</w:t>
            </w:r>
          </w:p>
        </w:tc>
        <w:tc>
          <w:tcPr>
            <w:tcW w:type="dxa" w:w="1757"/>
          </w:tcPr>
          <w:p>
            <w:pPr>
              <w:pStyle w:val="Compact"/>
              <w:spacing w:line="240" w:lineRule="auto" w:before="20" w:after="20"/>
              <w:ind w:firstLine="0"/>
              <w:jc w:val="center"/>
            </w:pPr>
            <w:r>
              <w:rPr>
                <w:rFonts w:ascii="Times New Roman" w:hAnsi="Times New Roman"/>
                <w:sz w:val="16"/>
              </w:rPr>
              <w:t xml:space="preserve">80%</w:t>
            </w:r>
          </w:p>
        </w:tc>
        <w:tc>
          <w:tcPr>
            <w:tcW w:type="dxa" w:w="1190"/>
          </w:tcPr>
          <w:p>
            <w:pPr>
              <w:pStyle w:val="Compact"/>
              <w:spacing w:line="240" w:lineRule="auto" w:before="20" w:after="20"/>
              <w:ind w:firstLine="0"/>
              <w:jc w:val="center"/>
            </w:pPr>
            <w:r>
              <w:rPr>
                <w:rFonts w:ascii="Times New Roman" w:hAnsi="Times New Roman"/>
                <w:sz w:val="16"/>
              </w:rPr>
              <w:t xml:space="preserve">24,00%</w:t>
            </w:r>
          </w:p>
        </w:tc>
        <w:tc>
          <w:tcPr>
            <w:tcW w:type="dxa" w:w="1757"/>
          </w:tcPr>
          <w:p>
            <w:pPr>
              <w:pStyle w:val="Compact"/>
              <w:spacing w:line="240" w:lineRule="auto" w:before="20" w:after="20"/>
              <w:ind w:firstLine="0"/>
              <w:jc w:val="center"/>
            </w:pPr>
            <w:r>
              <w:rPr>
                <w:rFonts w:ascii="Times New Roman" w:hAnsi="Times New Roman"/>
                <w:sz w:val="16"/>
              </w:rPr>
              <w:t xml:space="preserve">0,30%</w:t>
            </w:r>
          </w:p>
        </w:tc>
        <w:tc>
          <w:tcPr>
            <w:tcW w:type="dxa" w:w="963"/>
          </w:tcPr>
          <w:p>
            <w:pPr>
              <w:pStyle w:val="Compact"/>
              <w:spacing w:line="240" w:lineRule="auto" w:before="20" w:after="20"/>
              <w:ind w:firstLine="0"/>
              <w:jc w:val="center"/>
            </w:pPr>
            <w:r>
              <w:rPr>
                <w:rFonts w:ascii="Times New Roman" w:hAnsi="Times New Roman"/>
                <w:sz w:val="16"/>
              </w:rPr>
              <w:t xml:space="preserve">5,70%</w:t>
            </w:r>
          </w:p>
        </w:tc>
        <w:tc>
          <w:tcPr>
            <w:tcW w:type="dxa" w:w="850"/>
          </w:tcPr>
          <w:p>
            <w:pPr>
              <w:pStyle w:val="Compact"/>
              <w:spacing w:line="240" w:lineRule="auto" w:before="20" w:after="20"/>
              <w:ind w:firstLine="0"/>
              <w:jc w:val="center"/>
            </w:pPr>
            <w:r>
              <w:rPr>
                <w:rFonts w:ascii="Times New Roman" w:hAnsi="Times New Roman"/>
                <w:sz w:val="16"/>
              </w:rPr>
              <w:t xml:space="preserve">0,67%</w:t>
            </w:r>
          </w:p>
        </w:tc>
      </w:tr>
      <w:tr>
        <w:trPr>
          <w:cantSplit/>
        </w:trPr>
        <w:tc>
          <w:tcPr>
            <w:tcW w:type="dxa" w:w="623"/>
          </w:tcPr>
          <w:p>
            <w:pPr>
              <w:pStyle w:val="Compact"/>
              <w:spacing w:line="240" w:lineRule="auto" w:before="20" w:after="20"/>
              <w:ind w:firstLine="0"/>
              <w:jc w:val="left"/>
            </w:pPr>
            <w:r>
              <w:rPr>
                <w:rFonts w:ascii="Times New Roman" w:hAnsi="Times New Roman"/>
                <w:sz w:val="16"/>
              </w:rPr>
              <w:t xml:space="preserve">2032</w:t>
            </w:r>
          </w:p>
        </w:tc>
        <w:tc>
          <w:tcPr>
            <w:tcW w:type="dxa" w:w="1077"/>
          </w:tcPr>
          <w:p>
            <w:pPr>
              <w:pStyle w:val="Compact"/>
              <w:spacing w:line="240" w:lineRule="auto" w:before="20" w:after="20"/>
              <w:ind w:firstLine="0"/>
              <w:jc w:val="center"/>
            </w:pPr>
            <w:r>
              <w:rPr>
                <w:rFonts w:ascii="Times New Roman" w:hAnsi="Times New Roman"/>
                <w:sz w:val="16"/>
              </w:rPr>
              <w:t xml:space="preserve">60%</w:t>
            </w:r>
          </w:p>
        </w:tc>
        <w:tc>
          <w:tcPr>
            <w:tcW w:type="dxa" w:w="850"/>
          </w:tcPr>
          <w:p>
            <w:pPr>
              <w:pStyle w:val="Compact"/>
              <w:spacing w:line="240" w:lineRule="auto" w:before="20" w:after="20"/>
              <w:ind w:firstLine="0"/>
              <w:jc w:val="center"/>
            </w:pPr>
            <w:r>
              <w:rPr>
                <w:rFonts w:ascii="Times New Roman" w:hAnsi="Times New Roman"/>
                <w:sz w:val="16"/>
              </w:rPr>
              <w:t xml:space="preserve">40%</w:t>
            </w:r>
          </w:p>
        </w:tc>
        <w:tc>
          <w:tcPr>
            <w:tcW w:type="dxa" w:w="1757"/>
          </w:tcPr>
          <w:p>
            <w:pPr>
              <w:pStyle w:val="Compact"/>
              <w:spacing w:line="240" w:lineRule="auto" w:before="20" w:after="20"/>
              <w:ind w:firstLine="0"/>
              <w:jc w:val="center"/>
            </w:pPr>
            <w:r>
              <w:rPr>
                <w:rFonts w:ascii="Times New Roman" w:hAnsi="Times New Roman"/>
                <w:sz w:val="16"/>
              </w:rPr>
              <w:t xml:space="preserve">80%</w:t>
            </w:r>
          </w:p>
        </w:tc>
        <w:tc>
          <w:tcPr>
            <w:tcW w:type="dxa" w:w="1190"/>
          </w:tcPr>
          <w:p>
            <w:pPr>
              <w:pStyle w:val="Compact"/>
              <w:spacing w:line="240" w:lineRule="auto" w:before="20" w:after="20"/>
              <w:ind w:firstLine="0"/>
              <w:jc w:val="center"/>
            </w:pPr>
            <w:r>
              <w:rPr>
                <w:rFonts w:ascii="Times New Roman" w:hAnsi="Times New Roman"/>
                <w:sz w:val="16"/>
              </w:rPr>
              <w:t xml:space="preserve">32,00%</w:t>
            </w:r>
          </w:p>
        </w:tc>
        <w:tc>
          <w:tcPr>
            <w:tcW w:type="dxa" w:w="1757"/>
          </w:tcPr>
          <w:p>
            <w:pPr>
              <w:pStyle w:val="Compact"/>
              <w:spacing w:line="240" w:lineRule="auto" w:before="20" w:after="20"/>
              <w:ind w:firstLine="0"/>
              <w:jc w:val="center"/>
            </w:pPr>
            <w:r>
              <w:rPr>
                <w:rFonts w:ascii="Times New Roman" w:hAnsi="Times New Roman"/>
                <w:sz w:val="16"/>
              </w:rPr>
              <w:t xml:space="preserve">0,40%</w:t>
            </w:r>
          </w:p>
        </w:tc>
        <w:tc>
          <w:tcPr>
            <w:tcW w:type="dxa" w:w="963"/>
          </w:tcPr>
          <w:p>
            <w:pPr>
              <w:pStyle w:val="Compact"/>
              <w:spacing w:line="240" w:lineRule="auto" w:before="20" w:after="20"/>
              <w:ind w:firstLine="0"/>
              <w:jc w:val="center"/>
            </w:pPr>
            <w:r>
              <w:rPr>
                <w:rFonts w:ascii="Times New Roman" w:hAnsi="Times New Roman"/>
                <w:sz w:val="16"/>
              </w:rPr>
              <w:t xml:space="preserve">7,60%</w:t>
            </w:r>
          </w:p>
        </w:tc>
        <w:tc>
          <w:tcPr>
            <w:tcW w:type="dxa" w:w="850"/>
          </w:tcPr>
          <w:p>
            <w:pPr>
              <w:pStyle w:val="Compact"/>
              <w:spacing w:line="240" w:lineRule="auto" w:before="20" w:after="20"/>
              <w:ind w:firstLine="0"/>
              <w:jc w:val="center"/>
            </w:pPr>
            <w:r>
              <w:rPr>
                <w:rFonts w:ascii="Times New Roman" w:hAnsi="Times New Roman"/>
                <w:sz w:val="16"/>
              </w:rPr>
              <w:t xml:space="preserve">0,50%</w:t>
            </w:r>
          </w:p>
        </w:tc>
      </w:tr>
      <w:tr>
        <w:trPr>
          <w:cantSplit/>
        </w:trPr>
        <w:tc>
          <w:tcPr>
            <w:tcW w:type="dxa" w:w="623"/>
          </w:tcPr>
          <w:p>
            <w:pPr>
              <w:pStyle w:val="Compact"/>
              <w:spacing w:line="240" w:lineRule="auto" w:before="20" w:after="20"/>
              <w:ind w:firstLine="0"/>
              <w:jc w:val="left"/>
            </w:pPr>
            <w:r>
              <w:rPr>
                <w:rFonts w:ascii="Times New Roman" w:hAnsi="Times New Roman"/>
                <w:sz w:val="16"/>
              </w:rPr>
              <w:t xml:space="preserve">2033</w:t>
            </w:r>
          </w:p>
        </w:tc>
        <w:tc>
          <w:tcPr>
            <w:tcW w:type="dxa" w:w="1077"/>
          </w:tcPr>
          <w:p>
            <w:pPr>
              <w:pStyle w:val="Compact"/>
              <w:spacing w:line="240" w:lineRule="auto" w:before="20" w:after="20"/>
              <w:ind w:firstLine="0"/>
              <w:jc w:val="center"/>
            </w:pPr>
            <w:r>
              <w:rPr>
                <w:rFonts w:ascii="Times New Roman" w:hAnsi="Times New Roman"/>
                <w:sz w:val="16"/>
              </w:rPr>
              <w:t xml:space="preserve">0%</w:t>
            </w:r>
          </w:p>
        </w:tc>
        <w:tc>
          <w:tcPr>
            <w:tcW w:type="dxa" w:w="850"/>
          </w:tcPr>
          <w:p>
            <w:pPr>
              <w:pStyle w:val="Compact"/>
              <w:spacing w:line="240" w:lineRule="auto" w:before="20" w:after="20"/>
              <w:ind w:firstLine="0"/>
              <w:jc w:val="center"/>
            </w:pPr>
            <w:r>
              <w:rPr>
                <w:rFonts w:ascii="Times New Roman" w:hAnsi="Times New Roman"/>
                <w:sz w:val="16"/>
              </w:rPr>
              <w:t xml:space="preserve">100%</w:t>
            </w:r>
          </w:p>
        </w:tc>
        <w:tc>
          <w:tcPr>
            <w:tcW w:type="dxa" w:w="1757"/>
          </w:tcPr>
          <w:p>
            <w:pPr>
              <w:pStyle w:val="Compact"/>
              <w:spacing w:line="240" w:lineRule="auto" w:before="20" w:after="20"/>
              <w:ind w:firstLine="0"/>
              <w:jc w:val="center"/>
            </w:pPr>
            <w:r>
              <w:rPr>
                <w:rFonts w:ascii="Times New Roman" w:hAnsi="Times New Roman"/>
                <w:sz w:val="16"/>
              </w:rPr>
              <w:t xml:space="preserve">90%</w:t>
            </w:r>
          </w:p>
        </w:tc>
        <w:tc>
          <w:tcPr>
            <w:tcW w:type="dxa" w:w="1190"/>
          </w:tcPr>
          <w:p>
            <w:pPr>
              <w:pStyle w:val="Compact"/>
              <w:spacing w:line="240" w:lineRule="auto" w:before="20" w:after="20"/>
              <w:ind w:firstLine="0"/>
              <w:jc w:val="center"/>
            </w:pPr>
            <w:r>
              <w:rPr>
                <w:rFonts w:ascii="Times New Roman" w:hAnsi="Times New Roman"/>
                <w:sz w:val="16"/>
              </w:rPr>
              <w:t xml:space="preserve">90,00%</w:t>
            </w:r>
          </w:p>
        </w:tc>
        <w:tc>
          <w:tcPr>
            <w:tcW w:type="dxa" w:w="1757"/>
          </w:tcPr>
          <w:p>
            <w:pPr>
              <w:pStyle w:val="Compact"/>
              <w:spacing w:line="240" w:lineRule="auto" w:before="20" w:after="20"/>
              <w:ind w:firstLine="0"/>
              <w:jc w:val="center"/>
            </w:pPr>
            <w:r>
              <w:rPr>
                <w:rFonts w:ascii="Times New Roman" w:hAnsi="Times New Roman"/>
                <w:sz w:val="16"/>
              </w:rPr>
              <w:t xml:space="preserve">0,50%</w:t>
            </w:r>
          </w:p>
        </w:tc>
        <w:tc>
          <w:tcPr>
            <w:tcW w:type="dxa" w:w="963"/>
          </w:tcPr>
          <w:p>
            <w:pPr>
              <w:pStyle w:val="Compact"/>
              <w:spacing w:line="240" w:lineRule="auto" w:before="20" w:after="20"/>
              <w:ind w:firstLine="0"/>
              <w:jc w:val="center"/>
            </w:pPr>
            <w:r>
              <w:rPr>
                <w:rFonts w:ascii="Times New Roman" w:hAnsi="Times New Roman"/>
                <w:sz w:val="16"/>
              </w:rPr>
              <w:t xml:space="preserve">9,50%</w:t>
            </w:r>
          </w:p>
        </w:tc>
        <w:tc>
          <w:tcPr>
            <w:tcW w:type="dxa" w:w="850"/>
          </w:tcPr>
          <w:p>
            <w:pPr>
              <w:pStyle w:val="Compact"/>
              <w:spacing w:line="240" w:lineRule="auto" w:before="20" w:after="20"/>
              <w:ind w:firstLine="0"/>
              <w:jc w:val="center"/>
            </w:pPr>
            <w:r>
              <w:rPr>
                <w:rFonts w:ascii="Times New Roman" w:hAnsi="Times New Roman"/>
                <w:sz w:val="16"/>
              </w:rPr>
              <w:t xml:space="preserve">0,20%</w:t>
            </w:r>
          </w:p>
        </w:tc>
      </w:tr>
    </w:tbl>
    <w:bookmarkEnd w:id="11"/>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As parcelas de transição, Seguro-Receita e destino são expressas como proporção de</w:t>
      </w:r>
      <w:r>
        <w:rPr>
          <w:rFonts w:ascii="Times New Roman" w:hAnsi="Times New Roman"/>
          <w:sz w:val="18"/>
        </w:rPr>
        <w:t xml:space="preserve"> </w:t>
      </w:r>
      <m:oMath>
        <m:sSub>
          <m:e>
            <m:r>
              <m:t>A</m:t>
            </m:r>
          </m:e>
          <m:sub>
            <m:r>
              <m:t>t</m:t>
            </m:r>
          </m:sub>
        </m:sSub>
      </m:oMath>
      <w:r>
        <w:rPr>
          <w:rFonts w:ascii="Times New Roman" w:hAnsi="Times New Roman"/>
          <w:sz w:val="18"/>
        </w:rPr>
        <w:t xml:space="preserve">. A parcela de destino é apresentada após a retenção do Seguro-Receita e antes da dedução do CGIBS. O percentual efetivo destinado ao CGIBS pode ser inferior aos limites legais; a simulação utiliza os limites máximos.</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ADCT, arts. 128 a 132; Lei Complementar n.</w:t>
      </w:r>
      <w:r>
        <w:rPr>
          <w:rFonts w:ascii="Times New Roman" w:hAnsi="Times New Roman"/>
          <w:sz w:val="18"/>
          <w:vertAlign w:val="superscript"/>
        </w:rPr>
        <w:t xml:space="preserve">o</w:t>
      </w:r>
      <w:r>
        <w:rPr>
          <w:rFonts w:ascii="Times New Roman" w:hAnsi="Times New Roman"/>
          <w:sz w:val="18"/>
        </w:rPr>
        <w:t xml:space="preserve"> 227/2026, arts. 47, 51, 109 e 110. Elaboração própria.</w:t>
      </w:r>
    </w:p>
    <w:bookmarkEnd w:id="12"/>
    <w:bookmarkStart w:id="13" w:name="X59677ea8fdca2c27ec2b0b37e8f129c57844232"/>
    <w:p>
      <w:pPr>
        <w:pStyle w:val="Heading2"/>
      </w:pPr>
      <w:r>
        <w:rPr>
          <w:rStyle w:val="SectionNumber"/>
        </w:rPr>
        <w:t xml:space="preserve">3.2</w:t>
      </w:r>
      <w:r>
        <w:tab/>
      </w:r>
      <w:r>
        <w:t xml:space="preserve">Coeficiente de participação na transição federativa</w:t>
      </w:r>
    </w:p>
    <w:p>
      <w:pPr>
        <w:pStyle w:val="FirstParagraph"/>
      </w:pPr>
      <w:r>
        <w:t xml:space="preserve">O coeficiente de participação na transição federativa determina como será distribuída entre os entes a parcela do IBS temporariamente vinculada à receita histórica. Em 2033, 90% do IBS ainda é distribuído segundo esse critério. Nos termos dos arts. 114 e 115 da Lei Complementar n.</w:t>
      </w:r>
      <w:r>
        <w:rPr>
          <w:vertAlign w:val="superscript"/>
        </w:rPr>
        <w:t xml:space="preserve">o</w:t>
      </w:r>
      <w:r>
        <w:t xml:space="preserve"> 227/2026, o coeficiente corresponde à participação de cada ente na receita média de referência do conjunto dos entes federativos.</w:t>
      </w:r>
    </w:p>
    <w:p>
      <w:pPr>
        <w:pStyle w:val="BodyText"/>
      </w:pPr>
      <w:r>
        <w:t xml:space="preserve">No modelo, essa participação é representada por</w:t>
      </w:r>
      <w:r>
        <w:t xml:space="preserve"> </w:t>
      </w:r>
      <m:oMath>
        <m:sSubSup>
          <m:e>
            <m:r>
              <m:t>w</m:t>
            </m:r>
          </m:e>
          <m:sub>
            <m:r>
              <m:t>i</m:t>
            </m:r>
          </m:sub>
          <m:sup>
            <m:r>
              <m:t>H</m:t>
            </m:r>
          </m:sup>
        </m:sSubSup>
      </m:oMath>
      <w:r>
        <w:t xml:space="preserve"> </w:t>
      </w:r>
      <w:r>
        <w:t xml:space="preserve">e estimada por</w:t>
      </w:r>
    </w:p>
    <w:p>
      <w:pPr>
        <w:pStyle w:val="BodyText"/>
      </w:pPr>
      <m:oMathPara>
        <m:oMathParaPr>
          <m:jc m:val="center"/>
        </m:oMathParaPr>
        <m:oMath>
          <m:sSubSup>
            <m:e>
              <m:r>
                <m:t>w</m:t>
              </m:r>
            </m:e>
            <m:sub>
              <m:r>
                <m:t>i</m:t>
              </m:r>
            </m:sub>
            <m:sup>
              <m:r>
                <m:t>H</m:t>
              </m:r>
            </m:sup>
          </m:sSubSup>
          <m:r>
            <m:rPr>
              <m:sty m:val="p"/>
            </m:rPr>
            <m:t>=</m:t>
          </m:r>
          <m:f>
            <m:fPr>
              <m:type m:val="bar"/>
            </m:fPr>
            <m:num>
              <m:f>
                <m:fPr>
                  <m:type m:val="bar"/>
                </m:fPr>
                <m:num>
                  <m:r>
                    <m:t>1</m:t>
                  </m:r>
                </m:num>
                <m:den>
                  <m:r>
                    <m:t>8</m:t>
                  </m:r>
                </m:den>
              </m:f>
              <m:nary>
                <m:naryPr>
                  <m:chr m:val="∑"/>
                  <m:limLoc m:val="undOvr"/>
                  <m:subHide m:val="off"/>
                  <m:supHide m:val="off"/>
                </m:naryPr>
                <m:sub>
                  <m:r>
                    <m:t>τ</m:t>
                  </m:r>
                  <m:r>
                    <m:rPr>
                      <m:sty m:val="p"/>
                    </m:rPr>
                    <m:t>=</m:t>
                  </m:r>
                  <m:r>
                    <m:t>2019</m:t>
                  </m:r>
                </m:sub>
                <m:sup>
                  <m:r>
                    <m:t>2026</m:t>
                  </m:r>
                </m:sup>
                <m:e>
                  <m:sSub>
                    <m:e>
                      <m:r>
                        <m:t>R</m:t>
                      </m:r>
                    </m:e>
                    <m:sub>
                      <m:r>
                        <m:t>i</m:t>
                      </m:r>
                      <m:r>
                        <m:t>τ</m:t>
                      </m:r>
                    </m:sub>
                  </m:sSub>
                </m:e>
              </m:nary>
              <m:d>
                <m:dPr>
                  <m:begChr m:val="("/>
                  <m:sepChr m:val=""/>
                  <m:endChr m:val=")"/>
                  <m:grow/>
                </m:dPr>
                <m:e>
                  <m:f>
                    <m:fPr>
                      <m:type m:val="bar"/>
                    </m:fPr>
                    <m:num>
                      <m:sSub>
                        <m:e>
                          <m:r>
                            <m:t>A</m:t>
                          </m:r>
                        </m:e>
                        <m:sub>
                          <m:r>
                            <m:t>2025</m:t>
                          </m:r>
                        </m:sub>
                      </m:sSub>
                    </m:num>
                    <m:den>
                      <m:sSub>
                        <m:e>
                          <m:r>
                            <m:t>A</m:t>
                          </m:r>
                        </m:e>
                        <m:sub>
                          <m:r>
                            <m:t>τ</m:t>
                          </m:r>
                        </m:sub>
                      </m:sSub>
                    </m:den>
                  </m:f>
                </m:e>
              </m:d>
            </m:num>
            <m:den>
              <m:sSub>
                <m:e>
                  <m:bar>
                    <m:barPr>
                      <m:pos m:val="top"/>
                    </m:barPr>
                    <m:e>
                      <m:r>
                        <m:t>R</m:t>
                      </m:r>
                    </m:e>
                  </m:bar>
                </m:e>
                <m:sub>
                  <m:r>
                    <m:t>T</m:t>
                  </m:r>
                </m:sub>
              </m:sSub>
            </m:den>
          </m:f>
          <m:r>
            <m:rPr>
              <m:sty m:val="p"/>
            </m:rPr>
            <m:t>,</m:t>
          </m:r>
          <m:r>
            <m:t>  </m:t>
          </m:r>
          <m:r>
            <m:t>  </m:t>
          </m:r>
          <m:r>
            <m:rPr>
              <m:sty m:val="p"/>
            </m:rPr>
            <m:t>(</m:t>
          </m:r>
          <m:r>
            <m:t>1</m:t>
          </m:r>
          <m:r>
            <m:rPr>
              <m:sty m:val="p"/>
            </m:rPr>
            <m:t>)</m:t>
          </m:r>
        </m:oMath>
      </m:oMathPara>
    </w:p>
    <w:p>
      <w:pPr>
        <w:pStyle w:val="FirstParagraph"/>
      </w:pPr>
      <w:r>
        <w:t xml:space="preserve">em que</w:t>
      </w:r>
      <w:r>
        <w:t xml:space="preserve"> </w:t>
      </w:r>
      <m:oMath>
        <m:sSub>
          <m:e>
            <m:r>
              <m:t>R</m:t>
            </m:r>
          </m:e>
          <m:sub>
            <m:r>
              <m:t>i</m:t>
            </m:r>
            <m:r>
              <m:t>τ</m:t>
            </m:r>
          </m:sub>
        </m:sSub>
      </m:oMath>
      <w:r>
        <w:t xml:space="preserve"> </w:t>
      </w:r>
      <w:r>
        <w:t xml:space="preserve">corresponde à receita de referência do ente</w:t>
      </w:r>
      <w:r>
        <w:t xml:space="preserve"> </w:t>
      </w:r>
      <m:oMath>
        <m:r>
          <m:t>i</m:t>
        </m:r>
      </m:oMath>
      <w:r>
        <w:t xml:space="preserve"> </w:t>
      </w:r>
      <w:r>
        <w:t xml:space="preserve">no ano</w:t>
      </w:r>
      <w:r>
        <w:t xml:space="preserve"> </w:t>
      </w:r>
      <m:oMath>
        <m:r>
          <m:t>τ</m:t>
        </m:r>
      </m:oMath>
      <w:r>
        <w:t xml:space="preserve">,</w:t>
      </w:r>
      <w:r>
        <w:t xml:space="preserve"> </w:t>
      </w:r>
      <m:oMath>
        <m:sSub>
          <m:e>
            <m:r>
              <m:t>A</m:t>
            </m:r>
          </m:e>
          <m:sub>
            <m:r>
              <m:t>τ</m:t>
            </m:r>
          </m:sub>
        </m:sSub>
      </m:oMath>
      <w:r>
        <w:t xml:space="preserve"> </w:t>
      </w:r>
      <w:r>
        <w:t xml:space="preserve">à arrecadação nacional de referência no mesmo exercício e</w:t>
      </w:r>
      <w:r>
        <w:t xml:space="preserve"> </w:t>
      </w:r>
      <m:oMath>
        <m:sSub>
          <m:e>
            <m:bar>
              <m:barPr>
                <m:pos m:val="top"/>
              </m:barPr>
              <m:e>
                <m:r>
                  <m:t>R</m:t>
                </m:r>
              </m:e>
            </m:bar>
          </m:e>
          <m:sub>
            <m:r>
              <m:t>T</m:t>
            </m:r>
          </m:sub>
        </m:sSub>
      </m:oMath>
      <w:r>
        <w:t xml:space="preserve"> </w:t>
      </w:r>
      <w:r>
        <w:t xml:space="preserve">à receita média de referência do conjunto dos entes. As receitas anuais são convertidas para uma base comum de 2025 pela variação da arrecadação nacional de referência.</w:t>
      </w:r>
    </w:p>
    <w:p>
      <w:pPr>
        <w:pStyle w:val="BodyText"/>
      </w:pPr>
      <w:r>
        <w:t>Para os estados, a receita de referência corresponde ao ICMS bruto, líquido das demais deduções registradas na DCA e da cota-parte municipal, acrescido do Fundo de Combate à Pobreza (FECOP) e das contribuições a fundos estaduais de que trata o art. 115, inciso I, alínea “b”, da Lei Complementar n.o 227/2026. Esta última categoria só é incorporada quando o valor pode ser verificado na DCA, o que hoje ocorre apenas com o Amazonas; Goiás, Mato Grosso e Rio de Janeiro permanecem pendentes de informação oficial. Para os municípios, somam-se o ISS e a cota-parte do ICMS, e o Distrito Federal, ente de esfera única, incorpora também o ISS. Como a lei inclui 2026 na média, mas o exercício só será fechado na DCA em 2027, esse ano entra estimado. Nos estados, o ICMS líquido e a cota-parte de 2025 são corrigidos pelo desempenho relativo de cada UF no RREO de janeiro a agosto de 2026, com renormalização que preserva o total. Nos municípios, a cota-parte segue o fator da UF e o ISS repete o valor de 2025, tratamento que apresentou o menor erro de previsão em todas as faixas de população entre 2022 e 2025. Nos testes com os estados, a estimativa errou em média 0,24% da participação, contra 0,45% ao repetir 2025 e 0,90% ao omitir 2026.</w:t>
      </w:r>
      <w:r>
        <w:rPr/>
      </w:r>
      <w:r>
        <w:rPr/>
      </w:r>
    </w:p>
    <w:p>
      <w:pPr>
        <w:pStyle w:val="BodyText"/>
      </w:pPr>
      <w:r>
        <w:t>No caso municipal, a série é submetida a uma etapa de consistência antes do cálculo do coeficiente. A cota-parte do ICMS declarada pelos municípios é confrontada com os repasses brutos registrados pelo Estado do Paraná e reconciliada ao total estadual da DCA; o ISS permanece ancorado na DCA e somente é substituído quando uma divergência material é confirmada em segunda fonte oficial. Ausência de informação não é tratada como valor igual a zero: as 74 observações de ISS ausentes na DCA, de um total de 2.793, são imputadas a partir dos demais anos do próprio município (53 casos) ou recuperadas de versão anterior da base (21). O objetivo é preservar a lógica do coeficiente legal sem permitir que falhas de preenchimento ou de cobertura determinem artificialmente a participação histórica. O Anexo B documenta a comparação entre as fontes e seus efeitos sobre os resultados.</w:t>
      </w:r>
    </w:p>
    <w:p>
      <w:pPr>
        <w:pStyle w:val="BodyText"/>
      </w:pPr>
      <w:r>
        <w:t xml:space="preserve">Para o governo estadual do Paraná, </w:t>
      </w:r>
      <w:r>
        <w:rPr/>
      </w:r>
      <w:r>
        <w:rPr/>
        <w:t>o coeficiente estimado é de 3,9798%, frente a uma participação de referência de 3,9360% em 2025</w:t>
      </w:r>
      <w:r>
        <w:rPr/>
      </w:r>
      <w:r>
        <w:rPr/>
        <w:t>. A diferença é pequena, mas relevante porque, no horizonte analisado, o componente histórico ainda responde pela maior parte da distribuição do IBS. A memória de cálculo do coeficiente paranaense é apresentada na Tabela A.2.</w:t>
      </w:r>
    </w:p>
    <w:bookmarkEnd w:id="13"/>
    <w:bookmarkStart w:id="14" w:name="participação-pelo-destino"/>
    <w:p>
      <w:pPr>
        <w:pStyle w:val="Heading2"/>
      </w:pPr>
      <w:r>
        <w:rPr>
          <w:rStyle w:val="SectionNumber"/>
        </w:rPr>
        <w:t xml:space="preserve">3.3</w:t>
      </w:r>
      <w:r>
        <w:tab/>
      </w:r>
      <w:r>
        <w:t xml:space="preserve">Participação pelo destino</w:t>
      </w:r>
    </w:p>
    <w:p>
      <w:pPr>
        <w:pStyle w:val="FirstParagraph"/>
      </w:pPr>
      <w:r>
        <w:t xml:space="preserve">A parcela do IBS não distribuída pelo componente histórico é, após a retenção do Seguro-Receita, repartida segundo o destino do consumo. Esse é o segundo coeficiente específico do modelo e ganha peso à medida que avança o cronograma de transição. Como a distribuição efetiva do consumo somente será observada com o funcionamento do IBS, o estudo estima</w:t>
      </w:r>
      <w:r>
        <w:t xml:space="preserve"> </w:t>
      </w:r>
      <m:oMath>
        <m:sSubSup>
          <m:e>
            <m:r>
              <m:t>w</m:t>
            </m:r>
          </m:e>
          <m:sub>
            <m:r>
              <m:t>i</m:t>
            </m:r>
          </m:sub>
          <m:sup>
            <m:r>
              <m:t>D</m:t>
            </m:r>
          </m:sup>
        </m:sSubSup>
      </m:oMath>
      <w:r>
        <w:t xml:space="preserve"> </w:t>
      </w:r>
      <w:r>
        <w:t xml:space="preserve">a partir das informações disponíveis.</w:t>
      </w:r>
    </w:p>
    <w:p>
      <w:pPr>
        <w:pStyle w:val="BodyText"/>
      </w:pPr>
      <w:r>
        <w:t xml:space="preserve">Para as unidades da federação, a estimativa combina a despesa de consumo monetária e não monetária média mensal familiar da POF 2017/2018 com o número de domicílios particulares ocupados do Censo de 2022. A participação da UF</w:t>
      </w:r>
      <w:r>
        <w:t xml:space="preserve"> </w:t>
      </w:r>
      <m:oMath>
        <m:r>
          <m:t>u</m:t>
        </m:r>
      </m:oMath>
      <w:r>
        <w:t xml:space="preserve"> </w:t>
      </w:r>
      <w:r>
        <w:t xml:space="preserve">é aproximada por</w:t>
      </w:r>
    </w:p>
    <w:p>
      <w:pPr>
        <w:pStyle w:val="BodyText"/>
      </w:pPr>
      <m:oMathPara>
        <m:oMathParaPr>
          <m:jc m:val="center"/>
        </m:oMathParaPr>
        <m:oMath>
          <m:sSubSup>
            <m:e>
              <m:r>
                <m:t>w</m:t>
              </m:r>
            </m:e>
            <m:sub>
              <m:r>
                <m:t>u</m:t>
              </m:r>
            </m:sub>
            <m:sup>
              <m:r>
                <m:t>D</m:t>
              </m:r>
            </m:sup>
          </m:sSubSup>
          <m:r>
            <m:rPr>
              <m:sty m:val="p"/>
            </m:rPr>
            <m:t>=</m:t>
          </m:r>
          <m:f>
            <m:fPr>
              <m:type m:val="bar"/>
            </m:fPr>
            <m:num>
              <m:sSub>
                <m:e>
                  <m:r>
                    <m:t>d</m:t>
                  </m:r>
                </m:e>
                <m:sub>
                  <m:r>
                    <m:t>u</m:t>
                  </m:r>
                </m:sub>
              </m:sSub>
              <m:sSub>
                <m:e>
                  <m:r>
                    <m:t>h</m:t>
                  </m:r>
                </m:e>
                <m:sub>
                  <m:r>
                    <m:t>u</m:t>
                  </m:r>
                </m:sub>
              </m:sSub>
            </m:num>
            <m:den>
              <m:nary>
                <m:naryPr>
                  <m:chr m:val="∑"/>
                  <m:limLoc m:val="undOvr"/>
                  <m:subHide m:val="off"/>
                  <m:supHide m:val="on"/>
                </m:naryPr>
                <m:sub>
                  <m:r>
                    <m:t>j</m:t>
                  </m:r>
                </m:sub>
                <m:sup>
                  <m:r>
                    <m:t>​</m:t>
                  </m:r>
                </m:sup>
                <m:e>
                  <m:sSub>
                    <m:e>
                      <m:r>
                        <m:t>d</m:t>
                      </m:r>
                    </m:e>
                    <m:sub>
                      <m:r>
                        <m:t>j</m:t>
                      </m:r>
                    </m:sub>
                  </m:sSub>
                </m:e>
              </m:nary>
              <m:sSub>
                <m:e>
                  <m:r>
                    <m:t>h</m:t>
                  </m:r>
                </m:e>
                <m:sub>
                  <m:r>
                    <m:t>j</m:t>
                  </m:r>
                </m:sub>
              </m:sSub>
            </m:den>
          </m:f>
          <m:r>
            <m:rPr>
              <m:sty m:val="p"/>
            </m:rPr>
            <m:t>,</m:t>
          </m:r>
          <m:r>
            <m:t>  </m:t>
          </m:r>
          <m:r>
            <m:t>  </m:t>
          </m:r>
          <m:r>
            <m:rPr>
              <m:sty m:val="p"/>
            </m:rPr>
            <m:t>(</m:t>
          </m:r>
          <m:r>
            <m:t>2</m:t>
          </m:r>
          <m:r>
            <m:rPr>
              <m:sty m:val="p"/>
            </m:rPr>
            <m:t>)</m:t>
          </m:r>
        </m:oMath>
      </m:oMathPara>
    </w:p>
    <w:p>
      <w:pPr>
        <w:pStyle w:val="FirstParagraph"/>
      </w:pPr>
      <w:r>
        <w:t xml:space="preserve">em que</w:t>
      </w:r>
      <w:r>
        <w:t xml:space="preserve"> </w:t>
      </w:r>
      <m:oMath>
        <m:sSub>
          <m:e>
            <m:r>
              <m:t>d</m:t>
            </m:r>
          </m:e>
          <m:sub>
            <m:r>
              <m:t>u</m:t>
            </m:r>
          </m:sub>
        </m:sSub>
      </m:oMath>
      <w:r>
        <w:t xml:space="preserve"> </w:t>
      </w:r>
      <w:r>
        <w:t xml:space="preserve">representa a despesa média familiar e</w:t>
      </w:r>
      <w:r>
        <w:t xml:space="preserve"> </w:t>
      </w:r>
      <m:oMath>
        <m:sSub>
          <m:e>
            <m:r>
              <m:t>h</m:t>
            </m:r>
          </m:e>
          <m:sub>
            <m:r>
              <m:t>u</m:t>
            </m:r>
          </m:sub>
        </m:sSub>
      </m:oMath>
      <w:r>
        <w:t xml:space="preserve"> </w:t>
      </w:r>
      <w:r>
        <w:t xml:space="preserve">o número de domicílios. </w:t>
      </w:r>
      <w:r>
        <w:rPr/>
      </w:r>
      <w:r>
        <w:rPr/>
        <w:t>A POF entra em nível agregado por UF nessa expressão; seus microdados são usados adiante para ponderar a despesa e estimar a elasticidade-renda do consumo.</w:t>
      </w:r>
      <w:r>
        <w:rPr/>
      </w:r>
      <w:r>
        <w:rPr/>
        <w:t xml:space="preserve"> O produto</w:t>
      </w:r>
      <w:r>
        <w:t xml:space="preserve"> </w:t>
      </w:r>
      <m:oMath>
        <m:sSub>
          <m:e>
            <m:r>
              <m:t>d</m:t>
            </m:r>
          </m:e>
          <m:sub>
            <m:r>
              <m:t>u</m:t>
            </m:r>
          </m:sub>
        </m:sSub>
        <m:sSub>
          <m:e>
            <m:r>
              <m:t>h</m:t>
            </m:r>
          </m:e>
          <m:sub>
            <m:r>
              <m:t>u</m:t>
            </m:r>
          </m:sub>
        </m:sSub>
      </m:oMath>
      <w:r>
        <w:t xml:space="preserve"> </w:t>
      </w:r>
      <w:r>
        <w:t xml:space="preserve">é, portanto, um índice de distribuição relativa do consumo, não uma mensuração direta do consumo tributável que será observado sob o IBS. </w:t>
      </w:r>
      <w:r>
        <w:rPr/>
        <w:t>Para reduzir a dependência de uma única fonte, o coeficiente adotado é a média simples de três rotas, todas sobre a despesa tributável, isto é, a que exclui itens fora do IBS, como o aluguel imputado, e pondera os demais pelas reduções de alíquota da LC n.o 214/2025. A primeira rota é a expressão acima, com a despesa por pessoa multiplicada pelos moradores do Censo. A segunda a atualiza pela renda relativa de cada UF na PNAD Contínua entre 2018 e 2022, com a elasticidade-renda do consumo de 0,75, extremo inferior da faixa de 0,75 a 0,87 sustentada pelos microdados da POF. A terceira distribui os moradores do Censo por classes de salário mínimo e atribui a cada classe a despesa tributável por pessoa observada na POF. Para o Paraná, as rotas resultam em 6,50%, 6,28% e 6,67%, e o composto, em participação agregada de 6,485%, com incerteza relativa de 8%, que combina a dispersão entre rotas e variantes com o erro de validação cruzada. Nessa validação, que exclui uma UF por vez, a renda prevê a participação de cada UF no consumo com erro relativo médio de 6,2%, contra 40% para a população sozinha.</w:t>
      </w:r>
      <w:r>
        <w:rPr/>
      </w:r>
    </w:p>
    <w:p>
      <w:pPr>
        <w:pStyle w:val="BodyText"/>
      </w:pPr>
      <w:r>
        <w:rPr/>
        <w:t xml:space="preserve">Esse coeficiente agregado é repartido entre as esferas segundo a participação relativa das respectivas receitas de referência (63,8331% estadual e 36,1669% municipal). Em cada esfera, o índice de consumo é combinado com a participação da UF nas compras públicas, porque o IBS das compras governamentais pertence ao ente comprador (LC n.o 214/2025, art. 473; LC n.o 227/2026, art. 106). As compras, medidas na DCA/SICONFI (média de 2024 e 2025, a preços de 2025), pesam 42% no IBS municipal e 6% no estadual, proporção em que o imposto das compras iguala os tributos antigos nelas embutidos (LC n.o 214/2025, art. 370). </w:t>
      </w:r>
      <w:r>
        <w:rPr/>
        <w:t>Para o Paraná, resultam 4,1298% para o governo estadual e 2,2885% para os municípios (6,418% no total).</w:t>
      </w:r>
      <w:r>
        <w:rPr/>
      </w:r>
    </w:p>
    <w:p>
      <w:pPr>
        <w:pStyle w:val="BodyText"/>
      </w:pPr>
      <w:r>
        <w:t xml:space="preserve">No nível municipal, a parcela de destino combina dois componentes. A cota-parte do IBS estadual segue o art. 128 da Lei Complementar n.</w:t>
      </w:r>
      <w:r>
        <w:rPr>
          <w:vertAlign w:val="superscript"/>
        </w:rPr>
        <w:t xml:space="preserve">o</w:t>
      </w:r>
      <w:r>
        <w:t xml:space="preserve"> 227/2026: 80% pela população e 5% em parcelas iguais; como os indicadores educacional e ambiental necessários aos 15% restantes ainda não estão disponíveis, essa parcela é também aproximada pela população, resultando operacionalmente em 95% pela população e 5% em parcelas iguais. A parcela própria do IBS municipal, sucessora do ISS, </w:t>
      </w:r>
      <w:r>
        <w:rPr/>
        <w:t>é distribuída dentro de cada UF combinando o consumo estimado de cada município (população vezes a renda domiciliar per capita do Censo de 2022 elevada à elasticidade-renda do consumo) e as compras da prefeitura. A elasticidade, estimada em 0,80 nos microdados da POF, significa que um município com o dobro da renda consome cerca de 74% mais, e não 100%. A cota-parte de 25% também incide sobre o IBS das compras estaduais.</w:t>
      </w:r>
      <w:r>
        <w:rPr/>
        <w:t xml:space="preserve"> A soma desses dois componentes determina</w:t>
      </w:r>
      <w:r>
        <w:t xml:space="preserve"> </w:t>
      </w:r>
      <m:oMath>
        <m:sSubSup>
          <m:e>
            <m:r>
              <m:t>w</m:t>
            </m:r>
          </m:e>
          <m:sub>
            <m:r>
              <m:t>i</m:t>
            </m:r>
          </m:sub>
          <m:sup>
            <m:r>
              <m:t>D</m:t>
            </m:r>
          </m:sup>
        </m:sSubSup>
      </m:oMath>
      <w:r>
        <w:t xml:space="preserve"> </w:t>
      </w:r>
      <w:r>
        <w:t xml:space="preserve">para cada município e, por construção, reproduz o coeficiente agregado da respectiva UF.</w:t>
      </w:r>
    </w:p>
    <w:bookmarkEnd w:id="14"/>
    <w:bookmarkStart w:id="15" w:name="seguro-receita"/>
    <w:p>
      <w:pPr>
        <w:pStyle w:val="Heading2"/>
      </w:pPr>
      <w:r>
        <w:rPr>
          <w:rStyle w:val="SectionNumber"/>
        </w:rPr>
        <w:t xml:space="preserve">3.4</w:t>
      </w:r>
      <w:r>
        <w:tab/>
      </w:r>
      <w:r>
        <w:t xml:space="preserve">Seguro-Receita</w:t>
      </w:r>
    </w:p>
    <w:p>
      <w:pPr>
        <w:pStyle w:val="FirstParagraph"/>
      </w:pPr>
      <w:r>
        <w:t>O Seguro-Receita atua sobre a parcela do IBS não distribuída pelo componente histórico, antes de sua repartição pelo destino. Nos termos do art. 132 do ADCT e dos arts. 110 e 117 da Lei Complementar n.o 227/2026, 5% dessa parcela é retida para compensar os entes com as menores razões entre dois valores: a média, nos doze meses anteriores, do IBS que cada ente apuraria pelo critério do destino, com as alíquotas de referência, e a respectiva receita média de referência ajustada. O numerador da razão é, portanto, o IBS total do ente pelo destino, e não apenas a fração já distribuída por esse critério. No horizonte analisado, a retenção corresponde a 0,10% da arrecadação nacional de referência em 2029 e alcança 0,50% em 2033.</w:t>
      </w:r>
      <w:r>
        <w:rPr>
          <w:vertAlign w:val="superscript"/>
        </w:rPr>
      </w:r>
      <w:r/>
    </w:p>
    <w:p>
      <w:pPr>
        <w:pStyle w:val="BodyText"/>
      </w:pPr>
      <w:r>
        <w:t xml:space="preserve">A receita média de referência ajustada corresponde ao menor valor entre a receita média histórica do ente e o limite de três vezes a média nacional per capita da respectiva esfera. A distribuição é conjunta e sucessiva: os recursos são inicialmente direcionados aos entes com as menores razões e os elevam até um nível comum; o processo continua até o esgotamento do fundo. Assim, não existe um coeficiente de corte fixado previamente. O limiar de elegibilidade é endógeno e corresponde ao nível de equalização alcançado em cada ano. O repasse recebido pelo ente</w:t>
      </w:r>
      <w:r>
        <w:t xml:space="preserve"> </w:t>
      </w:r>
      <m:oMath>
        <m:r>
          <m:t>i</m:t>
        </m:r>
      </m:oMath>
      <w:r>
        <w:t xml:space="preserve"> </w:t>
      </w:r>
      <w:r>
        <w:t xml:space="preserve">no ano</w:t>
      </w:r>
      <w:r>
        <w:t xml:space="preserve"> </w:t>
      </w:r>
      <m:oMath>
        <m:r>
          <m:t>t</m:t>
        </m:r>
      </m:oMath>
      <w:r>
        <w:t xml:space="preserve"> </w:t>
      </w:r>
      <w:r>
        <w:t xml:space="preserve">é representado por</w:t>
      </w:r>
      <w:r>
        <w:t xml:space="preserve"> </w:t>
      </w:r>
      <m:oMath>
        <m:sSub>
          <m:e>
            <m:r>
              <m:t>S</m:t>
            </m:r>
          </m:e>
          <m:sub>
            <m:r>
              <m:t>i</m:t>
            </m:r>
            <m:r>
              <m:t>t</m:t>
            </m:r>
          </m:sub>
        </m:sSub>
      </m:oMath>
      <w:r>
        <w:t xml:space="preserve">.</w:t>
      </w:r>
    </w:p>
    <w:p>
      <w:pPr>
        <w:pStyle w:val="BodyText"/>
      </w:pPr>
      <w:r>
        <w:t>Na simulação, o fundo nacional cresce de R$ 1,10 bilhão em 2029 para R$ 5,99 bilhões em 2033, e o número de entes contemplados cai de 292 para 200 à medida que o nível de equalização se eleva. Entre os estados, apenas o Amazonas é contemplado, resultado coerente com a simulação do Comsefaz, em que esse é o primeiro estado beneficiário. No Paraná, o governo estadual não recebe repasses no período, e entre 7 e 12 municípios são contemplados a cada ano. Após a auditoria dos dados municipais, os repasses aos municípios paranaenses somam aproximadamente R$ 562,3 milhões entre 2029 e 2033; o detalhamento anual é apresentado no Anexo C.</w:t>
      </w:r>
      <w:r>
        <w:rPr/>
      </w:r>
      <w:r>
        <w:rPr/>
      </w:r>
      <w:r>
        <w:rPr/>
      </w:r>
      <w:r>
        <w:rPr/>
      </w:r>
      <w:r>
        <w:rPr/>
      </w:r>
      <w:r>
        <w:rPr/>
      </w:r>
      <w:r>
        <w:rPr/>
      </w:r>
      <w:r>
        <w:rPr/>
      </w:r>
      <w:r>
        <w:rPr/>
      </w:r>
      <w:r>
        <w:rPr/>
      </w:r>
      <w:r>
        <w:rPr/>
      </w:r>
      <w:r>
        <w:rPr/>
      </w:r>
      <w:r>
        <w:rPr/>
      </w:r>
      <w:r>
        <w:rPr/>
      </w:r>
    </w:p>
    <w:p>
      <w:pPr>
        <w:pStyle w:val="BodyText"/>
      </w:pPr>
      <w:r>
        <w:t>A simulação reproduz o procedimento previsto em lei: a distribuição é feita mês a mês, com média móvel de doze meses e, de 2029 a 2033, com a correção dos meses do ano anterior pela razão entre as alíquotas de referência (art. 117, § 2o), admitindo-se receita constante dentro de cada ano. A população usa a média de 2019 a 2026, com o Censo Demográfico de 2022 no ano de 2022 e a interpolação entre o Censo e a estimativa de 2024 em 2023, anos em que o IBGE não publica estimativa.</w:t>
      </w:r>
    </w:p>
    <w:bookmarkEnd w:id="15"/>
    <w:bookmarkStart w:id="16" w:name="modelo-de-projeção"/>
    <w:p>
      <w:pPr>
        <w:pStyle w:val="Heading2"/>
      </w:pPr>
      <w:r>
        <w:rPr>
          <w:rStyle w:val="SectionNumber"/>
        </w:rPr>
        <w:t xml:space="preserve">3.5</w:t>
      </w:r>
      <w:r>
        <w:tab/>
      </w:r>
      <w:r>
        <w:t xml:space="preserve">Modelo de projeção</w:t>
      </w:r>
    </w:p>
    <w:p>
      <w:pPr>
        <w:pStyle w:val="FirstParagraph"/>
      </w:pPr>
      <w:r>
        <w:t xml:space="preserve">A receita projetada de cada ente</w:t>
      </w:r>
      <w:r>
        <w:t xml:space="preserve"> </w:t>
      </w:r>
      <m:oMath>
        <m:r>
          <m:t>i</m:t>
        </m:r>
      </m:oMath>
      <w:r>
        <w:t xml:space="preserve">, no ano</w:t>
      </w:r>
      <w:r>
        <w:t xml:space="preserve"> </w:t>
      </w:r>
      <m:oMath>
        <m:r>
          <m:t>t</m:t>
        </m:r>
      </m:oMath>
      <w:r>
        <w:t xml:space="preserve">, reúne o agregado nacional e os mecanismos de repartição definidos nas subseções anteriores. O modelo decompõe essa receita em quatro componentes: ICMS ou ISS remanescente, IBS distribuído pelo componente histórico, IBS distribuído pelo destino e Seguro-Receita. A dedução destinada ao financiamento do CGIBS é aplicada posteriormente. A projeção é dada por</w:t>
      </w:r>
    </w:p>
    <w:p>
      <w:pPr>
        <w:pStyle w:val="BodyText"/>
        <w:keepLines/>
        <w:spacing w:line="240" w:lineRule="auto" w:before="120" w:after="120"/>
        <w:ind w:firstLine="0"/>
        <w:jc w:val="center"/>
      </w:pPr>
      <w:r>
        <w:drawing>
          <wp:inline>
            <wp:extent cx="5760000" cy="564108"/>
            <wp:docPr id="67" name="Picture 67"/>
            <wp:cNvGraphicFramePr>
              <a:graphicFrameLocks noChangeAspect="1"/>
            </wp:cNvGraphicFramePr>
            <a:graphic>
              <a:graphicData uri="http://schemas.openxmlformats.org/drawingml/2006/picture">
                <pic:pic>
                  <pic:nvPicPr>
                    <pic:cNvPr id="0" name="eq_3.png"/>
                    <pic:cNvPicPr/>
                  </pic:nvPicPr>
                  <pic:blipFill>
                    <a:blip r:embed="rId9"/>
                    <a:stretch>
                      <a:fillRect/>
                    </a:stretch>
                  </pic:blipFill>
                  <pic:spPr>
                    <a:xfrm>
                      <a:off x="0" y="0"/>
                      <a:ext cx="5760000" cy="564108"/>
                    </a:xfrm>
                    <a:prstGeom prst="rect"/>
                  </pic:spPr>
                </pic:pic>
              </a:graphicData>
            </a:graphic>
          </wp:inline>
        </w:drawing>
      </w:r>
    </w:p>
    <w:p>
      <w:pPr>
        <w:pStyle w:val="BodyText"/>
      </w:pPr>
      <w:r>
        <w:t xml:space="preserve">Na Equação 3,</w:t>
      </w:r>
      <w:r>
        <w:t xml:space="preserve"> </w:t>
      </w:r>
      <m:oMath>
        <m:sSubSup>
          <m:e>
            <m:r>
              <m:t>R</m:t>
            </m:r>
          </m:e>
          <m:sub>
            <m:r>
              <m:t>i</m:t>
            </m:r>
            <m:r>
              <m:t>t</m:t>
            </m:r>
          </m:sub>
          <m:sup>
            <m:r>
              <m:t>R</m:t>
            </m:r>
          </m:sup>
        </m:sSubSup>
      </m:oMath>
      <w:r>
        <w:t xml:space="preserve"> </w:t>
      </w:r>
      <w:r>
        <w:t xml:space="preserve">representa a receita projetada do ente</w:t>
      </w:r>
      <w:r>
        <w:t xml:space="preserve"> </w:t>
      </w:r>
      <m:oMath>
        <m:r>
          <m:t>i</m:t>
        </m:r>
      </m:oMath>
      <w:r>
        <w:t xml:space="preserve"> </w:t>
      </w:r>
      <w:r>
        <w:t xml:space="preserve">no ano</w:t>
      </w:r>
      <w:r>
        <w:t xml:space="preserve"> </w:t>
      </w:r>
      <m:oMath>
        <m:r>
          <m:t>t</m:t>
        </m:r>
      </m:oMath>
      <w:r>
        <w:t xml:space="preserve">;</w:t>
      </w:r>
      <w:r>
        <w:t xml:space="preserve"> </w:t>
      </w:r>
      <m:oMath>
        <m:sSubSup>
          <m:e>
            <m:r>
              <m:t>w</m:t>
            </m:r>
          </m:e>
          <m:sub>
            <m:r>
              <m:t>i</m:t>
            </m:r>
          </m:sub>
          <m:sup>
            <m:r>
              <m:t>0</m:t>
            </m:r>
          </m:sup>
        </m:sSubSup>
      </m:oMath>
      <w:r>
        <w:t xml:space="preserve">, sua participação na receita de referência de 2025;</w:t>
      </w:r>
      <w:r>
        <w:t xml:space="preserve"> </w:t>
      </w:r>
      <m:oMath>
        <m:sSubSup>
          <m:e>
            <m:r>
              <m:t>w</m:t>
            </m:r>
          </m:e>
          <m:sub>
            <m:r>
              <m:t>i</m:t>
            </m:r>
          </m:sub>
          <m:sup>
            <m:r>
              <m:t>H</m:t>
            </m:r>
          </m:sup>
        </m:sSubSup>
      </m:oMath>
      <w:r>
        <w:t xml:space="preserve">, sua participação na transição federativa; e</w:t>
      </w:r>
      <w:r>
        <w:t xml:space="preserve"> </w:t>
      </w:r>
      <m:oMath>
        <m:sSubSup>
          <m:e>
            <m:r>
              <m:t>w</m:t>
            </m:r>
          </m:e>
          <m:sub>
            <m:r>
              <m:t>i</m:t>
            </m:r>
          </m:sub>
          <m:sup>
            <m:r>
              <m:t>D</m:t>
            </m:r>
          </m:sup>
        </m:sSubSup>
      </m:oMath>
      <w:r>
        <w:t xml:space="preserve">, sua participação na distribuição pelo destino. Os parâmetros</w:t>
      </w:r>
      <w:r>
        <w:t xml:space="preserve"> </w:t>
      </w:r>
      <m:oMath>
        <m:sSub>
          <m:e>
            <m:r>
              <m:t>f</m:t>
            </m:r>
          </m:e>
          <m:sub>
            <m:r>
              <m:t>t</m:t>
            </m:r>
          </m:sub>
        </m:sSub>
      </m:oMath>
      <w:r>
        <w:t xml:space="preserve">,</w:t>
      </w:r>
      <w:r>
        <w:t xml:space="preserve"> </w:t>
      </w:r>
      <m:oMath>
        <m:sSub>
          <m:e>
            <m:r>
              <m:t>s</m:t>
            </m:r>
          </m:e>
          <m:sub>
            <m:r>
              <m:t>t</m:t>
            </m:r>
          </m:sub>
        </m:sSub>
      </m:oMath>
      <w:r>
        <w:t xml:space="preserve">,</w:t>
      </w:r>
      <w:r>
        <w:t xml:space="preserve"> </w:t>
      </w:r>
      <m:oMath>
        <m:sSub>
          <m:e>
            <m:r>
              <m:t>λ</m:t>
            </m:r>
          </m:e>
          <m:sub>
            <m:r>
              <m:t>t</m:t>
            </m:r>
          </m:sub>
        </m:sSub>
      </m:oMath>
      <w:r>
        <w:t xml:space="preserve"> </w:t>
      </w:r>
      <w:r>
        <w:t xml:space="preserve">e</w:t>
      </w:r>
      <w:r>
        <w:t xml:space="preserve"> </w:t>
      </w:r>
      <m:oMath>
        <m:sSub>
          <m:e>
            <m:r>
              <m:t>ρ</m:t>
            </m:r>
          </m:e>
          <m:sub>
            <m:r>
              <m:t>t</m:t>
            </m:r>
          </m:sub>
        </m:sSub>
      </m:oMath>
      <w:r>
        <w:t xml:space="preserve"> </w:t>
      </w:r>
      <w:r>
        <w:t xml:space="preserve">seguem a Tabela 1, e a Tabela A.5, no Anexo A, reúne os símbolos do modelo. O termo</w:t>
      </w:r>
      <w:r>
        <w:t xml:space="preserve"> </w:t>
      </w:r>
      <m:oMath>
        <m:sSub>
          <m:e>
            <m:r>
              <m:t>S</m:t>
            </m:r>
          </m:e>
          <m:sub>
            <m:r>
              <m:t>i</m:t>
            </m:r>
            <m:r>
              <m:t>t</m:t>
            </m:r>
          </m:sub>
        </m:sSub>
      </m:oMath>
      <w:r>
        <w:t xml:space="preserve"> </w:t>
      </w:r>
      <w:r>
        <w:t xml:space="preserve">corresponde ao valor recebido pelo Seguro-Receita e</w:t>
      </w:r>
      <w:r>
        <w:t xml:space="preserve"> </w:t>
      </w:r>
      <m:oMath>
        <m:sSub>
          <m:e>
            <m:r>
              <m:t>G</m:t>
            </m:r>
          </m:e>
          <m:sub>
            <m:r>
              <m:t>i</m:t>
            </m:r>
            <m:r>
              <m:t>t</m:t>
            </m:r>
          </m:sub>
        </m:sSub>
      </m:oMath>
      <w:r>
        <w:t xml:space="preserve"> </w:t>
      </w:r>
      <w:r>
        <w:t xml:space="preserve">à dedução total destinada ao financiamento do CGIBS sobre a receita de IBS atribuída ao ente.</w:t>
      </w:r>
    </w:p>
    <w:p>
      <w:pPr>
        <w:pStyle w:val="BodyText"/>
      </w:pPr>
      <w:r>
        <w:t xml:space="preserve">O cenário contrafactual mantém a participação de 2025 ao longo de toda a trajetória nacional projetada, de modo que a receita contrafactual do ente</w:t>
      </w:r>
      <w:r>
        <w:t xml:space="preserve"> </w:t>
      </w:r>
      <m:oMath>
        <m:r>
          <m:t>i</m:t>
        </m:r>
      </m:oMath>
      <w:r>
        <w:t xml:space="preserve"> </w:t>
      </w:r>
      <w:r>
        <w:t xml:space="preserve">no ano</w:t>
      </w:r>
      <w:r>
        <w:t xml:space="preserve"> </w:t>
      </w:r>
      <m:oMath>
        <m:r>
          <m:t>t</m:t>
        </m:r>
      </m:oMath>
      <w:r>
        <w:t xml:space="preserve"> </w:t>
      </w:r>
      <w:r>
        <w:t xml:space="preserve">é</w:t>
      </w:r>
      <w:r>
        <w:t xml:space="preserve"> </w:t>
      </w:r>
      <m:oMath>
        <m:sSubSup>
          <m:e>
            <m:r>
              <m:t>R</m:t>
            </m:r>
          </m:e>
          <m:sub>
            <m:r>
              <m:t>i</m:t>
            </m:r>
            <m:r>
              <m:t>t</m:t>
            </m:r>
          </m:sub>
          <m:sup>
            <m:r>
              <m:t>C</m:t>
            </m:r>
          </m:sup>
        </m:sSubSup>
        <m:r>
          <m:rPr>
            <m:sty m:val="p"/>
          </m:rPr>
          <m:t>=</m:t>
        </m:r>
        <m:sSub>
          <m:e>
            <m:r>
              <m:t>A</m:t>
            </m:r>
          </m:e>
          <m:sub>
            <m:r>
              <m:t>t</m:t>
            </m:r>
          </m:sub>
        </m:sSub>
        <m:sSubSup>
          <m:e>
            <m:r>
              <m:t>w</m:t>
            </m:r>
          </m:e>
          <m:sub>
            <m:r>
              <m:t>i</m:t>
            </m:r>
          </m:sub>
          <m:sup>
            <m:r>
              <m:t>0</m:t>
            </m:r>
          </m:sup>
        </m:sSubSup>
      </m:oMath>
      <w:r>
        <w:t xml:space="preserve">. A variação atribuída à reforma é calculada por</w:t>
      </w:r>
      <w:r>
        <w:t xml:space="preserve"> </w:t>
      </w:r>
      <m:oMath>
        <m:sSub>
          <m:e>
            <m:r>
              <m:rPr>
                <m:sty m:val="p"/>
              </m:rPr>
              <m:t>Δ</m:t>
            </m:r>
          </m:e>
          <m:sub>
            <m:r>
              <m:t>i</m:t>
            </m:r>
            <m:r>
              <m:t>t</m:t>
            </m:r>
          </m:sub>
        </m:sSub>
        <m:r>
          <m:rPr>
            <m:sty m:val="p"/>
          </m:rPr>
          <m:t>=</m:t>
        </m:r>
        <m:sSubSup>
          <m:e>
            <m:r>
              <m:t>R</m:t>
            </m:r>
          </m:e>
          <m:sub>
            <m:r>
              <m:t>i</m:t>
            </m:r>
            <m:r>
              <m:t>t</m:t>
            </m:r>
          </m:sub>
          <m:sup>
            <m:r>
              <m:t>R</m:t>
            </m:r>
          </m:sup>
        </m:sSubSup>
        <m:r>
          <m:rPr>
            <m:sty m:val="p"/>
          </m:rPr>
          <m:t>/</m:t>
        </m:r>
        <m:sSubSup>
          <m:e>
            <m:r>
              <m:t>R</m:t>
            </m:r>
          </m:e>
          <m:sub>
            <m:r>
              <m:t>i</m:t>
            </m:r>
            <m:r>
              <m:t>t</m:t>
            </m:r>
          </m:sub>
          <m:sup>
            <m:r>
              <m:t>C</m:t>
            </m:r>
          </m:sup>
        </m:sSubSup>
        <m:r>
          <m:rPr>
            <m:sty m:val="p"/>
          </m:rPr>
          <m:t>−</m:t>
        </m:r>
        <m:r>
          <m:t>1</m:t>
        </m:r>
      </m:oMath>
      <w:r>
        <w:t xml:space="preserve">. Como</w:t>
      </w:r>
      <w:r>
        <w:t xml:space="preserve"> </w:t>
      </w:r>
      <m:oMath>
        <m:sSub>
          <m:e>
            <m:r>
              <m:t>A</m:t>
            </m:r>
          </m:e>
          <m:sub>
            <m:r>
              <m:t>t</m:t>
            </m:r>
          </m:sub>
        </m:sSub>
      </m:oMath>
      <w:r>
        <w:t xml:space="preserve"> </w:t>
      </w:r>
      <w:r>
        <w:t xml:space="preserve">é idêntico nos dois cenários, a comparação isola os efeitos das novas regras de repartição e dos mecanismos de transição, sem atribuir à reforma o crescimento projetado da arrecadação nacional.</w:t>
      </w:r>
    </w:p>
    <w:p>
      <w:pPr>
        <w:pStyle w:val="BodyText"/>
      </w:pPr>
      <w:r>
        <w:t>A escolha do último exercício fechado, 2025, como referência do cenário contrafactual tem justificativa institucional. As despesas dos entes são fixadas a partir de projeções de receita que, na prática, tomam o resultado realizado mais recente como ponto de partida, de modo que a participação observada em 2025 aproxima a expectativa com que as dotações seriam definidas na ausência de mudança de regras. O contrafactual, de participação constante, não pretende, portanto, prever a trajetória própria do ICMS de cada ente, mas isolar o efeito das novas regras de repartição sobre uma posição relativa conhecida no momento da decisão. Como o último ano pode refletir flutuações transitórias, a Seção 4.2.2 e o Anexo A examinam a sensibilidade dos resultados a bases alternativas, entre as quais a média histórica e a estimativa para 2026.</w:t>
      </w:r>
      <w:r>
        <w:rPr/>
      </w:r>
      <w:r>
        <w:rPr/>
      </w:r>
    </w:p>
    <w:bookmarkEnd w:id="16"/>
    <w:bookmarkStart w:id="17" w:name="limitações"/>
    <w:p>
      <w:pPr>
        <w:pStyle w:val="Heading2"/>
      </w:pPr>
      <w:r>
        <w:rPr>
          <w:rStyle w:val="SectionNumber"/>
        </w:rPr>
        <w:t xml:space="preserve">3.6</w:t>
      </w:r>
      <w:r>
        <w:tab/>
      </w:r>
      <w:r>
        <w:t xml:space="preserve">Limitações</w:t>
      </w:r>
    </w:p>
    <w:p>
      <w:pPr>
        <w:pStyle w:val="FirstParagraph"/>
      </w:pPr>
      <w:r>
        <w:t>As projeções estão condicionadas à disponibilidade e à qualidade das informações que formarão os parâmetros definitivos da transição. O coeficiente de participação deverá considerar 2019 a 2026, mas os dados fechados da DCA de 2026 ainda não estão disponíveis; por isso, 2026 entra como estimativa baseada no RREO, e o coeficiente deverá ser recalculado com o dado fechado. Além disso, o cálculo incorpora o FECOP e, entre as contribuições a fundos estaduais referidas no art. 115, inciso I, alínea “b”, da Lei Complementar n.o 227/2026, apenas as do Amazonas, as únicas verificáveis em base pública; as dos demais estados dependem de informação que a lei exige que eles prestem ao CGIBS. No Paraná, cada R$ 1 bilhão de contribuições elegíveis elevaria o coeficiente histórico estadual em cerca de 0,1 ponto percentual e a variação da receita de 2033 em cerca de 2 pontos percentuais. A incorporação do dado fechado de 2026 e dessas receitas pode, portanto, alterar os coeficientes históricos e os valores projetados.</w:t>
      </w:r>
      <w:r>
        <w:rPr/>
      </w:r>
      <w:r>
        <w:rPr/>
      </w:r>
      <w:r/>
      <w:r/>
      <w:r/>
      <w:r>
        <w:rPr>
          <w:vertAlign w:val="superscript"/>
        </w:rPr>
      </w:r>
      <w:r/>
    </w:p>
    <w:p>
      <w:pPr>
        <w:pStyle w:val="BodyText"/>
      </w:pPr>
      <w:r>
        <w:t xml:space="preserve">O coeficiente de destino também deve ser interpretado como aproximação. Sua distribuição somente será conhecida com maior precisão quando o IBS estiver em operação; até lá, o estudo combina POF, Censo e aproximações intraestaduais. No rateio municipal da cota-parte, os critérios educacional e ambiental são aproximados pela população. </w:t>
      </w:r>
      <w:r>
        <w:rPr/>
        <w:t xml:space="preserve">O peso das compras decorre de uma fração estimada com as Tabelas de Recursos e Usos do IBGE (faixa de 36% a 42% no IBS municipal), e o valor oficial dependerá do redutor do art. 370, ainda não calculado; </w:t>
      </w:r>
      <w:r>
        <w:rPr/>
        <w:t>a elasticidade de 0,80 usada no rateio municipal é o ponto médio</w:t>
      </w:r>
      <w:r>
        <w:rPr/>
        <w:t xml:space="preserve"> entre os limites de 0,75 e 0,87 sustentados pelos dados. </w:t>
      </w:r>
      <w:r>
        <w:rPr/>
        <w:t>Para o Paraná, a incerteza relativa de 8% do coeficiente estadual de destino equivale, em um desvio-padrão, a ±0,8 ponto percentual na variação da receita em 2033 e a ±7,8 pontos percentuais em 2077, porque cada ponto percentual do coeficiente altera a variação de 2077 em cerca de 24 pontos e a de 2033 em cerca de 2,4. Essas hipóteses afetam sobretudo a distribuição entre entes</w:t>
      </w:r>
      <w:r>
        <w:rPr/>
      </w:r>
      <w:r>
        <w:rPr/>
        <w:t xml:space="preserve"> e tornam os resultados de longo prazo, quando o destino ganha maior peso, mais sensíveis à qualidade dessa estimativa.</w:t>
      </w:r>
    </w:p>
    <w:p>
      <w:pPr>
        <w:pStyle w:val="BodyText"/>
      </w:pPr>
      <w:r>
        <w:t>Há ainda incertezas sobre a trajetória da base tributária. O modelo mantém a receita nacional de referência próxima de 8% do PIB, em linha com o mecanismo legal de calibração das alíquotas de referência, mas a arrecadação observada poderá oscilar se Estados e Municípios fixarem alíquotas próprias acima ou abaixo dessas referências. As projeções do ICMS e do ISS remanescentes também não incorporam eventual ampliação da base do ICMS durante a coexistência com IBS e CBS. A trajetória do PIB é necessariamente incerta. Em conjunto, essas limitações recomendam interpretar os valores como ordens de grandeza condicionais. No horizonte inicial, elas tendem a afetar mais as magnitudes absolutas do que a direção geral dos resultados, que decorre principalmente das diferenças entre a participação de referência e os coeficientes histórico e de destino; no horizonte longo, a incerteza sobre o destino se torna mais relevante.</w:t>
      </w:r>
    </w:p>
    <w:bookmarkEnd w:id="17"/>
    <w:bookmarkEnd w:id="18"/>
    <w:bookmarkStart w:id="38" w:name="resultados"/>
    <w:p>
      <w:pPr>
        <w:pStyle w:val="Heading1"/>
      </w:pPr>
      <w:r>
        <w:rPr>
          <w:rStyle w:val="SectionNumber"/>
        </w:rPr>
        <w:t xml:space="preserve">4</w:t>
      </w:r>
      <w:r>
        <w:tab/>
      </w:r>
      <w:r>
        <w:t xml:space="preserve">Resultados</w:t>
      </w:r>
    </w:p>
    <w:p>
      <w:pPr>
        <w:pStyle w:val="FirstParagraph"/>
      </w:pPr>
      <w:r>
        <w:t xml:space="preserve">Esta seção aplica o modelo de projeção apresentado na seção anterior para estimar os efeitos da transição do ICMS e do ISS para o IBS sobre a receita subnacional. A análise parte do quadro nacional, de modo a identificar a distribuição de perdas e ganhos entre as unidades da federação e situar o Paraná nesse padrão redistributivo. Em seguida, examina-se o caso paranaense em maior detalhe, com projeções anuais para 2029 a 2033 e comparação com o cenário contrafactual sem reforma. Por fim, a análise é estendida aos municípios do estado.</w:t>
      </w:r>
    </w:p>
    <w:bookmarkStart w:id="20" w:name="resultados-por-unidade-da-federação"/>
    <w:p>
      <w:pPr>
        <w:pStyle w:val="Heading2"/>
      </w:pPr>
      <w:r>
        <w:rPr>
          <w:rStyle w:val="SectionNumber"/>
        </w:rPr>
        <w:t xml:space="preserve">4.1</w:t>
      </w:r>
      <w:r>
        <w:tab/>
      </w:r>
      <w:r>
        <w:t xml:space="preserve">Resultados por unidade da federação</w:t>
      </w:r>
    </w:p>
    <w:p>
      <w:pPr>
        <w:pStyle w:val="FirstParagraph"/>
      </w:pPr>
      <w:r>
        <w:t xml:space="preserve">Esta subseção compara a receita estadual projetada de cada unidade da federação com a receita do cenário contrafactual sem reforma. Para os governos estaduais, a receita de referência corresponde ao ICMS acrescido do Fundo de Combate à Pobreza, líquido da cota-parte destinada aos municípios e das demais deduções que integram a base de transição. A Tabela 2 reúne as projeções entre 2029 e 2033, com as unidades da federação ordenadas pela variação relativa estimada no último ano.</w:t>
      </w:r>
    </w:p>
    <w:bookmarkStart w:id="19" w:name="tab:uf"/>
    <w:p>
      <w:pPr>
        <w:pStyle w:val="TableCaption"/>
      </w:pPr>
      <w:r>
        <w:rPr>
          <w:b/>
          <w:bCs/>
        </w:rPr>
        <w:t xml:space="preserve">Tabela 2:</w:t>
      </w:r>
      <w:r>
        <w:t xml:space="preserve"> Receita projetada do ente estadual, por unidade federativa, 2029 a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0" w:lastRow="0" w:firstColumn="0" w:lastColumn="0" w:noHBand="0" w:noVBand="0" w:val="0000"/>
        <w:tblCaption w:val="Tabela 2: Receita projetada do ente estadual, por unidade federativa, 2029 a 2033"/>
      </w:tblPr>
      <w:tblGrid>
        <w:gridCol w:w="439"/>
        <w:gridCol w:w="1484"/>
        <w:gridCol w:w="714"/>
        <w:gridCol w:w="714"/>
        <w:gridCol w:w="714"/>
        <w:gridCol w:w="714"/>
        <w:gridCol w:w="714"/>
        <w:gridCol w:w="714"/>
        <w:gridCol w:w="714"/>
        <w:gridCol w:w="714"/>
        <w:gridCol w:w="714"/>
        <w:gridCol w:w="714"/>
      </w:tblGrid>
      <w:tr>
        <w:trPr>
          <w:cantSplit/>
          <w:tblHeader/>
        </w:trPr>
        <w:tc>
          <w:tcPr>
            <w:tcW w:type="dxa" w:w="43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4"/>
              </w:rPr>
              <w:t xml:space="preserve">UF</w:t>
            </w:r>
          </w:p>
        </w:tc>
        <w:tc>
          <w:tcPr>
            <w:tcW w:type="dxa" w:w="148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4"/>
              </w:rPr>
              <w:t xml:space="preserve">Receita-base</w:t>
            </w:r>
            <w:r>
              <w:rPr>
                <w:rFonts w:ascii="Times New Roman" w:hAnsi="Times New Roman"/>
                <w:b/>
                <w:sz w:val="14"/>
              </w:rPr>
              <w:br/>
            </w:r>
            <w:r>
              <w:rPr>
                <w:rFonts w:ascii="Times New Roman" w:hAnsi="Times New Roman"/>
                <w:b/>
                <w:bCs/>
                <w:sz w:val="14"/>
              </w:rPr>
              <w:t xml:space="preserve">2025</w:t>
            </w:r>
          </w:p>
        </w:tc>
        <w:tc>
          <w:tcPr>
            <w:tcW w:type="dxa" w:w="3573"/>
            <w:gridSpan w:val="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4"/>
              </w:rPr>
              <w:t xml:space="preserve">Receita projetada sob a reforma, R$ bi</w:t>
            </w:r>
          </w:p>
        </w:tc>
        <w:tc>
          <w:tcPr>
            <w:tcW w:type="dxa" w:w="3573"/>
            <w:gridSpan w:val="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4"/>
              </w:rPr>
              <w:t xml:space="preserve">Variação ante o cenário sem reforma (%)</w:t>
            </w:r>
          </w:p>
        </w:tc>
      </w:tr>
      <w:tr>
        <w:trPr>
          <w:cantSplit/>
        </w:trPr>
        <w:tc>
          <w:tcPr>
            <w:tcW w:type="dxa" w:w="439"/>
          </w:tcPr>
          <w:p>
            <w:pPr>
              <w:pStyle w:val="Compact"/>
              <w:spacing w:line="240" w:lineRule="auto" w:before="20" w:after="20"/>
              <w:ind w:firstLine="0"/>
            </w:pPr>
          </w:p>
        </w:tc>
        <w:tc>
          <w:tcPr>
            <w:tcW w:type="dxa" w:w="1484"/>
          </w:tcPr>
          <w:p>
            <w:pPr>
              <w:pStyle w:val="Compact"/>
              <w:spacing w:line="240" w:lineRule="auto" w:before="20" w:after="20"/>
              <w:ind w:firstLine="0"/>
            </w:pPr>
          </w:p>
        </w:tc>
        <w:tc>
          <w:tcPr>
            <w:tcW w:type="dxa" w:w="714"/>
          </w:tcPr>
          <w:p>
            <w:pPr>
              <w:pStyle w:val="Compact"/>
              <w:spacing w:line="240" w:lineRule="auto" w:before="20" w:after="20"/>
              <w:ind w:firstLine="0"/>
              <w:jc w:val="right"/>
            </w:pPr>
            <w:r>
              <w:rPr>
                <w:rFonts w:ascii="Times New Roman" w:hAnsi="Times New Roman"/>
                <w:b/>
                <w:bCs/>
                <w:sz w:val="14"/>
              </w:rPr>
              <w:t xml:space="preserve">2029</w:t>
            </w:r>
          </w:p>
        </w:tc>
        <w:tc>
          <w:tcPr>
            <w:tcW w:type="dxa" w:w="714"/>
          </w:tcPr>
          <w:p>
            <w:pPr>
              <w:pStyle w:val="Compact"/>
              <w:spacing w:line="240" w:lineRule="auto" w:before="20" w:after="20"/>
              <w:ind w:firstLine="0"/>
              <w:jc w:val="right"/>
            </w:pPr>
            <w:r>
              <w:rPr>
                <w:rFonts w:ascii="Times New Roman" w:hAnsi="Times New Roman"/>
                <w:b/>
                <w:bCs/>
                <w:sz w:val="14"/>
              </w:rPr>
              <w:t xml:space="preserve">2030</w:t>
            </w:r>
          </w:p>
        </w:tc>
        <w:tc>
          <w:tcPr>
            <w:tcW w:type="dxa" w:w="714"/>
          </w:tcPr>
          <w:p>
            <w:pPr>
              <w:pStyle w:val="Compact"/>
              <w:spacing w:line="240" w:lineRule="auto" w:before="20" w:after="20"/>
              <w:ind w:firstLine="0"/>
              <w:jc w:val="right"/>
            </w:pPr>
            <w:r>
              <w:rPr>
                <w:rFonts w:ascii="Times New Roman" w:hAnsi="Times New Roman"/>
                <w:b/>
                <w:bCs/>
                <w:sz w:val="14"/>
              </w:rPr>
              <w:t xml:space="preserve">2031</w:t>
            </w:r>
          </w:p>
        </w:tc>
        <w:tc>
          <w:tcPr>
            <w:tcW w:type="dxa" w:w="714"/>
          </w:tcPr>
          <w:p>
            <w:pPr>
              <w:pStyle w:val="Compact"/>
              <w:spacing w:line="240" w:lineRule="auto" w:before="20" w:after="20"/>
              <w:ind w:firstLine="0"/>
              <w:jc w:val="right"/>
            </w:pPr>
            <w:r>
              <w:rPr>
                <w:rFonts w:ascii="Times New Roman" w:hAnsi="Times New Roman"/>
                <w:b/>
                <w:bCs/>
                <w:sz w:val="14"/>
              </w:rPr>
              <w:t xml:space="preserve">2032</w:t>
            </w:r>
          </w:p>
        </w:tc>
        <w:tc>
          <w:tcPr>
            <w:tcW w:type="dxa" w:w="714"/>
          </w:tcPr>
          <w:p>
            <w:pPr>
              <w:pStyle w:val="Compact"/>
              <w:spacing w:line="240" w:lineRule="auto" w:before="20" w:after="20"/>
              <w:ind w:firstLine="0"/>
              <w:jc w:val="right"/>
            </w:pPr>
            <w:r>
              <w:rPr>
                <w:rFonts w:ascii="Times New Roman" w:hAnsi="Times New Roman"/>
                <w:b/>
                <w:bCs/>
                <w:sz w:val="14"/>
              </w:rPr>
              <w:t xml:space="preserve">2033</w:t>
            </w:r>
          </w:p>
        </w:tc>
        <w:tc>
          <w:tcPr>
            <w:tcW w:type="dxa" w:w="714"/>
          </w:tcPr>
          <w:p>
            <w:pPr>
              <w:pStyle w:val="Compact"/>
              <w:spacing w:line="240" w:lineRule="auto" w:before="20" w:after="20"/>
              <w:ind w:firstLine="0"/>
              <w:jc w:val="right"/>
            </w:pPr>
            <w:r>
              <w:rPr>
                <w:rFonts w:ascii="Times New Roman" w:hAnsi="Times New Roman"/>
                <w:b/>
                <w:bCs/>
                <w:sz w:val="14"/>
              </w:rPr>
              <w:t xml:space="preserve">2029</w:t>
            </w:r>
          </w:p>
        </w:tc>
        <w:tc>
          <w:tcPr>
            <w:tcW w:type="dxa" w:w="714"/>
          </w:tcPr>
          <w:p>
            <w:pPr>
              <w:pStyle w:val="Compact"/>
              <w:spacing w:line="240" w:lineRule="auto" w:before="20" w:after="20"/>
              <w:ind w:firstLine="0"/>
              <w:jc w:val="right"/>
            </w:pPr>
            <w:r>
              <w:rPr>
                <w:rFonts w:ascii="Times New Roman" w:hAnsi="Times New Roman"/>
                <w:b/>
                <w:bCs/>
                <w:sz w:val="14"/>
              </w:rPr>
              <w:t xml:space="preserve">2030</w:t>
            </w:r>
          </w:p>
        </w:tc>
        <w:tc>
          <w:tcPr>
            <w:tcW w:type="dxa" w:w="714"/>
          </w:tcPr>
          <w:p>
            <w:pPr>
              <w:pStyle w:val="Compact"/>
              <w:spacing w:line="240" w:lineRule="auto" w:before="20" w:after="20"/>
              <w:ind w:firstLine="0"/>
              <w:jc w:val="right"/>
            </w:pPr>
            <w:r>
              <w:rPr>
                <w:rFonts w:ascii="Times New Roman" w:hAnsi="Times New Roman"/>
                <w:b/>
                <w:bCs/>
                <w:sz w:val="14"/>
              </w:rPr>
              <w:t xml:space="preserve">2031</w:t>
            </w:r>
          </w:p>
        </w:tc>
        <w:tc>
          <w:tcPr>
            <w:tcW w:type="dxa" w:w="714"/>
          </w:tcPr>
          <w:p>
            <w:pPr>
              <w:pStyle w:val="Compact"/>
              <w:spacing w:line="240" w:lineRule="auto" w:before="20" w:after="20"/>
              <w:ind w:firstLine="0"/>
              <w:jc w:val="right"/>
            </w:pPr>
            <w:r>
              <w:rPr>
                <w:rFonts w:ascii="Times New Roman" w:hAnsi="Times New Roman"/>
                <w:b/>
                <w:bCs/>
                <w:sz w:val="14"/>
              </w:rPr>
              <w:t xml:space="preserve">2032</w:t>
            </w:r>
          </w:p>
        </w:tc>
        <w:tc>
          <w:tcPr>
            <w:tcW w:type="dxa" w:w="714"/>
          </w:tcPr>
          <w:p>
            <w:pPr>
              <w:pStyle w:val="Compact"/>
              <w:spacing w:line="240" w:lineRule="auto" w:before="20" w:after="20"/>
              <w:ind w:firstLine="0"/>
              <w:jc w:val="right"/>
            </w:pPr>
            <w:r>
              <w:rPr>
                <w:rFonts w:ascii="Times New Roman" w:hAnsi="Times New Roman"/>
                <w:b/>
                <w:bCs/>
                <w:sz w:val="14"/>
              </w:rPr>
              <w:t xml:space="preserve">2033</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TO</w:t>
            </w:r>
          </w:p>
        </w:tc>
        <w:tc>
          <w:tcPr>
            <w:tcW w:type="dxa" w:w="1484"/>
          </w:tcPr>
          <w:p>
            <w:pPr>
              <w:pStyle w:val="Compact"/>
              <w:spacing w:line="240" w:lineRule="auto" w:before="20" w:after="20"/>
              <w:ind w:firstLine="0"/>
              <w:jc w:val="right"/>
            </w:pPr>
            <w:r>
              <w:rPr>
                <w:rFonts w:ascii="Times New Roman" w:hAnsi="Times New Roman"/>
                <w:sz w:val="14"/>
              </w:rPr>
              <w:t xml:space="preserve">4,8</w:t>
            </w:r>
          </w:p>
        </w:tc>
        <w:tc>
          <w:tcPr>
            <w:tcW w:type="dxa" w:w="714"/>
          </w:tcPr>
          <w:p>
            <w:pPr>
              <w:pStyle w:val="Compact"/>
              <w:spacing w:line="240" w:lineRule="auto" w:before="20" w:after="20"/>
              <w:ind w:firstLine="0"/>
              <w:jc w:val="right"/>
            </w:pPr>
            <w:r>
              <w:rPr>
                <w:rFonts w:ascii="Times New Roman" w:hAnsi="Times New Roman"/>
                <w:sz w:val="14"/>
              </w:rPr>
              <w:t xml:space="preserve">5,1</w:t>
            </w:r>
          </w:p>
        </w:tc>
        <w:tc>
          <w:tcPr>
            <w:tcW w:type="dxa" w:w="714"/>
          </w:tcPr>
          <w:p>
            <w:pPr>
              <w:pStyle w:val="Compact"/>
              <w:spacing w:line="240" w:lineRule="auto" w:before="20" w:after="20"/>
              <w:ind w:firstLine="0"/>
              <w:jc w:val="right"/>
            </w:pPr>
            <w:r>
              <w:rPr>
                <w:rFonts w:ascii="Times New Roman" w:hAnsi="Times New Roman"/>
                <w:sz w:val="14"/>
              </w:rPr>
              <w:t xml:space="preserve">5,2</w:t>
            </w:r>
          </w:p>
        </w:tc>
        <w:tc>
          <w:tcPr>
            <w:tcW w:type="dxa" w:w="714"/>
          </w:tcPr>
          <w:p>
            <w:pPr>
              <w:pStyle w:val="Compact"/>
              <w:spacing w:line="240" w:lineRule="auto" w:before="20" w:after="20"/>
              <w:ind w:firstLine="0"/>
              <w:jc w:val="right"/>
            </w:pPr>
            <w:r>
              <w:rPr>
                <w:rFonts w:ascii="Times New Roman" w:hAnsi="Times New Roman"/>
                <w:sz w:val="14"/>
              </w:rPr>
              <w:t xml:space="preserve">5,2</w:t>
            </w:r>
          </w:p>
        </w:tc>
        <w:tc>
          <w:tcPr>
            <w:tcW w:type="dxa" w:w="714"/>
          </w:tcPr>
          <w:p>
            <w:pPr>
              <w:pStyle w:val="Compact"/>
              <w:spacing w:line="240" w:lineRule="auto" w:before="20" w:after="20"/>
              <w:ind w:firstLine="0"/>
              <w:jc w:val="right"/>
            </w:pPr>
            <w:r>
              <w:rPr>
                <w:rFonts w:ascii="Times New Roman" w:hAnsi="Times New Roman"/>
                <w:sz w:val="14"/>
              </w:rPr>
              <w:t xml:space="preserve">5,3</w:t>
            </w:r>
          </w:p>
        </w:tc>
        <w:tc>
          <w:tcPr>
            <w:tcW w:type="dxa" w:w="714"/>
          </w:tcPr>
          <w:p>
            <w:pPr>
              <w:pStyle w:val="Compact"/>
              <w:spacing w:line="240" w:lineRule="auto" w:before="20" w:after="20"/>
              <w:ind w:firstLine="0"/>
              <w:jc w:val="right"/>
            </w:pPr>
            <w:r>
              <w:rPr>
                <w:rFonts w:ascii="Times New Roman" w:hAnsi="Times New Roman"/>
                <w:sz w:val="14"/>
              </w:rPr>
              <w:t>5,1</w:t>
            </w:r>
          </w:p>
        </w:tc>
        <w:tc>
          <w:tcPr>
            <w:tcW w:type="dxa" w:w="714"/>
          </w:tcPr>
          <w:p>
            <w:pPr>
              <w:pStyle w:val="Compact"/>
              <w:spacing w:line="240" w:lineRule="auto" w:before="20" w:after="20"/>
              <w:ind w:firstLine="0"/>
              <w:jc w:val="right"/>
            </w:pPr>
            <w:r>
              <w:rPr>
                <w:rFonts w:ascii="Times New Roman" w:hAnsi="Times New Roman"/>
                <w:sz w:val="14"/>
              </w:rPr>
              <w:t>−1,32</w:t>
            </w:r>
          </w:p>
        </w:tc>
        <w:tc>
          <w:tcPr>
            <w:tcW w:type="dxa" w:w="714"/>
          </w:tcPr>
          <w:p>
            <w:pPr>
              <w:pStyle w:val="Compact"/>
              <w:spacing w:line="240" w:lineRule="auto" w:before="20" w:after="20"/>
              <w:ind w:firstLine="0"/>
              <w:jc w:val="right"/>
            </w:pPr>
            <w:r>
              <w:rPr>
                <w:rFonts w:ascii="Times New Roman" w:hAnsi="Times New Roman"/>
                <w:sz w:val="14"/>
              </w:rPr>
              <w:t>−2,46</w:t>
            </w:r>
          </w:p>
        </w:tc>
        <w:tc>
          <w:tcPr>
            <w:tcW w:type="dxa" w:w="714"/>
          </w:tcPr>
          <w:p>
            <w:pPr>
              <w:pStyle w:val="Compact"/>
              <w:spacing w:line="240" w:lineRule="auto" w:before="20" w:after="20"/>
              <w:ind w:firstLine="0"/>
              <w:jc w:val="right"/>
            </w:pPr>
            <w:r>
              <w:rPr>
                <w:rFonts w:ascii="Times New Roman" w:hAnsi="Times New Roman"/>
                <w:sz w:val="14"/>
              </w:rPr>
              <w:t>−3,60</w:t>
            </w:r>
          </w:p>
        </w:tc>
        <w:tc>
          <w:tcPr>
            <w:tcW w:type="dxa" w:w="714"/>
          </w:tcPr>
          <w:p>
            <w:pPr>
              <w:pStyle w:val="Compact"/>
              <w:spacing w:line="240" w:lineRule="auto" w:before="20" w:after="20"/>
              <w:ind w:firstLine="0"/>
              <w:jc w:val="right"/>
            </w:pPr>
            <w:r>
              <w:rPr>
                <w:rFonts w:ascii="Times New Roman" w:hAnsi="Times New Roman"/>
                <w:sz w:val="14"/>
              </w:rPr>
              <w:t>−4,73</w:t>
            </w:r>
          </w:p>
        </w:tc>
        <w:tc>
          <w:tcPr>
            <w:tcW w:type="dxa" w:w="714"/>
          </w:tcPr>
          <w:p>
            <w:pPr>
              <w:pStyle w:val="Compact"/>
              <w:spacing w:line="240" w:lineRule="auto" w:before="20" w:after="20"/>
              <w:ind w:firstLine="0"/>
              <w:jc w:val="right"/>
            </w:pPr>
            <w:r>
              <w:rPr>
                <w:rFonts w:ascii="Times New Roman" w:hAnsi="Times New Roman"/>
                <w:sz w:val="14"/>
              </w:rPr>
              <w:t>−9,44</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MA</w:t>
            </w:r>
          </w:p>
        </w:tc>
        <w:tc>
          <w:tcPr>
            <w:tcW w:type="dxa" w:w="1484"/>
          </w:tcPr>
          <w:p>
            <w:pPr>
              <w:pStyle w:val="Compact"/>
              <w:spacing w:line="240" w:lineRule="auto" w:before="20" w:after="20"/>
              <w:ind w:firstLine="0"/>
              <w:jc w:val="right"/>
            </w:pPr>
            <w:r>
              <w:rPr>
                <w:rFonts w:ascii="Times New Roman" w:hAnsi="Times New Roman"/>
                <w:sz w:val="14"/>
              </w:rPr>
              <w:t xml:space="preserve">11,9</w:t>
            </w:r>
          </w:p>
        </w:tc>
        <w:tc>
          <w:tcPr>
            <w:tcW w:type="dxa" w:w="714"/>
          </w:tcPr>
          <w:p>
            <w:pPr>
              <w:pStyle w:val="Compact"/>
              <w:spacing w:line="240" w:lineRule="auto" w:before="20" w:after="20"/>
              <w:ind w:firstLine="0"/>
              <w:jc w:val="right"/>
            </w:pPr>
            <w:r>
              <w:rPr>
                <w:rFonts w:ascii="Times New Roman" w:hAnsi="Times New Roman"/>
                <w:sz w:val="14"/>
              </w:rPr>
              <w:t>12,8</w:t>
            </w:r>
          </w:p>
        </w:tc>
        <w:tc>
          <w:tcPr>
            <w:tcW w:type="dxa" w:w="714"/>
          </w:tcPr>
          <w:p>
            <w:pPr>
              <w:pStyle w:val="Compact"/>
              <w:spacing w:line="240" w:lineRule="auto" w:before="20" w:after="20"/>
              <w:ind w:firstLine="0"/>
              <w:jc w:val="right"/>
            </w:pPr>
            <w:r>
              <w:rPr>
                <w:rFonts w:ascii="Times New Roman" w:hAnsi="Times New Roman"/>
                <w:sz w:val="14"/>
              </w:rPr>
              <w:t>13,0</w:t>
            </w:r>
          </w:p>
        </w:tc>
        <w:tc>
          <w:tcPr>
            <w:tcW w:type="dxa" w:w="714"/>
          </w:tcPr>
          <w:p>
            <w:pPr>
              <w:pStyle w:val="Compact"/>
              <w:spacing w:line="240" w:lineRule="auto" w:before="20" w:after="20"/>
              <w:ind w:firstLine="0"/>
              <w:jc w:val="right"/>
            </w:pPr>
            <w:r>
              <w:rPr>
                <w:rFonts w:ascii="Times New Roman" w:hAnsi="Times New Roman"/>
                <w:sz w:val="14"/>
              </w:rPr>
              <w:t>13,2</w:t>
            </w:r>
          </w:p>
        </w:tc>
        <w:tc>
          <w:tcPr>
            <w:tcW w:type="dxa" w:w="714"/>
          </w:tcPr>
          <w:p>
            <w:pPr>
              <w:pStyle w:val="Compact"/>
              <w:spacing w:line="240" w:lineRule="auto" w:before="20" w:after="20"/>
              <w:ind w:firstLine="0"/>
              <w:jc w:val="right"/>
            </w:pPr>
            <w:r>
              <w:rPr>
                <w:rFonts w:ascii="Times New Roman" w:hAnsi="Times New Roman"/>
                <w:sz w:val="14"/>
              </w:rPr>
              <w:t>13,4</w:t>
            </w:r>
          </w:p>
        </w:tc>
        <w:tc>
          <w:tcPr>
            <w:tcW w:type="dxa" w:w="714"/>
          </w:tcPr>
          <w:p>
            <w:pPr>
              <w:pStyle w:val="Compact"/>
              <w:spacing w:line="240" w:lineRule="auto" w:before="20" w:after="20"/>
              <w:ind w:firstLine="0"/>
              <w:jc w:val="right"/>
            </w:pPr>
            <w:r>
              <w:rPr>
                <w:rFonts w:ascii="Times New Roman" w:hAnsi="Times New Roman"/>
                <w:sz w:val="14"/>
              </w:rPr>
              <w:t>13,1</w:t>
            </w:r>
          </w:p>
        </w:tc>
        <w:tc>
          <w:tcPr>
            <w:tcW w:type="dxa" w:w="714"/>
          </w:tcPr>
          <w:p>
            <w:pPr>
              <w:pStyle w:val="Compact"/>
              <w:spacing w:line="240" w:lineRule="auto" w:before="20" w:after="20"/>
              <w:ind w:firstLine="0"/>
              <w:jc w:val="right"/>
            </w:pPr>
            <w:r>
              <w:rPr>
                <w:rFonts w:ascii="Times New Roman" w:hAnsi="Times New Roman"/>
                <w:sz w:val="14"/>
              </w:rPr>
              <w:t>−0,76</w:t>
            </w:r>
          </w:p>
        </w:tc>
        <w:tc>
          <w:tcPr>
            <w:tcW w:type="dxa" w:w="714"/>
          </w:tcPr>
          <w:p>
            <w:pPr>
              <w:pStyle w:val="Compact"/>
              <w:spacing w:line="240" w:lineRule="auto" w:before="20" w:after="20"/>
              <w:ind w:firstLine="0"/>
              <w:jc w:val="right"/>
            </w:pPr>
            <w:r>
              <w:rPr>
                <w:rFonts w:ascii="Times New Roman" w:hAnsi="Times New Roman"/>
                <w:sz w:val="14"/>
              </w:rPr>
              <w:t>−1,33</w:t>
            </w:r>
          </w:p>
        </w:tc>
        <w:tc>
          <w:tcPr>
            <w:tcW w:type="dxa" w:w="714"/>
          </w:tcPr>
          <w:p>
            <w:pPr>
              <w:pStyle w:val="Compact"/>
              <w:spacing w:line="240" w:lineRule="auto" w:before="20" w:after="20"/>
              <w:ind w:firstLine="0"/>
              <w:jc w:val="right"/>
            </w:pPr>
            <w:r>
              <w:rPr>
                <w:rFonts w:ascii="Times New Roman" w:hAnsi="Times New Roman"/>
                <w:sz w:val="14"/>
              </w:rPr>
              <w:t>−1,90</w:t>
            </w:r>
          </w:p>
        </w:tc>
        <w:tc>
          <w:tcPr>
            <w:tcW w:type="dxa" w:w="714"/>
          </w:tcPr>
          <w:p>
            <w:pPr>
              <w:pStyle w:val="Compact"/>
              <w:spacing w:line="240" w:lineRule="auto" w:before="20" w:after="20"/>
              <w:ind w:firstLine="0"/>
              <w:jc w:val="right"/>
            </w:pPr>
            <w:r>
              <w:rPr>
                <w:rFonts w:ascii="Times New Roman" w:hAnsi="Times New Roman"/>
                <w:sz w:val="14"/>
              </w:rPr>
              <w:t>−2,47</w:t>
            </w:r>
          </w:p>
        </w:tc>
        <w:tc>
          <w:tcPr>
            <w:tcW w:type="dxa" w:w="714"/>
          </w:tcPr>
          <w:p>
            <w:pPr>
              <w:pStyle w:val="Compact"/>
              <w:spacing w:line="240" w:lineRule="auto" w:before="20" w:after="20"/>
              <w:ind w:firstLine="0"/>
              <w:jc w:val="right"/>
            </w:pPr>
            <w:r>
              <w:rPr>
                <w:rFonts w:ascii="Times New Roman" w:hAnsi="Times New Roman"/>
                <w:sz w:val="14"/>
              </w:rPr>
              <w:t>−6,41</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MT</w:t>
            </w:r>
          </w:p>
        </w:tc>
        <w:tc>
          <w:tcPr>
            <w:tcW w:type="dxa" w:w="1484"/>
          </w:tcPr>
          <w:p>
            <w:pPr>
              <w:pStyle w:val="Compact"/>
              <w:spacing w:line="240" w:lineRule="auto" w:before="20" w:after="20"/>
              <w:ind w:firstLine="0"/>
              <w:jc w:val="right"/>
            </w:pPr>
            <w:r>
              <w:rPr>
                <w:rFonts w:ascii="Times New Roman" w:hAnsi="Times New Roman"/>
                <w:sz w:val="14"/>
              </w:rPr>
              <w:t xml:space="preserve">19,5</w:t>
            </w:r>
          </w:p>
        </w:tc>
        <w:tc>
          <w:tcPr>
            <w:tcW w:type="dxa" w:w="714"/>
          </w:tcPr>
          <w:p>
            <w:pPr>
              <w:pStyle w:val="Compact"/>
              <w:spacing w:line="240" w:lineRule="auto" w:before="20" w:after="20"/>
              <w:ind w:firstLine="0"/>
              <w:jc w:val="right"/>
            </w:pPr>
            <w:r>
              <w:rPr>
                <w:rFonts w:ascii="Times New Roman" w:hAnsi="Times New Roman"/>
                <w:sz w:val="14"/>
              </w:rPr>
              <w:t xml:space="preserve">20,8</w:t>
            </w:r>
          </w:p>
        </w:tc>
        <w:tc>
          <w:tcPr>
            <w:tcW w:type="dxa" w:w="714"/>
          </w:tcPr>
          <w:p>
            <w:pPr>
              <w:pStyle w:val="Compact"/>
              <w:spacing w:line="240" w:lineRule="auto" w:before="20" w:after="20"/>
              <w:ind w:firstLine="0"/>
              <w:jc w:val="right"/>
            </w:pPr>
            <w:r>
              <w:rPr>
                <w:rFonts w:ascii="Times New Roman" w:hAnsi="Times New Roman"/>
                <w:sz w:val="14"/>
              </w:rPr>
              <w:t>20,9</w:t>
            </w:r>
          </w:p>
        </w:tc>
        <w:tc>
          <w:tcPr>
            <w:tcW w:type="dxa" w:w="714"/>
          </w:tcPr>
          <w:p>
            <w:pPr>
              <w:pStyle w:val="Compact"/>
              <w:spacing w:line="240" w:lineRule="auto" w:before="20" w:after="20"/>
              <w:ind w:firstLine="0"/>
              <w:jc w:val="right"/>
            </w:pPr>
            <w:r>
              <w:rPr>
                <w:rFonts w:ascii="Times New Roman" w:hAnsi="Times New Roman"/>
                <w:sz w:val="14"/>
              </w:rPr>
              <w:t>21,1</w:t>
            </w:r>
          </w:p>
        </w:tc>
        <w:tc>
          <w:tcPr>
            <w:tcW w:type="dxa" w:w="714"/>
          </w:tcPr>
          <w:p>
            <w:pPr>
              <w:pStyle w:val="Compact"/>
              <w:spacing w:line="240" w:lineRule="auto" w:before="20" w:after="20"/>
              <w:ind w:firstLine="0"/>
              <w:jc w:val="right"/>
            </w:pPr>
            <w:r>
              <w:rPr>
                <w:rFonts w:ascii="Times New Roman" w:hAnsi="Times New Roman"/>
                <w:sz w:val="14"/>
              </w:rPr>
              <w:t>21,3</w:t>
            </w:r>
          </w:p>
        </w:tc>
        <w:tc>
          <w:tcPr>
            <w:tcW w:type="dxa" w:w="714"/>
          </w:tcPr>
          <w:p>
            <w:pPr>
              <w:pStyle w:val="Compact"/>
              <w:spacing w:line="240" w:lineRule="auto" w:before="20" w:after="20"/>
              <w:ind w:firstLine="0"/>
              <w:jc w:val="right"/>
            </w:pPr>
            <w:r>
              <w:rPr>
                <w:rFonts w:ascii="Times New Roman" w:hAnsi="Times New Roman"/>
                <w:sz w:val="14"/>
              </w:rPr>
              <w:t>20,8</w:t>
            </w:r>
          </w:p>
        </w:tc>
        <w:tc>
          <w:tcPr>
            <w:tcW w:type="dxa" w:w="714"/>
          </w:tcPr>
          <w:p>
            <w:pPr>
              <w:pStyle w:val="Compact"/>
              <w:spacing w:line="240" w:lineRule="auto" w:before="20" w:after="20"/>
              <w:ind w:firstLine="0"/>
              <w:jc w:val="right"/>
            </w:pPr>
            <w:r>
              <w:rPr>
                <w:rFonts w:ascii="Times New Roman" w:hAnsi="Times New Roman"/>
                <w:sz w:val="14"/>
              </w:rPr>
              <w:t>−1,33</w:t>
            </w:r>
          </w:p>
        </w:tc>
        <w:tc>
          <w:tcPr>
            <w:tcW w:type="dxa" w:w="714"/>
          </w:tcPr>
          <w:p>
            <w:pPr>
              <w:pStyle w:val="Compact"/>
              <w:spacing w:line="240" w:lineRule="auto" w:before="20" w:after="20"/>
              <w:ind w:firstLine="0"/>
              <w:jc w:val="right"/>
            </w:pPr>
            <w:r>
              <w:rPr>
                <w:rFonts w:ascii="Times New Roman" w:hAnsi="Times New Roman"/>
                <w:sz w:val="14"/>
              </w:rPr>
              <w:t>−2,49</w:t>
            </w:r>
          </w:p>
        </w:tc>
        <w:tc>
          <w:tcPr>
            <w:tcW w:type="dxa" w:w="714"/>
          </w:tcPr>
          <w:p>
            <w:pPr>
              <w:pStyle w:val="Compact"/>
              <w:spacing w:line="240" w:lineRule="auto" w:before="20" w:after="20"/>
              <w:ind w:firstLine="0"/>
              <w:jc w:val="right"/>
            </w:pPr>
            <w:r>
              <w:rPr>
                <w:rFonts w:ascii="Times New Roman" w:hAnsi="Times New Roman"/>
                <w:sz w:val="14"/>
              </w:rPr>
              <w:t>−3,64</w:t>
            </w:r>
          </w:p>
        </w:tc>
        <w:tc>
          <w:tcPr>
            <w:tcW w:type="dxa" w:w="714"/>
          </w:tcPr>
          <w:p>
            <w:pPr>
              <w:pStyle w:val="Compact"/>
              <w:spacing w:line="240" w:lineRule="auto" w:before="20" w:after="20"/>
              <w:ind w:firstLine="0"/>
              <w:jc w:val="right"/>
            </w:pPr>
            <w:r>
              <w:rPr>
                <w:rFonts w:ascii="Times New Roman" w:hAnsi="Times New Roman"/>
                <w:sz w:val="14"/>
              </w:rPr>
              <w:t>−4,80</w:t>
            </w:r>
          </w:p>
        </w:tc>
        <w:tc>
          <w:tcPr>
            <w:tcW w:type="dxa" w:w="714"/>
          </w:tcPr>
          <w:p>
            <w:pPr>
              <w:pStyle w:val="Compact"/>
              <w:spacing w:line="240" w:lineRule="auto" w:before="20" w:after="20"/>
              <w:ind w:firstLine="0"/>
              <w:jc w:val="right"/>
            </w:pPr>
            <w:r>
              <w:rPr>
                <w:rFonts w:ascii="Times New Roman" w:hAnsi="Times New Roman"/>
                <w:sz w:val="14"/>
              </w:rPr>
              <w:t>−9,04</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AL</w:t>
            </w:r>
          </w:p>
        </w:tc>
        <w:tc>
          <w:tcPr>
            <w:tcW w:type="dxa" w:w="1484"/>
          </w:tcPr>
          <w:p>
            <w:pPr>
              <w:pStyle w:val="Compact"/>
              <w:spacing w:line="240" w:lineRule="auto" w:before="20" w:after="20"/>
              <w:ind w:firstLine="0"/>
              <w:jc w:val="right"/>
            </w:pPr>
            <w:r>
              <w:rPr>
                <w:rFonts w:ascii="Times New Roman" w:hAnsi="Times New Roman"/>
                <w:sz w:val="14"/>
              </w:rPr>
              <w:t xml:space="preserve">6,9</w:t>
            </w:r>
          </w:p>
        </w:tc>
        <w:tc>
          <w:tcPr>
            <w:tcW w:type="dxa" w:w="714"/>
          </w:tcPr>
          <w:p>
            <w:pPr>
              <w:pStyle w:val="Compact"/>
              <w:spacing w:line="240" w:lineRule="auto" w:before="20" w:after="20"/>
              <w:ind w:firstLine="0"/>
              <w:jc w:val="right"/>
            </w:pPr>
            <w:r>
              <w:rPr>
                <w:rFonts w:ascii="Times New Roman" w:hAnsi="Times New Roman"/>
                <w:sz w:val="14"/>
              </w:rPr>
              <w:t xml:space="preserve">7,4</w:t>
            </w:r>
          </w:p>
        </w:tc>
        <w:tc>
          <w:tcPr>
            <w:tcW w:type="dxa" w:w="714"/>
          </w:tcPr>
          <w:p>
            <w:pPr>
              <w:pStyle w:val="Compact"/>
              <w:spacing w:line="240" w:lineRule="auto" w:before="20" w:after="20"/>
              <w:ind w:firstLine="0"/>
              <w:jc w:val="right"/>
            </w:pPr>
            <w:r>
              <w:rPr>
                <w:rFonts w:ascii="Times New Roman" w:hAnsi="Times New Roman"/>
                <w:sz w:val="14"/>
              </w:rPr>
              <w:t>7,5</w:t>
            </w:r>
          </w:p>
        </w:tc>
        <w:tc>
          <w:tcPr>
            <w:tcW w:type="dxa" w:w="714"/>
          </w:tcPr>
          <w:p>
            <w:pPr>
              <w:pStyle w:val="Compact"/>
              <w:spacing w:line="240" w:lineRule="auto" w:before="20" w:after="20"/>
              <w:ind w:firstLine="0"/>
              <w:jc w:val="right"/>
            </w:pPr>
            <w:r>
              <w:rPr>
                <w:rFonts w:ascii="Times New Roman" w:hAnsi="Times New Roman"/>
                <w:sz w:val="14"/>
              </w:rPr>
              <w:t>7,6</w:t>
            </w:r>
          </w:p>
        </w:tc>
        <w:tc>
          <w:tcPr>
            <w:tcW w:type="dxa" w:w="714"/>
          </w:tcPr>
          <w:p>
            <w:pPr>
              <w:pStyle w:val="Compact"/>
              <w:spacing w:line="240" w:lineRule="auto" w:before="20" w:after="20"/>
              <w:ind w:firstLine="0"/>
              <w:jc w:val="right"/>
            </w:pPr>
            <w:r>
              <w:rPr>
                <w:rFonts w:ascii="Times New Roman" w:hAnsi="Times New Roman"/>
                <w:sz w:val="14"/>
              </w:rPr>
              <w:t>7,7</w:t>
            </w:r>
          </w:p>
        </w:tc>
        <w:tc>
          <w:tcPr>
            <w:tcW w:type="dxa" w:w="714"/>
          </w:tcPr>
          <w:p>
            <w:pPr>
              <w:pStyle w:val="Compact"/>
              <w:spacing w:line="240" w:lineRule="auto" w:before="20" w:after="20"/>
              <w:ind w:firstLine="0"/>
              <w:jc w:val="right"/>
            </w:pPr>
            <w:r>
              <w:rPr>
                <w:rFonts w:ascii="Times New Roman" w:hAnsi="Times New Roman"/>
                <w:sz w:val="14"/>
              </w:rPr>
              <w:t>7,5</w:t>
            </w:r>
          </w:p>
        </w:tc>
        <w:tc>
          <w:tcPr>
            <w:tcW w:type="dxa" w:w="714"/>
          </w:tcPr>
          <w:p>
            <w:pPr>
              <w:pStyle w:val="Compact"/>
              <w:spacing w:line="240" w:lineRule="auto" w:before="20" w:after="20"/>
              <w:ind w:firstLine="0"/>
              <w:jc w:val="right"/>
            </w:pPr>
            <w:r>
              <w:rPr>
                <w:rFonts w:ascii="Times New Roman" w:hAnsi="Times New Roman"/>
                <w:sz w:val="14"/>
              </w:rPr>
              <w:t>−1,04</w:t>
            </w:r>
          </w:p>
        </w:tc>
        <w:tc>
          <w:tcPr>
            <w:tcW w:type="dxa" w:w="714"/>
          </w:tcPr>
          <w:p>
            <w:pPr>
              <w:pStyle w:val="Compact"/>
              <w:spacing w:line="240" w:lineRule="auto" w:before="20" w:after="20"/>
              <w:ind w:firstLine="0"/>
              <w:jc w:val="right"/>
            </w:pPr>
            <w:r>
              <w:rPr>
                <w:rFonts w:ascii="Times New Roman" w:hAnsi="Times New Roman"/>
                <w:sz w:val="14"/>
              </w:rPr>
              <w:t>−1,90</w:t>
            </w:r>
          </w:p>
        </w:tc>
        <w:tc>
          <w:tcPr>
            <w:tcW w:type="dxa" w:w="714"/>
          </w:tcPr>
          <w:p>
            <w:pPr>
              <w:pStyle w:val="Compact"/>
              <w:spacing w:line="240" w:lineRule="auto" w:before="20" w:after="20"/>
              <w:ind w:firstLine="0"/>
              <w:jc w:val="right"/>
            </w:pPr>
            <w:r>
              <w:rPr>
                <w:rFonts w:ascii="Times New Roman" w:hAnsi="Times New Roman"/>
                <w:sz w:val="14"/>
              </w:rPr>
              <w:t>−2,75</w:t>
            </w:r>
          </w:p>
        </w:tc>
        <w:tc>
          <w:tcPr>
            <w:tcW w:type="dxa" w:w="714"/>
          </w:tcPr>
          <w:p>
            <w:pPr>
              <w:pStyle w:val="Compact"/>
              <w:spacing w:line="240" w:lineRule="auto" w:before="20" w:after="20"/>
              <w:ind w:firstLine="0"/>
              <w:jc w:val="right"/>
            </w:pPr>
            <w:r>
              <w:rPr>
                <w:rFonts w:ascii="Times New Roman" w:hAnsi="Times New Roman"/>
                <w:sz w:val="14"/>
              </w:rPr>
              <w:t>−3,61</w:t>
            </w:r>
          </w:p>
        </w:tc>
        <w:tc>
          <w:tcPr>
            <w:tcW w:type="dxa" w:w="714"/>
          </w:tcPr>
          <w:p>
            <w:pPr>
              <w:pStyle w:val="Compact"/>
              <w:spacing w:line="240" w:lineRule="auto" w:before="20" w:after="20"/>
              <w:ind w:firstLine="0"/>
              <w:jc w:val="right"/>
            </w:pPr>
            <w:r>
              <w:rPr>
                <w:rFonts w:ascii="Times New Roman" w:hAnsi="Times New Roman"/>
                <w:sz w:val="14"/>
              </w:rPr>
              <w:t>−7,26</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ES</w:t>
            </w:r>
          </w:p>
        </w:tc>
        <w:tc>
          <w:tcPr>
            <w:tcW w:type="dxa" w:w="1484"/>
          </w:tcPr>
          <w:p>
            <w:pPr>
              <w:pStyle w:val="Compact"/>
              <w:spacing w:line="240" w:lineRule="auto" w:before="20" w:after="20"/>
              <w:ind w:firstLine="0"/>
              <w:jc w:val="right"/>
            </w:pPr>
            <w:r>
              <w:rPr>
                <w:rFonts w:ascii="Times New Roman" w:hAnsi="Times New Roman"/>
                <w:sz w:val="14"/>
              </w:rPr>
              <w:t xml:space="preserve">17,0</w:t>
            </w:r>
          </w:p>
        </w:tc>
        <w:tc>
          <w:tcPr>
            <w:tcW w:type="dxa" w:w="714"/>
          </w:tcPr>
          <w:p>
            <w:pPr>
              <w:pStyle w:val="Compact"/>
              <w:spacing w:line="240" w:lineRule="auto" w:before="20" w:after="20"/>
              <w:ind w:firstLine="0"/>
              <w:jc w:val="right"/>
            </w:pPr>
            <w:r>
              <w:rPr>
                <w:rFonts w:ascii="Times New Roman" w:hAnsi="Times New Roman"/>
                <w:sz w:val="14"/>
              </w:rPr>
              <w:t>18,1</w:t>
            </w:r>
          </w:p>
        </w:tc>
        <w:tc>
          <w:tcPr>
            <w:tcW w:type="dxa" w:w="714"/>
          </w:tcPr>
          <w:p>
            <w:pPr>
              <w:pStyle w:val="Compact"/>
              <w:spacing w:line="240" w:lineRule="auto" w:before="20" w:after="20"/>
              <w:ind w:firstLine="0"/>
              <w:jc w:val="right"/>
            </w:pPr>
            <w:r>
              <w:rPr>
                <w:rFonts w:ascii="Times New Roman" w:hAnsi="Times New Roman"/>
                <w:sz w:val="14"/>
              </w:rPr>
              <w:t>18,3</w:t>
            </w:r>
          </w:p>
        </w:tc>
        <w:tc>
          <w:tcPr>
            <w:tcW w:type="dxa" w:w="714"/>
          </w:tcPr>
          <w:p>
            <w:pPr>
              <w:pStyle w:val="Compact"/>
              <w:spacing w:line="240" w:lineRule="auto" w:before="20" w:after="20"/>
              <w:ind w:firstLine="0"/>
              <w:jc w:val="right"/>
            </w:pPr>
            <w:r>
              <w:rPr>
                <w:rFonts w:ascii="Times New Roman" w:hAnsi="Times New Roman"/>
                <w:sz w:val="14"/>
              </w:rPr>
              <w:t>18,5</w:t>
            </w:r>
          </w:p>
        </w:tc>
        <w:tc>
          <w:tcPr>
            <w:tcW w:type="dxa" w:w="714"/>
          </w:tcPr>
          <w:p>
            <w:pPr>
              <w:pStyle w:val="Compact"/>
              <w:spacing w:line="240" w:lineRule="auto" w:before="20" w:after="20"/>
              <w:ind w:firstLine="0"/>
              <w:jc w:val="right"/>
            </w:pPr>
            <w:r>
              <w:rPr>
                <w:rFonts w:ascii="Times New Roman" w:hAnsi="Times New Roman"/>
                <w:sz w:val="14"/>
              </w:rPr>
              <w:t>18,7</w:t>
            </w:r>
          </w:p>
        </w:tc>
        <w:tc>
          <w:tcPr>
            <w:tcW w:type="dxa" w:w="714"/>
          </w:tcPr>
          <w:p>
            <w:pPr>
              <w:pStyle w:val="Compact"/>
              <w:spacing w:line="240" w:lineRule="auto" w:before="20" w:after="20"/>
              <w:ind w:firstLine="0"/>
              <w:jc w:val="right"/>
            </w:pPr>
            <w:r>
              <w:rPr>
                <w:rFonts w:ascii="Times New Roman" w:hAnsi="Times New Roman"/>
                <w:sz w:val="14"/>
              </w:rPr>
              <w:t>18,4</w:t>
            </w:r>
          </w:p>
        </w:tc>
        <w:tc>
          <w:tcPr>
            <w:tcW w:type="dxa" w:w="714"/>
          </w:tcPr>
          <w:p>
            <w:pPr>
              <w:pStyle w:val="Compact"/>
              <w:spacing w:line="240" w:lineRule="auto" w:before="20" w:after="20"/>
              <w:ind w:firstLine="0"/>
              <w:jc w:val="right"/>
            </w:pPr>
            <w:r>
              <w:rPr>
                <w:rFonts w:ascii="Times New Roman" w:hAnsi="Times New Roman"/>
                <w:sz w:val="14"/>
              </w:rPr>
              <w:t>−1,19</w:t>
            </w:r>
          </w:p>
        </w:tc>
        <w:tc>
          <w:tcPr>
            <w:tcW w:type="dxa" w:w="714"/>
          </w:tcPr>
          <w:p>
            <w:pPr>
              <w:pStyle w:val="Compact"/>
              <w:spacing w:line="240" w:lineRule="auto" w:before="20" w:after="20"/>
              <w:ind w:firstLine="0"/>
              <w:jc w:val="right"/>
            </w:pPr>
            <w:r>
              <w:rPr>
                <w:rFonts w:ascii="Times New Roman" w:hAnsi="Times New Roman"/>
                <w:sz w:val="14"/>
              </w:rPr>
              <w:t>−2,20</w:t>
            </w:r>
          </w:p>
        </w:tc>
        <w:tc>
          <w:tcPr>
            <w:tcW w:type="dxa" w:w="714"/>
          </w:tcPr>
          <w:p>
            <w:pPr>
              <w:pStyle w:val="Compact"/>
              <w:spacing w:line="240" w:lineRule="auto" w:before="20" w:after="20"/>
              <w:ind w:firstLine="0"/>
              <w:jc w:val="right"/>
            </w:pPr>
            <w:r>
              <w:rPr>
                <w:rFonts w:ascii="Times New Roman" w:hAnsi="Times New Roman"/>
                <w:sz w:val="14"/>
              </w:rPr>
              <w:t>−3,20</w:t>
            </w:r>
          </w:p>
        </w:tc>
        <w:tc>
          <w:tcPr>
            <w:tcW w:type="dxa" w:w="714"/>
          </w:tcPr>
          <w:p>
            <w:pPr>
              <w:pStyle w:val="Compact"/>
              <w:spacing w:line="240" w:lineRule="auto" w:before="20" w:after="20"/>
              <w:ind w:firstLine="0"/>
              <w:jc w:val="right"/>
            </w:pPr>
            <w:r>
              <w:rPr>
                <w:rFonts w:ascii="Times New Roman" w:hAnsi="Times New Roman"/>
                <w:sz w:val="14"/>
              </w:rPr>
              <w:t>−4,21</w:t>
            </w:r>
          </w:p>
        </w:tc>
        <w:tc>
          <w:tcPr>
            <w:tcW w:type="dxa" w:w="714"/>
          </w:tcPr>
          <w:p>
            <w:pPr>
              <w:pStyle w:val="Compact"/>
              <w:spacing w:line="240" w:lineRule="auto" w:before="20" w:after="20"/>
              <w:ind w:firstLine="0"/>
              <w:jc w:val="right"/>
            </w:pPr>
            <w:r>
              <w:rPr>
                <w:rFonts w:ascii="Times New Roman" w:hAnsi="Times New Roman"/>
                <w:sz w:val="14"/>
              </w:rPr>
              <w:t>−7,62</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RO</w:t>
            </w:r>
          </w:p>
        </w:tc>
        <w:tc>
          <w:tcPr>
            <w:tcW w:type="dxa" w:w="1484"/>
          </w:tcPr>
          <w:p>
            <w:pPr>
              <w:pStyle w:val="Compact"/>
              <w:spacing w:line="240" w:lineRule="auto" w:before="20" w:after="20"/>
              <w:ind w:firstLine="0"/>
              <w:jc w:val="right"/>
            </w:pPr>
            <w:r>
              <w:rPr>
                <w:rFonts w:ascii="Times New Roman" w:hAnsi="Times New Roman"/>
                <w:sz w:val="14"/>
              </w:rPr>
              <w:t xml:space="preserve">6,1</w:t>
            </w:r>
          </w:p>
        </w:tc>
        <w:tc>
          <w:tcPr>
            <w:tcW w:type="dxa" w:w="714"/>
          </w:tcPr>
          <w:p>
            <w:pPr>
              <w:pStyle w:val="Compact"/>
              <w:spacing w:line="240" w:lineRule="auto" w:before="20" w:after="20"/>
              <w:ind w:firstLine="0"/>
              <w:jc w:val="right"/>
            </w:pPr>
            <w:r>
              <w:rPr>
                <w:rFonts w:ascii="Times New Roman" w:hAnsi="Times New Roman"/>
                <w:sz w:val="14"/>
              </w:rPr>
              <w:t xml:space="preserve">6,5</w:t>
            </w:r>
          </w:p>
        </w:tc>
        <w:tc>
          <w:tcPr>
            <w:tcW w:type="dxa" w:w="714"/>
          </w:tcPr>
          <w:p>
            <w:pPr>
              <w:pStyle w:val="Compact"/>
              <w:spacing w:line="240" w:lineRule="auto" w:before="20" w:after="20"/>
              <w:ind w:firstLine="0"/>
              <w:jc w:val="right"/>
            </w:pPr>
            <w:r>
              <w:rPr>
                <w:rFonts w:ascii="Times New Roman" w:hAnsi="Times New Roman"/>
                <w:sz w:val="14"/>
              </w:rPr>
              <w:t xml:space="preserve">6,6</w:t>
            </w:r>
          </w:p>
        </w:tc>
        <w:tc>
          <w:tcPr>
            <w:tcW w:type="dxa" w:w="714"/>
          </w:tcPr>
          <w:p>
            <w:pPr>
              <w:pStyle w:val="Compact"/>
              <w:spacing w:line="240" w:lineRule="auto" w:before="20" w:after="20"/>
              <w:ind w:firstLine="0"/>
              <w:jc w:val="right"/>
            </w:pPr>
            <w:r>
              <w:rPr>
                <w:rFonts w:ascii="Times New Roman" w:hAnsi="Times New Roman"/>
                <w:sz w:val="14"/>
              </w:rPr>
              <w:t>6,6</w:t>
            </w:r>
          </w:p>
        </w:tc>
        <w:tc>
          <w:tcPr>
            <w:tcW w:type="dxa" w:w="714"/>
          </w:tcPr>
          <w:p>
            <w:pPr>
              <w:pStyle w:val="Compact"/>
              <w:spacing w:line="240" w:lineRule="auto" w:before="20" w:after="20"/>
              <w:ind w:firstLine="0"/>
              <w:jc w:val="right"/>
            </w:pPr>
            <w:r>
              <w:rPr>
                <w:rFonts w:ascii="Times New Roman" w:hAnsi="Times New Roman"/>
                <w:sz w:val="14"/>
              </w:rPr>
              <w:t>6,7</w:t>
            </w:r>
          </w:p>
        </w:tc>
        <w:tc>
          <w:tcPr>
            <w:tcW w:type="dxa" w:w="714"/>
          </w:tcPr>
          <w:p>
            <w:pPr>
              <w:pStyle w:val="Compact"/>
              <w:spacing w:line="240" w:lineRule="auto" w:before="20" w:after="20"/>
              <w:ind w:firstLine="0"/>
              <w:jc w:val="right"/>
            </w:pPr>
            <w:r>
              <w:rPr>
                <w:rFonts w:ascii="Times New Roman" w:hAnsi="Times New Roman"/>
                <w:sz w:val="14"/>
              </w:rPr>
              <w:t>6,7</w:t>
            </w:r>
          </w:p>
        </w:tc>
        <w:tc>
          <w:tcPr>
            <w:tcW w:type="dxa" w:w="714"/>
          </w:tcPr>
          <w:p>
            <w:pPr>
              <w:pStyle w:val="Compact"/>
              <w:spacing w:line="240" w:lineRule="auto" w:before="20" w:after="20"/>
              <w:ind w:firstLine="0"/>
              <w:jc w:val="right"/>
            </w:pPr>
            <w:r>
              <w:rPr>
                <w:rFonts w:ascii="Times New Roman" w:hAnsi="Times New Roman"/>
                <w:sz w:val="14"/>
              </w:rPr>
              <w:t>−1,20</w:t>
            </w:r>
          </w:p>
        </w:tc>
        <w:tc>
          <w:tcPr>
            <w:tcW w:type="dxa" w:w="714"/>
          </w:tcPr>
          <w:p>
            <w:pPr>
              <w:pStyle w:val="Compact"/>
              <w:spacing w:line="240" w:lineRule="auto" w:before="20" w:after="20"/>
              <w:ind w:firstLine="0"/>
              <w:jc w:val="right"/>
            </w:pPr>
            <w:r>
              <w:rPr>
                <w:rFonts w:ascii="Times New Roman" w:hAnsi="Times New Roman"/>
                <w:sz w:val="14"/>
              </w:rPr>
              <w:t>−2,22</w:t>
            </w:r>
          </w:p>
        </w:tc>
        <w:tc>
          <w:tcPr>
            <w:tcW w:type="dxa" w:w="714"/>
          </w:tcPr>
          <w:p>
            <w:pPr>
              <w:pStyle w:val="Compact"/>
              <w:spacing w:line="240" w:lineRule="auto" w:before="20" w:after="20"/>
              <w:ind w:firstLine="0"/>
              <w:jc w:val="right"/>
            </w:pPr>
            <w:r>
              <w:rPr>
                <w:rFonts w:ascii="Times New Roman" w:hAnsi="Times New Roman"/>
                <w:sz w:val="14"/>
              </w:rPr>
              <w:t>−3,24</w:t>
            </w:r>
          </w:p>
        </w:tc>
        <w:tc>
          <w:tcPr>
            <w:tcW w:type="dxa" w:w="714"/>
          </w:tcPr>
          <w:p>
            <w:pPr>
              <w:pStyle w:val="Compact"/>
              <w:spacing w:line="240" w:lineRule="auto" w:before="20" w:after="20"/>
              <w:ind w:firstLine="0"/>
              <w:jc w:val="right"/>
            </w:pPr>
            <w:r>
              <w:rPr>
                <w:rFonts w:ascii="Times New Roman" w:hAnsi="Times New Roman"/>
                <w:sz w:val="14"/>
              </w:rPr>
              <w:t>−4,26</w:t>
            </w:r>
          </w:p>
        </w:tc>
        <w:tc>
          <w:tcPr>
            <w:tcW w:type="dxa" w:w="714"/>
          </w:tcPr>
          <w:p>
            <w:pPr>
              <w:pStyle w:val="Compact"/>
              <w:spacing w:line="240" w:lineRule="auto" w:before="20" w:after="20"/>
              <w:ind w:firstLine="0"/>
              <w:jc w:val="right"/>
            </w:pPr>
            <w:r>
              <w:rPr>
                <w:rFonts w:ascii="Times New Roman" w:hAnsi="Times New Roman"/>
                <w:sz w:val="14"/>
              </w:rPr>
              <w:t>−7,19</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SC</w:t>
            </w:r>
          </w:p>
        </w:tc>
        <w:tc>
          <w:tcPr>
            <w:tcW w:type="dxa" w:w="1484"/>
          </w:tcPr>
          <w:p>
            <w:pPr>
              <w:pStyle w:val="Compact"/>
              <w:spacing w:line="240" w:lineRule="auto" w:before="20" w:after="20"/>
              <w:ind w:firstLine="0"/>
              <w:jc w:val="right"/>
            </w:pPr>
            <w:r>
              <w:rPr>
                <w:rFonts w:ascii="Times New Roman" w:hAnsi="Times New Roman"/>
                <w:sz w:val="14"/>
              </w:rPr>
              <w:t xml:space="preserve">33,8</w:t>
            </w:r>
          </w:p>
        </w:tc>
        <w:tc>
          <w:tcPr>
            <w:tcW w:type="dxa" w:w="714"/>
          </w:tcPr>
          <w:p>
            <w:pPr>
              <w:pStyle w:val="Compact"/>
              <w:spacing w:line="240" w:lineRule="auto" w:before="20" w:after="20"/>
              <w:ind w:firstLine="0"/>
              <w:jc w:val="right"/>
            </w:pPr>
            <w:r>
              <w:rPr>
                <w:rFonts w:ascii="Times New Roman" w:hAnsi="Times New Roman"/>
                <w:sz w:val="14"/>
              </w:rPr>
              <w:t>36,2</w:t>
            </w:r>
          </w:p>
        </w:tc>
        <w:tc>
          <w:tcPr>
            <w:tcW w:type="dxa" w:w="714"/>
          </w:tcPr>
          <w:p>
            <w:pPr>
              <w:pStyle w:val="Compact"/>
              <w:spacing w:line="240" w:lineRule="auto" w:before="20" w:after="20"/>
              <w:ind w:firstLine="0"/>
              <w:jc w:val="right"/>
            </w:pPr>
            <w:r>
              <w:rPr>
                <w:rFonts w:ascii="Times New Roman" w:hAnsi="Times New Roman"/>
                <w:sz w:val="14"/>
              </w:rPr>
              <w:t>36,7</w:t>
            </w:r>
          </w:p>
        </w:tc>
        <w:tc>
          <w:tcPr>
            <w:tcW w:type="dxa" w:w="714"/>
          </w:tcPr>
          <w:p>
            <w:pPr>
              <w:pStyle w:val="Compact"/>
              <w:spacing w:line="240" w:lineRule="auto" w:before="20" w:after="20"/>
              <w:ind w:firstLine="0"/>
              <w:jc w:val="right"/>
            </w:pPr>
            <w:r>
              <w:rPr>
                <w:rFonts w:ascii="Times New Roman" w:hAnsi="Times New Roman"/>
                <w:sz w:val="14"/>
              </w:rPr>
              <w:t>37,2</w:t>
            </w:r>
          </w:p>
        </w:tc>
        <w:tc>
          <w:tcPr>
            <w:tcW w:type="dxa" w:w="714"/>
          </w:tcPr>
          <w:p>
            <w:pPr>
              <w:pStyle w:val="Compact"/>
              <w:spacing w:line="240" w:lineRule="auto" w:before="20" w:after="20"/>
              <w:ind w:firstLine="0"/>
              <w:jc w:val="right"/>
            </w:pPr>
            <w:r>
              <w:rPr>
                <w:rFonts w:ascii="Times New Roman" w:hAnsi="Times New Roman"/>
                <w:sz w:val="14"/>
              </w:rPr>
              <w:t>37,8</w:t>
            </w:r>
          </w:p>
        </w:tc>
        <w:tc>
          <w:tcPr>
            <w:tcW w:type="dxa" w:w="714"/>
          </w:tcPr>
          <w:p>
            <w:pPr>
              <w:pStyle w:val="Compact"/>
              <w:spacing w:line="240" w:lineRule="auto" w:before="20" w:after="20"/>
              <w:ind w:firstLine="0"/>
              <w:jc w:val="right"/>
            </w:pPr>
            <w:r>
              <w:rPr>
                <w:rFonts w:ascii="Times New Roman" w:hAnsi="Times New Roman"/>
                <w:sz w:val="14"/>
              </w:rPr>
              <w:t>37,6</w:t>
            </w:r>
          </w:p>
        </w:tc>
        <w:tc>
          <w:tcPr>
            <w:tcW w:type="dxa" w:w="714"/>
          </w:tcPr>
          <w:p>
            <w:pPr>
              <w:pStyle w:val="Compact"/>
              <w:spacing w:line="240" w:lineRule="auto" w:before="20" w:after="20"/>
              <w:ind w:firstLine="0"/>
              <w:jc w:val="right"/>
            </w:pPr>
            <w:r>
              <w:rPr>
                <w:rFonts w:ascii="Times New Roman" w:hAnsi="Times New Roman"/>
                <w:sz w:val="14"/>
              </w:rPr>
              <w:t>−0,80</w:t>
            </w:r>
          </w:p>
        </w:tc>
        <w:tc>
          <w:tcPr>
            <w:tcW w:type="dxa" w:w="714"/>
          </w:tcPr>
          <w:p>
            <w:pPr>
              <w:pStyle w:val="Compact"/>
              <w:spacing w:line="240" w:lineRule="auto" w:before="20" w:after="20"/>
              <w:ind w:firstLine="0"/>
              <w:jc w:val="right"/>
            </w:pPr>
            <w:r>
              <w:rPr>
                <w:rFonts w:ascii="Times New Roman" w:hAnsi="Times New Roman"/>
                <w:sz w:val="14"/>
              </w:rPr>
              <w:t>−1,41</w:t>
            </w:r>
          </w:p>
        </w:tc>
        <w:tc>
          <w:tcPr>
            <w:tcW w:type="dxa" w:w="714"/>
          </w:tcPr>
          <w:p>
            <w:pPr>
              <w:pStyle w:val="Compact"/>
              <w:spacing w:line="240" w:lineRule="auto" w:before="20" w:after="20"/>
              <w:ind w:firstLine="0"/>
              <w:jc w:val="right"/>
            </w:pPr>
            <w:r>
              <w:rPr>
                <w:rFonts w:ascii="Times New Roman" w:hAnsi="Times New Roman"/>
                <w:sz w:val="14"/>
              </w:rPr>
              <w:t>−2,03</w:t>
            </w:r>
          </w:p>
        </w:tc>
        <w:tc>
          <w:tcPr>
            <w:tcW w:type="dxa" w:w="714"/>
          </w:tcPr>
          <w:p>
            <w:pPr>
              <w:pStyle w:val="Compact"/>
              <w:spacing w:line="240" w:lineRule="auto" w:before="20" w:after="20"/>
              <w:ind w:firstLine="0"/>
              <w:jc w:val="right"/>
            </w:pPr>
            <w:r>
              <w:rPr>
                <w:rFonts w:ascii="Times New Roman" w:hAnsi="Times New Roman"/>
                <w:sz w:val="14"/>
              </w:rPr>
              <w:t>−2,64</w:t>
            </w:r>
          </w:p>
        </w:tc>
        <w:tc>
          <w:tcPr>
            <w:tcW w:type="dxa" w:w="714"/>
          </w:tcPr>
          <w:p>
            <w:pPr>
              <w:pStyle w:val="Compact"/>
              <w:spacing w:line="240" w:lineRule="auto" w:before="20" w:after="20"/>
              <w:ind w:firstLine="0"/>
              <w:jc w:val="right"/>
            </w:pPr>
            <w:r>
              <w:rPr>
                <w:rFonts w:ascii="Times New Roman" w:hAnsi="Times New Roman"/>
                <w:sz w:val="14"/>
              </w:rPr>
              <w:t>−5,24</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PI</w:t>
            </w:r>
          </w:p>
        </w:tc>
        <w:tc>
          <w:tcPr>
            <w:tcW w:type="dxa" w:w="1484"/>
          </w:tcPr>
          <w:p>
            <w:pPr>
              <w:pStyle w:val="Compact"/>
              <w:spacing w:line="240" w:lineRule="auto" w:before="20" w:after="20"/>
              <w:ind w:firstLine="0"/>
              <w:jc w:val="right"/>
            </w:pPr>
            <w:r>
              <w:rPr>
                <w:rFonts w:ascii="Times New Roman" w:hAnsi="Times New Roman"/>
                <w:sz w:val="14"/>
              </w:rPr>
              <w:t xml:space="preserve">6,4</w:t>
            </w:r>
          </w:p>
        </w:tc>
        <w:tc>
          <w:tcPr>
            <w:tcW w:type="dxa" w:w="714"/>
          </w:tcPr>
          <w:p>
            <w:pPr>
              <w:pStyle w:val="Compact"/>
              <w:spacing w:line="240" w:lineRule="auto" w:before="20" w:after="20"/>
              <w:ind w:firstLine="0"/>
              <w:jc w:val="right"/>
            </w:pPr>
            <w:r>
              <w:rPr>
                <w:rFonts w:ascii="Times New Roman" w:hAnsi="Times New Roman"/>
                <w:sz w:val="14"/>
              </w:rPr>
              <w:t>6,9</w:t>
            </w:r>
          </w:p>
        </w:tc>
        <w:tc>
          <w:tcPr>
            <w:tcW w:type="dxa" w:w="714"/>
          </w:tcPr>
          <w:p>
            <w:pPr>
              <w:pStyle w:val="Compact"/>
              <w:spacing w:line="240" w:lineRule="auto" w:before="20" w:after="20"/>
              <w:ind w:firstLine="0"/>
              <w:jc w:val="right"/>
            </w:pPr>
            <w:r>
              <w:rPr>
                <w:rFonts w:ascii="Times New Roman" w:hAnsi="Times New Roman"/>
                <w:sz w:val="14"/>
              </w:rPr>
              <w:t>7,0</w:t>
            </w:r>
          </w:p>
        </w:tc>
        <w:tc>
          <w:tcPr>
            <w:tcW w:type="dxa" w:w="714"/>
          </w:tcPr>
          <w:p>
            <w:pPr>
              <w:pStyle w:val="Compact"/>
              <w:spacing w:line="240" w:lineRule="auto" w:before="20" w:after="20"/>
              <w:ind w:firstLine="0"/>
              <w:jc w:val="right"/>
            </w:pPr>
            <w:r>
              <w:rPr>
                <w:rFonts w:ascii="Times New Roman" w:hAnsi="Times New Roman"/>
                <w:sz w:val="14"/>
              </w:rPr>
              <w:t>7,1</w:t>
            </w:r>
          </w:p>
        </w:tc>
        <w:tc>
          <w:tcPr>
            <w:tcW w:type="dxa" w:w="714"/>
          </w:tcPr>
          <w:p>
            <w:pPr>
              <w:pStyle w:val="Compact"/>
              <w:spacing w:line="240" w:lineRule="auto" w:before="20" w:after="20"/>
              <w:ind w:firstLine="0"/>
              <w:jc w:val="right"/>
            </w:pPr>
            <w:r>
              <w:rPr>
                <w:rFonts w:ascii="Times New Roman" w:hAnsi="Times New Roman"/>
                <w:sz w:val="14"/>
              </w:rPr>
              <w:t>7,3</w:t>
            </w:r>
          </w:p>
        </w:tc>
        <w:tc>
          <w:tcPr>
            <w:tcW w:type="dxa" w:w="714"/>
          </w:tcPr>
          <w:p>
            <w:pPr>
              <w:pStyle w:val="Compact"/>
              <w:spacing w:line="240" w:lineRule="auto" w:before="20" w:after="20"/>
              <w:ind w:firstLine="0"/>
              <w:jc w:val="right"/>
            </w:pPr>
            <w:r>
              <w:rPr>
                <w:rFonts w:ascii="Times New Roman" w:hAnsi="Times New Roman"/>
                <w:sz w:val="14"/>
              </w:rPr>
              <w:t>7,3</w:t>
            </w:r>
          </w:p>
        </w:tc>
        <w:tc>
          <w:tcPr>
            <w:tcW w:type="dxa" w:w="714"/>
          </w:tcPr>
          <w:p>
            <w:pPr>
              <w:pStyle w:val="Compact"/>
              <w:spacing w:line="240" w:lineRule="auto" w:before="20" w:after="20"/>
              <w:ind w:firstLine="0"/>
              <w:jc w:val="right"/>
            </w:pPr>
            <w:r>
              <w:rPr>
                <w:rFonts w:ascii="Times New Roman" w:hAnsi="Times New Roman"/>
                <w:sz w:val="14"/>
              </w:rPr>
              <w:t>−0,31</w:t>
            </w:r>
          </w:p>
        </w:tc>
        <w:tc>
          <w:tcPr>
            <w:tcW w:type="dxa" w:w="714"/>
          </w:tcPr>
          <w:p>
            <w:pPr>
              <w:pStyle w:val="Compact"/>
              <w:spacing w:line="240" w:lineRule="auto" w:before="20" w:after="20"/>
              <w:ind w:firstLine="0"/>
              <w:jc w:val="right"/>
            </w:pPr>
            <w:r>
              <w:rPr>
                <w:rFonts w:ascii="Times New Roman" w:hAnsi="Times New Roman"/>
                <w:sz w:val="14"/>
              </w:rPr>
              <w:t>−0,43</w:t>
            </w:r>
          </w:p>
        </w:tc>
        <w:tc>
          <w:tcPr>
            <w:tcW w:type="dxa" w:w="714"/>
          </w:tcPr>
          <w:p>
            <w:pPr>
              <w:pStyle w:val="Compact"/>
              <w:spacing w:line="240" w:lineRule="auto" w:before="20" w:after="20"/>
              <w:ind w:firstLine="0"/>
              <w:jc w:val="right"/>
            </w:pPr>
            <w:r>
              <w:rPr>
                <w:rFonts w:ascii="Times New Roman" w:hAnsi="Times New Roman"/>
                <w:sz w:val="14"/>
              </w:rPr>
              <w:t>−0,55</w:t>
            </w:r>
          </w:p>
        </w:tc>
        <w:tc>
          <w:tcPr>
            <w:tcW w:type="dxa" w:w="714"/>
          </w:tcPr>
          <w:p>
            <w:pPr>
              <w:pStyle w:val="Compact"/>
              <w:spacing w:line="240" w:lineRule="auto" w:before="20" w:after="20"/>
              <w:ind w:firstLine="0"/>
              <w:jc w:val="right"/>
            </w:pPr>
            <w:r>
              <w:rPr>
                <w:rFonts w:ascii="Times New Roman" w:hAnsi="Times New Roman"/>
                <w:sz w:val="14"/>
              </w:rPr>
              <w:t>−0,66</w:t>
            </w:r>
          </w:p>
        </w:tc>
        <w:tc>
          <w:tcPr>
            <w:tcW w:type="dxa" w:w="714"/>
          </w:tcPr>
          <w:p>
            <w:pPr>
              <w:pStyle w:val="Compact"/>
              <w:spacing w:line="240" w:lineRule="auto" w:before="20" w:after="20"/>
              <w:ind w:firstLine="0"/>
              <w:jc w:val="right"/>
            </w:pPr>
            <w:r>
              <w:rPr>
                <w:rFonts w:ascii="Times New Roman" w:hAnsi="Times New Roman"/>
                <w:sz w:val="14"/>
              </w:rPr>
              <w:t>−2,78</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PA</w:t>
            </w:r>
          </w:p>
        </w:tc>
        <w:tc>
          <w:tcPr>
            <w:tcW w:type="dxa" w:w="1484"/>
          </w:tcPr>
          <w:p>
            <w:pPr>
              <w:pStyle w:val="Compact"/>
              <w:spacing w:line="240" w:lineRule="auto" w:before="20" w:after="20"/>
              <w:ind w:firstLine="0"/>
              <w:jc w:val="right"/>
            </w:pPr>
            <w:r>
              <w:rPr>
                <w:rFonts w:ascii="Times New Roman" w:hAnsi="Times New Roman"/>
                <w:sz w:val="14"/>
              </w:rPr>
              <w:t xml:space="preserve">18,8</w:t>
            </w:r>
          </w:p>
        </w:tc>
        <w:tc>
          <w:tcPr>
            <w:tcW w:type="dxa" w:w="714"/>
          </w:tcPr>
          <w:p>
            <w:pPr>
              <w:pStyle w:val="Compact"/>
              <w:spacing w:line="240" w:lineRule="auto" w:before="20" w:after="20"/>
              <w:ind w:firstLine="0"/>
              <w:jc w:val="right"/>
            </w:pPr>
            <w:r>
              <w:rPr>
                <w:rFonts w:ascii="Times New Roman" w:hAnsi="Times New Roman"/>
                <w:sz w:val="14"/>
              </w:rPr>
              <w:t xml:space="preserve">20,1</w:t>
            </w:r>
          </w:p>
        </w:tc>
        <w:tc>
          <w:tcPr>
            <w:tcW w:type="dxa" w:w="714"/>
          </w:tcPr>
          <w:p>
            <w:pPr>
              <w:pStyle w:val="Compact"/>
              <w:spacing w:line="240" w:lineRule="auto" w:before="20" w:after="20"/>
              <w:ind w:firstLine="0"/>
              <w:jc w:val="right"/>
            </w:pPr>
            <w:r>
              <w:rPr>
                <w:rFonts w:ascii="Times New Roman" w:hAnsi="Times New Roman"/>
                <w:sz w:val="14"/>
              </w:rPr>
              <w:t>20,4</w:t>
            </w:r>
          </w:p>
        </w:tc>
        <w:tc>
          <w:tcPr>
            <w:tcW w:type="dxa" w:w="714"/>
          </w:tcPr>
          <w:p>
            <w:pPr>
              <w:pStyle w:val="Compact"/>
              <w:spacing w:line="240" w:lineRule="auto" w:before="20" w:after="20"/>
              <w:ind w:firstLine="0"/>
              <w:jc w:val="right"/>
            </w:pPr>
            <w:r>
              <w:rPr>
                <w:rFonts w:ascii="Times New Roman" w:hAnsi="Times New Roman"/>
                <w:sz w:val="14"/>
              </w:rPr>
              <w:t>20,7</w:t>
            </w:r>
          </w:p>
        </w:tc>
        <w:tc>
          <w:tcPr>
            <w:tcW w:type="dxa" w:w="714"/>
          </w:tcPr>
          <w:p>
            <w:pPr>
              <w:pStyle w:val="Compact"/>
              <w:spacing w:line="240" w:lineRule="auto" w:before="20" w:after="20"/>
              <w:ind w:firstLine="0"/>
              <w:jc w:val="right"/>
            </w:pPr>
            <w:r>
              <w:rPr>
                <w:rFonts w:ascii="Times New Roman" w:hAnsi="Times New Roman"/>
                <w:sz w:val="14"/>
              </w:rPr>
              <w:t>21,1</w:t>
            </w:r>
          </w:p>
        </w:tc>
        <w:tc>
          <w:tcPr>
            <w:tcW w:type="dxa" w:w="714"/>
          </w:tcPr>
          <w:p>
            <w:pPr>
              <w:pStyle w:val="Compact"/>
              <w:spacing w:line="240" w:lineRule="auto" w:before="20" w:after="20"/>
              <w:ind w:firstLine="0"/>
              <w:jc w:val="right"/>
            </w:pPr>
            <w:r>
              <w:rPr>
                <w:rFonts w:ascii="Times New Roman" w:hAnsi="Times New Roman"/>
                <w:sz w:val="14"/>
              </w:rPr>
              <w:t>21,1</w:t>
            </w:r>
          </w:p>
        </w:tc>
        <w:tc>
          <w:tcPr>
            <w:tcW w:type="dxa" w:w="714"/>
          </w:tcPr>
          <w:p>
            <w:pPr>
              <w:pStyle w:val="Compact"/>
              <w:spacing w:line="240" w:lineRule="auto" w:before="20" w:after="20"/>
              <w:ind w:firstLine="0"/>
              <w:jc w:val="right"/>
            </w:pPr>
            <w:r>
              <w:rPr>
                <w:rFonts w:ascii="Times New Roman" w:hAnsi="Times New Roman"/>
                <w:sz w:val="14"/>
              </w:rPr>
              <w:t>−0,72</w:t>
            </w:r>
          </w:p>
        </w:tc>
        <w:tc>
          <w:tcPr>
            <w:tcW w:type="dxa" w:w="714"/>
          </w:tcPr>
          <w:p>
            <w:pPr>
              <w:pStyle w:val="Compact"/>
              <w:spacing w:line="240" w:lineRule="auto" w:before="20" w:after="20"/>
              <w:ind w:firstLine="0"/>
              <w:jc w:val="right"/>
            </w:pPr>
            <w:r>
              <w:rPr>
                <w:rFonts w:ascii="Times New Roman" w:hAnsi="Times New Roman"/>
                <w:sz w:val="14"/>
              </w:rPr>
              <w:t>−1,25</w:t>
            </w:r>
          </w:p>
        </w:tc>
        <w:tc>
          <w:tcPr>
            <w:tcW w:type="dxa" w:w="714"/>
          </w:tcPr>
          <w:p>
            <w:pPr>
              <w:pStyle w:val="Compact"/>
              <w:spacing w:line="240" w:lineRule="auto" w:before="20" w:after="20"/>
              <w:ind w:firstLine="0"/>
              <w:jc w:val="right"/>
            </w:pPr>
            <w:r>
              <w:rPr>
                <w:rFonts w:ascii="Times New Roman" w:hAnsi="Times New Roman"/>
                <w:sz w:val="14"/>
              </w:rPr>
              <w:t>−1,78</w:t>
            </w:r>
          </w:p>
        </w:tc>
        <w:tc>
          <w:tcPr>
            <w:tcW w:type="dxa" w:w="714"/>
          </w:tcPr>
          <w:p>
            <w:pPr>
              <w:pStyle w:val="Compact"/>
              <w:spacing w:line="240" w:lineRule="auto" w:before="20" w:after="20"/>
              <w:ind w:firstLine="0"/>
              <w:jc w:val="right"/>
            </w:pPr>
            <w:r>
              <w:rPr>
                <w:rFonts w:ascii="Times New Roman" w:hAnsi="Times New Roman"/>
                <w:sz w:val="14"/>
              </w:rPr>
              <w:t>−2,31</w:t>
            </w:r>
          </w:p>
        </w:tc>
        <w:tc>
          <w:tcPr>
            <w:tcW w:type="dxa" w:w="714"/>
          </w:tcPr>
          <w:p>
            <w:pPr>
              <w:pStyle w:val="Compact"/>
              <w:spacing w:line="240" w:lineRule="auto" w:before="20" w:after="20"/>
              <w:ind w:firstLine="0"/>
              <w:jc w:val="right"/>
            </w:pPr>
            <w:r>
              <w:rPr>
                <w:rFonts w:ascii="Times New Roman" w:hAnsi="Times New Roman"/>
                <w:sz w:val="14"/>
              </w:rPr>
              <w:t>−4,22</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RR</w:t>
            </w:r>
          </w:p>
        </w:tc>
        <w:tc>
          <w:tcPr>
            <w:tcW w:type="dxa" w:w="1484"/>
          </w:tcPr>
          <w:p>
            <w:pPr>
              <w:pStyle w:val="Compact"/>
              <w:spacing w:line="240" w:lineRule="auto" w:before="20" w:after="20"/>
              <w:ind w:firstLine="0"/>
              <w:jc w:val="right"/>
            </w:pPr>
            <w:r>
              <w:rPr>
                <w:rFonts w:ascii="Times New Roman" w:hAnsi="Times New Roman"/>
                <w:sz w:val="14"/>
              </w:rPr>
              <w:t xml:space="preserve">1,6</w:t>
            </w:r>
          </w:p>
        </w:tc>
        <w:tc>
          <w:tcPr>
            <w:tcW w:type="dxa" w:w="714"/>
          </w:tcPr>
          <w:p>
            <w:pPr>
              <w:pStyle w:val="Compact"/>
              <w:spacing w:line="240" w:lineRule="auto" w:before="20" w:after="20"/>
              <w:ind w:firstLine="0"/>
              <w:jc w:val="right"/>
            </w:pPr>
            <w:r>
              <w:rPr>
                <w:rFonts w:ascii="Times New Roman" w:hAnsi="Times New Roman"/>
                <w:sz w:val="14"/>
              </w:rPr>
              <w:t xml:space="preserve">1,7</w:t>
            </w:r>
          </w:p>
        </w:tc>
        <w:tc>
          <w:tcPr>
            <w:tcW w:type="dxa" w:w="714"/>
          </w:tcPr>
          <w:p>
            <w:pPr>
              <w:pStyle w:val="Compact"/>
              <w:spacing w:line="240" w:lineRule="auto" w:before="20" w:after="20"/>
              <w:ind w:firstLine="0"/>
              <w:jc w:val="right"/>
            </w:pPr>
            <w:r>
              <w:rPr>
                <w:rFonts w:ascii="Times New Roman" w:hAnsi="Times New Roman"/>
                <w:sz w:val="14"/>
              </w:rPr>
              <w:t>1,8</w:t>
            </w:r>
          </w:p>
        </w:tc>
        <w:tc>
          <w:tcPr>
            <w:tcW w:type="dxa" w:w="714"/>
          </w:tcPr>
          <w:p>
            <w:pPr>
              <w:pStyle w:val="Compact"/>
              <w:spacing w:line="240" w:lineRule="auto" w:before="20" w:after="20"/>
              <w:ind w:firstLine="0"/>
              <w:jc w:val="right"/>
            </w:pPr>
            <w:r>
              <w:rPr>
                <w:rFonts w:ascii="Times New Roman" w:hAnsi="Times New Roman"/>
                <w:sz w:val="14"/>
              </w:rPr>
              <w:t xml:space="preserve">1,8</w:t>
            </w:r>
          </w:p>
        </w:tc>
        <w:tc>
          <w:tcPr>
            <w:tcW w:type="dxa" w:w="714"/>
          </w:tcPr>
          <w:p>
            <w:pPr>
              <w:pStyle w:val="Compact"/>
              <w:spacing w:line="240" w:lineRule="auto" w:before="20" w:after="20"/>
              <w:ind w:firstLine="0"/>
              <w:jc w:val="right"/>
            </w:pPr>
            <w:r>
              <w:rPr>
                <w:rFonts w:ascii="Times New Roman" w:hAnsi="Times New Roman"/>
                <w:sz w:val="14"/>
              </w:rPr>
              <w:t xml:space="preserve">1,8</w:t>
            </w:r>
          </w:p>
        </w:tc>
        <w:tc>
          <w:tcPr>
            <w:tcW w:type="dxa" w:w="714"/>
          </w:tcPr>
          <w:p>
            <w:pPr>
              <w:pStyle w:val="Compact"/>
              <w:spacing w:line="240" w:lineRule="auto" w:before="20" w:after="20"/>
              <w:ind w:firstLine="0"/>
              <w:jc w:val="right"/>
            </w:pPr>
            <w:r>
              <w:rPr>
                <w:rFonts w:ascii="Times New Roman" w:hAnsi="Times New Roman"/>
                <w:sz w:val="14"/>
              </w:rPr>
              <w:t xml:space="preserve">1,8</w:t>
            </w:r>
          </w:p>
        </w:tc>
        <w:tc>
          <w:tcPr>
            <w:tcW w:type="dxa" w:w="714"/>
          </w:tcPr>
          <w:p>
            <w:pPr>
              <w:pStyle w:val="Compact"/>
              <w:spacing w:line="240" w:lineRule="auto" w:before="20" w:after="20"/>
              <w:ind w:firstLine="0"/>
              <w:jc w:val="right"/>
            </w:pPr>
            <w:r>
              <w:rPr>
                <w:rFonts w:ascii="Times New Roman" w:hAnsi="Times New Roman"/>
                <w:sz w:val="14"/>
              </w:rPr>
              <w:t>−0,56</w:t>
            </w:r>
          </w:p>
        </w:tc>
        <w:tc>
          <w:tcPr>
            <w:tcW w:type="dxa" w:w="714"/>
          </w:tcPr>
          <w:p>
            <w:pPr>
              <w:pStyle w:val="Compact"/>
              <w:spacing w:line="240" w:lineRule="auto" w:before="20" w:after="20"/>
              <w:ind w:firstLine="0"/>
              <w:jc w:val="right"/>
            </w:pPr>
            <w:r>
              <w:rPr>
                <w:rFonts w:ascii="Times New Roman" w:hAnsi="Times New Roman"/>
                <w:sz w:val="14"/>
              </w:rPr>
              <w:t>−0,92</w:t>
            </w:r>
          </w:p>
        </w:tc>
        <w:tc>
          <w:tcPr>
            <w:tcW w:type="dxa" w:w="714"/>
          </w:tcPr>
          <w:p>
            <w:pPr>
              <w:pStyle w:val="Compact"/>
              <w:spacing w:line="240" w:lineRule="auto" w:before="20" w:after="20"/>
              <w:ind w:firstLine="0"/>
              <w:jc w:val="right"/>
            </w:pPr>
            <w:r>
              <w:rPr>
                <w:rFonts w:ascii="Times New Roman" w:hAnsi="Times New Roman"/>
                <w:sz w:val="14"/>
              </w:rPr>
              <w:t>−1,29</w:t>
            </w:r>
          </w:p>
        </w:tc>
        <w:tc>
          <w:tcPr>
            <w:tcW w:type="dxa" w:w="714"/>
          </w:tcPr>
          <w:p>
            <w:pPr>
              <w:pStyle w:val="Compact"/>
              <w:spacing w:line="240" w:lineRule="auto" w:before="20" w:after="20"/>
              <w:ind w:firstLine="0"/>
              <w:jc w:val="right"/>
            </w:pPr>
            <w:r>
              <w:rPr>
                <w:rFonts w:ascii="Times New Roman" w:hAnsi="Times New Roman"/>
                <w:sz w:val="14"/>
              </w:rPr>
              <w:t>−1,65</w:t>
            </w:r>
          </w:p>
        </w:tc>
        <w:tc>
          <w:tcPr>
            <w:tcW w:type="dxa" w:w="714"/>
          </w:tcPr>
          <w:p>
            <w:pPr>
              <w:pStyle w:val="Compact"/>
              <w:spacing w:line="240" w:lineRule="auto" w:before="20" w:after="20"/>
              <w:ind w:firstLine="0"/>
              <w:jc w:val="right"/>
            </w:pPr>
            <w:r>
              <w:rPr>
                <w:rFonts w:ascii="Times New Roman" w:hAnsi="Times New Roman"/>
                <w:sz w:val="14"/>
              </w:rPr>
              <w:t>−2,98</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PB</w:t>
            </w:r>
          </w:p>
        </w:tc>
        <w:tc>
          <w:tcPr>
            <w:tcW w:type="dxa" w:w="1484"/>
          </w:tcPr>
          <w:p>
            <w:pPr>
              <w:pStyle w:val="Compact"/>
              <w:spacing w:line="240" w:lineRule="auto" w:before="20" w:after="20"/>
              <w:ind w:firstLine="0"/>
              <w:jc w:val="right"/>
            </w:pPr>
            <w:r>
              <w:rPr>
                <w:rFonts w:ascii="Times New Roman" w:hAnsi="Times New Roman"/>
                <w:sz w:val="14"/>
              </w:rPr>
              <w:t xml:space="preserve">8,0</w:t>
            </w:r>
          </w:p>
        </w:tc>
        <w:tc>
          <w:tcPr>
            <w:tcW w:type="dxa" w:w="714"/>
          </w:tcPr>
          <w:p>
            <w:pPr>
              <w:pStyle w:val="Compact"/>
              <w:spacing w:line="240" w:lineRule="auto" w:before="20" w:after="20"/>
              <w:ind w:firstLine="0"/>
              <w:jc w:val="right"/>
            </w:pPr>
            <w:r>
              <w:rPr>
                <w:rFonts w:ascii="Times New Roman" w:hAnsi="Times New Roman"/>
                <w:sz w:val="14"/>
              </w:rPr>
              <w:t xml:space="preserve">8,5</w:t>
            </w:r>
          </w:p>
        </w:tc>
        <w:tc>
          <w:tcPr>
            <w:tcW w:type="dxa" w:w="714"/>
          </w:tcPr>
          <w:p>
            <w:pPr>
              <w:pStyle w:val="Compact"/>
              <w:spacing w:line="240" w:lineRule="auto" w:before="20" w:after="20"/>
              <w:ind w:firstLine="0"/>
              <w:jc w:val="right"/>
            </w:pPr>
            <w:r>
              <w:rPr>
                <w:rFonts w:ascii="Times New Roman" w:hAnsi="Times New Roman"/>
                <w:sz w:val="14"/>
              </w:rPr>
              <w:t xml:space="preserve">8,7</w:t>
            </w:r>
          </w:p>
        </w:tc>
        <w:tc>
          <w:tcPr>
            <w:tcW w:type="dxa" w:w="714"/>
          </w:tcPr>
          <w:p>
            <w:pPr>
              <w:pStyle w:val="Compact"/>
              <w:spacing w:line="240" w:lineRule="auto" w:before="20" w:after="20"/>
              <w:ind w:firstLine="0"/>
              <w:jc w:val="right"/>
            </w:pPr>
            <w:r>
              <w:rPr>
                <w:rFonts w:ascii="Times New Roman" w:hAnsi="Times New Roman"/>
                <w:sz w:val="14"/>
              </w:rPr>
              <w:t>8,9</w:t>
            </w:r>
          </w:p>
        </w:tc>
        <w:tc>
          <w:tcPr>
            <w:tcW w:type="dxa" w:w="714"/>
          </w:tcPr>
          <w:p>
            <w:pPr>
              <w:pStyle w:val="Compact"/>
              <w:spacing w:line="240" w:lineRule="auto" w:before="20" w:after="20"/>
              <w:ind w:firstLine="0"/>
              <w:jc w:val="right"/>
            </w:pPr>
            <w:r>
              <w:rPr>
                <w:rFonts w:ascii="Times New Roman" w:hAnsi="Times New Roman"/>
                <w:sz w:val="14"/>
              </w:rPr>
              <w:t xml:space="preserve">9,0</w:t>
            </w:r>
          </w:p>
        </w:tc>
        <w:tc>
          <w:tcPr>
            <w:tcW w:type="dxa" w:w="714"/>
          </w:tcPr>
          <w:p>
            <w:pPr>
              <w:pStyle w:val="Compact"/>
              <w:spacing w:line="240" w:lineRule="auto" w:before="20" w:after="20"/>
              <w:ind w:firstLine="0"/>
              <w:jc w:val="right"/>
            </w:pPr>
            <w:r>
              <w:rPr>
                <w:rFonts w:ascii="Times New Roman" w:hAnsi="Times New Roman"/>
                <w:sz w:val="14"/>
              </w:rPr>
              <w:t>9,1</w:t>
            </w:r>
          </w:p>
        </w:tc>
        <w:tc>
          <w:tcPr>
            <w:tcW w:type="dxa" w:w="714"/>
          </w:tcPr>
          <w:p>
            <w:pPr>
              <w:pStyle w:val="Compact"/>
              <w:spacing w:line="240" w:lineRule="auto" w:before="20" w:after="20"/>
              <w:ind w:firstLine="0"/>
              <w:jc w:val="right"/>
            </w:pPr>
            <w:r>
              <w:rPr>
                <w:rFonts w:ascii="Times New Roman" w:hAnsi="Times New Roman"/>
                <w:sz w:val="14"/>
              </w:rPr>
              <w:t>−0,43</w:t>
            </w:r>
          </w:p>
        </w:tc>
        <w:tc>
          <w:tcPr>
            <w:tcW w:type="dxa" w:w="714"/>
          </w:tcPr>
          <w:p>
            <w:pPr>
              <w:pStyle w:val="Compact"/>
              <w:spacing w:line="240" w:lineRule="auto" w:before="20" w:after="20"/>
              <w:ind w:firstLine="0"/>
              <w:jc w:val="right"/>
            </w:pPr>
            <w:r>
              <w:rPr>
                <w:rFonts w:ascii="Times New Roman" w:hAnsi="Times New Roman"/>
                <w:sz w:val="14"/>
              </w:rPr>
              <w:t>−0,66</w:t>
            </w:r>
          </w:p>
        </w:tc>
        <w:tc>
          <w:tcPr>
            <w:tcW w:type="dxa" w:w="714"/>
          </w:tcPr>
          <w:p>
            <w:pPr>
              <w:pStyle w:val="Compact"/>
              <w:spacing w:line="240" w:lineRule="auto" w:before="20" w:after="20"/>
              <w:ind w:firstLine="0"/>
              <w:jc w:val="right"/>
            </w:pPr>
            <w:r>
              <w:rPr>
                <w:rFonts w:ascii="Times New Roman" w:hAnsi="Times New Roman"/>
                <w:sz w:val="14"/>
              </w:rPr>
              <w:t>−0,89</w:t>
            </w:r>
          </w:p>
        </w:tc>
        <w:tc>
          <w:tcPr>
            <w:tcW w:type="dxa" w:w="714"/>
          </w:tcPr>
          <w:p>
            <w:pPr>
              <w:pStyle w:val="Compact"/>
              <w:spacing w:line="240" w:lineRule="auto" w:before="20" w:after="20"/>
              <w:ind w:firstLine="0"/>
              <w:jc w:val="right"/>
            </w:pPr>
            <w:r>
              <w:rPr>
                <w:rFonts w:ascii="Times New Roman" w:hAnsi="Times New Roman"/>
                <w:sz w:val="14"/>
              </w:rPr>
              <w:t>−1,13</w:t>
            </w:r>
          </w:p>
        </w:tc>
        <w:tc>
          <w:tcPr>
            <w:tcW w:type="dxa" w:w="714"/>
          </w:tcPr>
          <w:p>
            <w:pPr>
              <w:pStyle w:val="Compact"/>
              <w:spacing w:line="240" w:lineRule="auto" w:before="20" w:after="20"/>
              <w:ind w:firstLine="0"/>
              <w:jc w:val="right"/>
            </w:pPr>
            <w:r>
              <w:rPr>
                <w:rFonts w:ascii="Times New Roman" w:hAnsi="Times New Roman"/>
                <w:sz w:val="14"/>
              </w:rPr>
              <w:t>−2,66</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MS</w:t>
            </w:r>
          </w:p>
        </w:tc>
        <w:tc>
          <w:tcPr>
            <w:tcW w:type="dxa" w:w="1484"/>
          </w:tcPr>
          <w:p>
            <w:pPr>
              <w:pStyle w:val="Compact"/>
              <w:spacing w:line="240" w:lineRule="auto" w:before="20" w:after="20"/>
              <w:ind w:firstLine="0"/>
              <w:jc w:val="right"/>
            </w:pPr>
            <w:r>
              <w:rPr>
                <w:rFonts w:ascii="Times New Roman" w:hAnsi="Times New Roman"/>
                <w:sz w:val="14"/>
              </w:rPr>
              <w:t xml:space="preserve">13,2</w:t>
            </w:r>
          </w:p>
        </w:tc>
        <w:tc>
          <w:tcPr>
            <w:tcW w:type="dxa" w:w="714"/>
          </w:tcPr>
          <w:p>
            <w:pPr>
              <w:pStyle w:val="Compact"/>
              <w:spacing w:line="240" w:lineRule="auto" w:before="20" w:after="20"/>
              <w:ind w:firstLine="0"/>
              <w:jc w:val="right"/>
            </w:pPr>
            <w:r>
              <w:rPr>
                <w:rFonts w:ascii="Times New Roman" w:hAnsi="Times New Roman"/>
                <w:sz w:val="14"/>
              </w:rPr>
              <w:t xml:space="preserve">14,2</w:t>
            </w:r>
          </w:p>
        </w:tc>
        <w:tc>
          <w:tcPr>
            <w:tcW w:type="dxa" w:w="714"/>
          </w:tcPr>
          <w:p>
            <w:pPr>
              <w:pStyle w:val="Compact"/>
              <w:spacing w:line="240" w:lineRule="auto" w:before="20" w:after="20"/>
              <w:ind w:firstLine="0"/>
              <w:jc w:val="right"/>
            </w:pPr>
            <w:r>
              <w:rPr>
                <w:rFonts w:ascii="Times New Roman" w:hAnsi="Times New Roman"/>
                <w:sz w:val="14"/>
              </w:rPr>
              <w:t xml:space="preserve">14,4</w:t>
            </w:r>
          </w:p>
        </w:tc>
        <w:tc>
          <w:tcPr>
            <w:tcW w:type="dxa" w:w="714"/>
          </w:tcPr>
          <w:p>
            <w:pPr>
              <w:pStyle w:val="Compact"/>
              <w:spacing w:line="240" w:lineRule="auto" w:before="20" w:after="20"/>
              <w:ind w:firstLine="0"/>
              <w:jc w:val="right"/>
            </w:pPr>
            <w:r>
              <w:rPr>
                <w:rFonts w:ascii="Times New Roman" w:hAnsi="Times New Roman"/>
                <w:sz w:val="14"/>
              </w:rPr>
              <w:t>14,6</w:t>
            </w:r>
          </w:p>
        </w:tc>
        <w:tc>
          <w:tcPr>
            <w:tcW w:type="dxa" w:w="714"/>
          </w:tcPr>
          <w:p>
            <w:pPr>
              <w:pStyle w:val="Compact"/>
              <w:spacing w:line="240" w:lineRule="auto" w:before="20" w:after="20"/>
              <w:ind w:firstLine="0"/>
              <w:jc w:val="right"/>
            </w:pPr>
            <w:r>
              <w:rPr>
                <w:rFonts w:ascii="Times New Roman" w:hAnsi="Times New Roman"/>
                <w:sz w:val="14"/>
              </w:rPr>
              <w:t>14,8</w:t>
            </w:r>
          </w:p>
        </w:tc>
        <w:tc>
          <w:tcPr>
            <w:tcW w:type="dxa" w:w="714"/>
          </w:tcPr>
          <w:p>
            <w:pPr>
              <w:pStyle w:val="Compact"/>
              <w:spacing w:line="240" w:lineRule="auto" w:before="20" w:after="20"/>
              <w:ind w:firstLine="0"/>
              <w:jc w:val="right"/>
            </w:pPr>
            <w:r>
              <w:rPr>
                <w:rFonts w:ascii="Times New Roman" w:hAnsi="Times New Roman"/>
                <w:sz w:val="14"/>
              </w:rPr>
              <w:t>15,0</w:t>
            </w:r>
          </w:p>
        </w:tc>
        <w:tc>
          <w:tcPr>
            <w:tcW w:type="dxa" w:w="714"/>
          </w:tcPr>
          <w:p>
            <w:pPr>
              <w:pStyle w:val="Compact"/>
              <w:spacing w:line="240" w:lineRule="auto" w:before="20" w:after="20"/>
              <w:ind w:firstLine="0"/>
              <w:jc w:val="right"/>
            </w:pPr>
            <w:r>
              <w:rPr>
                <w:rFonts w:ascii="Times New Roman" w:hAnsi="Times New Roman"/>
                <w:sz w:val="14"/>
              </w:rPr>
              <w:t>−0,76</w:t>
            </w:r>
          </w:p>
        </w:tc>
        <w:tc>
          <w:tcPr>
            <w:tcW w:type="dxa" w:w="714"/>
          </w:tcPr>
          <w:p>
            <w:pPr>
              <w:pStyle w:val="Compact"/>
              <w:spacing w:line="240" w:lineRule="auto" w:before="20" w:after="20"/>
              <w:ind w:firstLine="0"/>
              <w:jc w:val="right"/>
            </w:pPr>
            <w:r>
              <w:rPr>
                <w:rFonts w:ascii="Times New Roman" w:hAnsi="Times New Roman"/>
                <w:sz w:val="14"/>
              </w:rPr>
              <w:t>−1,33</w:t>
            </w:r>
          </w:p>
        </w:tc>
        <w:tc>
          <w:tcPr>
            <w:tcW w:type="dxa" w:w="714"/>
          </w:tcPr>
          <w:p>
            <w:pPr>
              <w:pStyle w:val="Compact"/>
              <w:spacing w:line="240" w:lineRule="auto" w:before="20" w:after="20"/>
              <w:ind w:firstLine="0"/>
              <w:jc w:val="right"/>
            </w:pPr>
            <w:r>
              <w:rPr>
                <w:rFonts w:ascii="Times New Roman" w:hAnsi="Times New Roman"/>
                <w:sz w:val="14"/>
              </w:rPr>
              <w:t>−1,90</w:t>
            </w:r>
          </w:p>
        </w:tc>
        <w:tc>
          <w:tcPr>
            <w:tcW w:type="dxa" w:w="714"/>
          </w:tcPr>
          <w:p>
            <w:pPr>
              <w:pStyle w:val="Compact"/>
              <w:spacing w:line="240" w:lineRule="auto" w:before="20" w:after="20"/>
              <w:ind w:firstLine="0"/>
              <w:jc w:val="right"/>
            </w:pPr>
            <w:r>
              <w:rPr>
                <w:rFonts w:ascii="Times New Roman" w:hAnsi="Times New Roman"/>
                <w:sz w:val="14"/>
              </w:rPr>
              <w:t>−2,46</w:t>
            </w:r>
          </w:p>
        </w:tc>
        <w:tc>
          <w:tcPr>
            <w:tcW w:type="dxa" w:w="714"/>
          </w:tcPr>
          <w:p>
            <w:pPr>
              <w:pStyle w:val="Compact"/>
              <w:spacing w:line="240" w:lineRule="auto" w:before="20" w:after="20"/>
              <w:ind w:firstLine="0"/>
              <w:jc w:val="right"/>
            </w:pPr>
            <w:r>
              <w:rPr>
                <w:rFonts w:ascii="Times New Roman" w:hAnsi="Times New Roman"/>
                <w:sz w:val="14"/>
              </w:rPr>
              <w:t>−3,39</w:t>
            </w:r>
          </w:p>
        </w:tc>
      </w:tr>
      <w:tr>
        <w:trPr>
          <w:cantSplit/>
        </w:trPr>
        <w:tc>
          <w:tcPr>
            <w:tcW w:type="dxa" w:w="439"/>
            <w:shd w:val="clear" w:color="auto" w:fill="E7E6E6"/>
          </w:tcPr>
          <w:p>
            <w:pPr>
              <w:pStyle w:val="Compact"/>
              <w:spacing w:line="240" w:lineRule="auto" w:before="20" w:after="20"/>
              <w:ind w:firstLine="0"/>
              <w:jc w:val="left"/>
            </w:pPr>
            <w:r>
              <w:rPr>
                <w:rFonts w:ascii="Times New Roman" w:hAnsi="Times New Roman"/>
                <w:sz w:val="14"/>
              </w:rPr>
            </w:r>
            <w:r>
              <w:rPr>
                <w:rFonts w:ascii="Times New Roman" w:hAnsi="Times New Roman"/>
                <w:b/>
                <w:bCs/>
                <w:sz w:val="14"/>
              </w:rPr>
              <w:t xml:space="preserve">PR</w:t>
            </w:r>
          </w:p>
        </w:tc>
        <w:tc>
          <w:tcPr>
            <w:tcW w:type="dxa" w:w="1484"/>
            <w:shd w:val="clear" w:color="auto" w:fill="E7E6E6"/>
          </w:tcPr>
          <w:p>
            <w:pPr>
              <w:pStyle w:val="Compact"/>
              <w:spacing w:line="240" w:lineRule="auto" w:before="20" w:after="20"/>
              <w:ind w:firstLine="0"/>
              <w:jc w:val="right"/>
            </w:pPr>
            <w:r>
              <w:rPr>
                <w:rFonts w:ascii="Times New Roman" w:hAnsi="Times New Roman"/>
                <w:b/>
                <w:bCs/>
                <w:sz w:val="14"/>
              </w:rPr>
              <w:t xml:space="preserve">40,1</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43,3</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44,2</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45,2</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46,2</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47,5</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−0,12</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−0,04</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+0,04</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+0,13</w:t>
            </w:r>
          </w:p>
        </w:tc>
        <w:tc>
          <w:tcPr>
            <w:tcW w:type="dxa" w:w="714"/>
            <w:shd w:val="clear" w:color="auto" w:fill="E7E6E6"/>
          </w:tcPr>
          <w:p>
            <w:pPr>
              <w:pStyle w:val="Compact"/>
              <w:spacing w:line="240" w:lineRule="auto" w:before="20" w:after="20"/>
              <w:ind w:firstLine="0"/>
              <w:jc w:val="right"/>
            </w:pPr>
            <w:r>
              <w:rPr>
                <w:rFonts w:ascii="Times New Roman" w:hAnsi="Times New Roman"/>
                <w:b/>
                <w:bCs/>
                <w:sz w:val="14"/>
              </w:rPr>
              <w:t>+0,77</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SE</w:t>
            </w:r>
          </w:p>
        </w:tc>
        <w:tc>
          <w:tcPr>
            <w:tcW w:type="dxa" w:w="1484"/>
          </w:tcPr>
          <w:p>
            <w:pPr>
              <w:pStyle w:val="Compact"/>
              <w:spacing w:line="240" w:lineRule="auto" w:before="20" w:after="20"/>
              <w:ind w:firstLine="0"/>
              <w:jc w:val="right"/>
            </w:pPr>
            <w:r>
              <w:rPr>
                <w:rFonts w:ascii="Times New Roman" w:hAnsi="Times New Roman"/>
                <w:sz w:val="14"/>
              </w:rPr>
              <w:t xml:space="preserve">4,6</w:t>
            </w:r>
          </w:p>
        </w:tc>
        <w:tc>
          <w:tcPr>
            <w:tcW w:type="dxa" w:w="714"/>
          </w:tcPr>
          <w:p>
            <w:pPr>
              <w:pStyle w:val="Compact"/>
              <w:spacing w:line="240" w:lineRule="auto" w:before="20" w:after="20"/>
              <w:ind w:firstLine="0"/>
              <w:jc w:val="right"/>
            </w:pPr>
            <w:r>
              <w:rPr>
                <w:rFonts w:ascii="Times New Roman" w:hAnsi="Times New Roman"/>
                <w:sz w:val="14"/>
              </w:rPr>
              <w:t xml:space="preserve">5,0</w:t>
            </w:r>
          </w:p>
        </w:tc>
        <w:tc>
          <w:tcPr>
            <w:tcW w:type="dxa" w:w="714"/>
          </w:tcPr>
          <w:p>
            <w:pPr>
              <w:pStyle w:val="Compact"/>
              <w:spacing w:line="240" w:lineRule="auto" w:before="20" w:after="20"/>
              <w:ind w:firstLine="0"/>
              <w:jc w:val="right"/>
            </w:pPr>
            <w:r>
              <w:rPr>
                <w:rFonts w:ascii="Times New Roman" w:hAnsi="Times New Roman"/>
                <w:sz w:val="14"/>
              </w:rPr>
              <w:t xml:space="preserve">5,1</w:t>
            </w:r>
          </w:p>
        </w:tc>
        <w:tc>
          <w:tcPr>
            <w:tcW w:type="dxa" w:w="714"/>
          </w:tcPr>
          <w:p>
            <w:pPr>
              <w:pStyle w:val="Compact"/>
              <w:spacing w:line="240" w:lineRule="auto" w:before="20" w:after="20"/>
              <w:ind w:firstLine="0"/>
              <w:jc w:val="right"/>
            </w:pPr>
            <w:r>
              <w:rPr>
                <w:rFonts w:ascii="Times New Roman" w:hAnsi="Times New Roman"/>
                <w:sz w:val="14"/>
              </w:rPr>
              <w:t xml:space="preserve">5,3</w:t>
            </w:r>
          </w:p>
        </w:tc>
        <w:tc>
          <w:tcPr>
            <w:tcW w:type="dxa" w:w="714"/>
          </w:tcPr>
          <w:p>
            <w:pPr>
              <w:pStyle w:val="Compact"/>
              <w:spacing w:line="240" w:lineRule="auto" w:before="20" w:after="20"/>
              <w:ind w:firstLine="0"/>
              <w:jc w:val="right"/>
            </w:pPr>
            <w:r>
              <w:rPr>
                <w:rFonts w:ascii="Times New Roman" w:hAnsi="Times New Roman"/>
                <w:sz w:val="14"/>
              </w:rPr>
              <w:t xml:space="preserve">5,4</w:t>
            </w:r>
          </w:p>
        </w:tc>
        <w:tc>
          <w:tcPr>
            <w:tcW w:type="dxa" w:w="714"/>
          </w:tcPr>
          <w:p>
            <w:pPr>
              <w:pStyle w:val="Compact"/>
              <w:spacing w:line="240" w:lineRule="auto" w:before="20" w:after="20"/>
              <w:ind w:firstLine="0"/>
              <w:jc w:val="right"/>
            </w:pPr>
            <w:r>
              <w:rPr>
                <w:rFonts w:ascii="Times New Roman" w:hAnsi="Times New Roman"/>
                <w:sz w:val="14"/>
              </w:rPr>
              <w:t xml:space="preserve">5,5</w:t>
            </w:r>
          </w:p>
        </w:tc>
        <w:tc>
          <w:tcPr>
            <w:tcW w:type="dxa" w:w="714"/>
          </w:tcPr>
          <w:p>
            <w:pPr>
              <w:pStyle w:val="Compact"/>
              <w:spacing w:line="240" w:lineRule="auto" w:before="20" w:after="20"/>
              <w:ind w:firstLine="0"/>
              <w:jc w:val="right"/>
            </w:pPr>
            <w:r>
              <w:rPr>
                <w:rFonts w:ascii="Times New Roman" w:hAnsi="Times New Roman"/>
                <w:sz w:val="14"/>
              </w:rPr>
              <w:t>+0,21</w:t>
            </w:r>
          </w:p>
        </w:tc>
        <w:tc>
          <w:tcPr>
            <w:tcW w:type="dxa" w:w="714"/>
          </w:tcPr>
          <w:p>
            <w:pPr>
              <w:pStyle w:val="Compact"/>
              <w:spacing w:line="240" w:lineRule="auto" w:before="20" w:after="20"/>
              <w:ind w:firstLine="0"/>
              <w:jc w:val="right"/>
            </w:pPr>
            <w:r>
              <w:rPr>
                <w:rFonts w:ascii="Times New Roman" w:hAnsi="Times New Roman"/>
                <w:sz w:val="14"/>
              </w:rPr>
              <w:t>+0,63</w:t>
            </w:r>
          </w:p>
        </w:tc>
        <w:tc>
          <w:tcPr>
            <w:tcW w:type="dxa" w:w="714"/>
          </w:tcPr>
          <w:p>
            <w:pPr>
              <w:pStyle w:val="Compact"/>
              <w:spacing w:line="240" w:lineRule="auto" w:before="20" w:after="20"/>
              <w:ind w:firstLine="0"/>
              <w:jc w:val="right"/>
            </w:pPr>
            <w:r>
              <w:rPr>
                <w:rFonts w:ascii="Times New Roman" w:hAnsi="Times New Roman"/>
                <w:sz w:val="14"/>
              </w:rPr>
              <w:t>+1,05</w:t>
            </w:r>
          </w:p>
        </w:tc>
        <w:tc>
          <w:tcPr>
            <w:tcW w:type="dxa" w:w="714"/>
          </w:tcPr>
          <w:p>
            <w:pPr>
              <w:pStyle w:val="Compact"/>
              <w:spacing w:line="240" w:lineRule="auto" w:before="20" w:after="20"/>
              <w:ind w:firstLine="0"/>
              <w:jc w:val="right"/>
            </w:pPr>
            <w:r>
              <w:rPr>
                <w:rFonts w:ascii="Times New Roman" w:hAnsi="Times New Roman"/>
                <w:sz w:val="14"/>
              </w:rPr>
              <w:t>+1,47</w:t>
            </w:r>
          </w:p>
        </w:tc>
        <w:tc>
          <w:tcPr>
            <w:tcW w:type="dxa" w:w="714"/>
          </w:tcPr>
          <w:p>
            <w:pPr>
              <w:pStyle w:val="Compact"/>
              <w:spacing w:line="240" w:lineRule="auto" w:before="20" w:after="20"/>
              <w:ind w:firstLine="0"/>
              <w:jc w:val="right"/>
            </w:pPr>
            <w:r>
              <w:rPr>
                <w:rFonts w:ascii="Times New Roman" w:hAnsi="Times New Roman"/>
                <w:sz w:val="14"/>
              </w:rPr>
              <w:t>+0,90</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MG</w:t>
            </w:r>
          </w:p>
        </w:tc>
        <w:tc>
          <w:tcPr>
            <w:tcW w:type="dxa" w:w="1484"/>
          </w:tcPr>
          <w:p>
            <w:pPr>
              <w:pStyle w:val="Compact"/>
              <w:spacing w:line="240" w:lineRule="auto" w:before="20" w:after="20"/>
              <w:ind w:firstLine="0"/>
              <w:jc w:val="right"/>
            </w:pPr>
            <w:r>
              <w:rPr>
                <w:rFonts w:ascii="Times New Roman" w:hAnsi="Times New Roman"/>
                <w:sz w:val="14"/>
              </w:rPr>
              <w:t xml:space="preserve">66,1</w:t>
            </w:r>
          </w:p>
        </w:tc>
        <w:tc>
          <w:tcPr>
            <w:tcW w:type="dxa" w:w="714"/>
          </w:tcPr>
          <w:p>
            <w:pPr>
              <w:pStyle w:val="Compact"/>
              <w:spacing w:line="240" w:lineRule="auto" w:before="20" w:after="20"/>
              <w:ind w:firstLine="0"/>
              <w:jc w:val="right"/>
            </w:pPr>
            <w:r>
              <w:rPr>
                <w:rFonts w:ascii="Times New Roman" w:hAnsi="Times New Roman"/>
                <w:sz w:val="14"/>
              </w:rPr>
              <w:t xml:space="preserve">71,1</w:t>
            </w:r>
          </w:p>
        </w:tc>
        <w:tc>
          <w:tcPr>
            <w:tcW w:type="dxa" w:w="714"/>
          </w:tcPr>
          <w:p>
            <w:pPr>
              <w:pStyle w:val="Compact"/>
              <w:spacing w:line="240" w:lineRule="auto" w:before="20" w:after="20"/>
              <w:ind w:firstLine="0"/>
              <w:jc w:val="right"/>
            </w:pPr>
            <w:r>
              <w:rPr>
                <w:rFonts w:ascii="Times New Roman" w:hAnsi="Times New Roman"/>
                <w:sz w:val="14"/>
              </w:rPr>
              <w:t>72,5</w:t>
            </w:r>
          </w:p>
        </w:tc>
        <w:tc>
          <w:tcPr>
            <w:tcW w:type="dxa" w:w="714"/>
          </w:tcPr>
          <w:p>
            <w:pPr>
              <w:pStyle w:val="Compact"/>
              <w:spacing w:line="240" w:lineRule="auto" w:before="20" w:after="20"/>
              <w:ind w:firstLine="0"/>
              <w:jc w:val="right"/>
            </w:pPr>
            <w:r>
              <w:rPr>
                <w:rFonts w:ascii="Times New Roman" w:hAnsi="Times New Roman"/>
                <w:sz w:val="14"/>
              </w:rPr>
              <w:t>74,1</w:t>
            </w:r>
          </w:p>
        </w:tc>
        <w:tc>
          <w:tcPr>
            <w:tcW w:type="dxa" w:w="714"/>
          </w:tcPr>
          <w:p>
            <w:pPr>
              <w:pStyle w:val="Compact"/>
              <w:spacing w:line="240" w:lineRule="auto" w:before="20" w:after="20"/>
              <w:ind w:firstLine="0"/>
              <w:jc w:val="right"/>
            </w:pPr>
            <w:r>
              <w:rPr>
                <w:rFonts w:ascii="Times New Roman" w:hAnsi="Times New Roman"/>
                <w:sz w:val="14"/>
              </w:rPr>
              <w:t>75,7</w:t>
            </w:r>
          </w:p>
        </w:tc>
        <w:tc>
          <w:tcPr>
            <w:tcW w:type="dxa" w:w="714"/>
          </w:tcPr>
          <w:p>
            <w:pPr>
              <w:pStyle w:val="Compact"/>
              <w:spacing w:line="240" w:lineRule="auto" w:before="20" w:after="20"/>
              <w:ind w:firstLine="0"/>
              <w:jc w:val="right"/>
            </w:pPr>
            <w:r>
              <w:rPr>
                <w:rFonts w:ascii="Times New Roman" w:hAnsi="Times New Roman"/>
                <w:sz w:val="14"/>
              </w:rPr>
              <w:t>77,8</w:t>
            </w:r>
          </w:p>
        </w:tc>
        <w:tc>
          <w:tcPr>
            <w:tcW w:type="dxa" w:w="714"/>
          </w:tcPr>
          <w:p>
            <w:pPr>
              <w:pStyle w:val="Compact"/>
              <w:spacing w:line="240" w:lineRule="auto" w:before="20" w:after="20"/>
              <w:ind w:firstLine="0"/>
              <w:jc w:val="right"/>
            </w:pPr>
            <w:r>
              <w:rPr>
                <w:rFonts w:ascii="Times New Roman" w:hAnsi="Times New Roman"/>
                <w:sz w:val="14"/>
              </w:rPr>
              <w:t>−0,24</w:t>
            </w:r>
          </w:p>
        </w:tc>
        <w:tc>
          <w:tcPr>
            <w:tcW w:type="dxa" w:w="714"/>
          </w:tcPr>
          <w:p>
            <w:pPr>
              <w:pStyle w:val="Compact"/>
              <w:spacing w:line="240" w:lineRule="auto" w:before="20" w:after="20"/>
              <w:ind w:firstLine="0"/>
              <w:jc w:val="right"/>
            </w:pPr>
            <w:r>
              <w:rPr>
                <w:rFonts w:ascii="Times New Roman" w:hAnsi="Times New Roman"/>
                <w:sz w:val="14"/>
              </w:rPr>
              <w:t>−0,28</w:t>
            </w:r>
          </w:p>
        </w:tc>
        <w:tc>
          <w:tcPr>
            <w:tcW w:type="dxa" w:w="714"/>
          </w:tcPr>
          <w:p>
            <w:pPr>
              <w:pStyle w:val="Compact"/>
              <w:spacing w:line="240" w:lineRule="auto" w:before="20" w:after="20"/>
              <w:ind w:firstLine="0"/>
              <w:jc w:val="right"/>
            </w:pPr>
            <w:r>
              <w:rPr>
                <w:rFonts w:ascii="Times New Roman" w:hAnsi="Times New Roman"/>
                <w:sz w:val="14"/>
              </w:rPr>
              <w:t>−0,32</w:t>
            </w:r>
          </w:p>
        </w:tc>
        <w:tc>
          <w:tcPr>
            <w:tcW w:type="dxa" w:w="714"/>
          </w:tcPr>
          <w:p>
            <w:pPr>
              <w:pStyle w:val="Compact"/>
              <w:spacing w:line="240" w:lineRule="auto" w:before="20" w:after="20"/>
              <w:ind w:firstLine="0"/>
              <w:jc w:val="right"/>
            </w:pPr>
            <w:r>
              <w:rPr>
                <w:rFonts w:ascii="Times New Roman" w:hAnsi="Times New Roman"/>
                <w:sz w:val="14"/>
              </w:rPr>
              <w:t>−0,36</w:t>
            </w:r>
          </w:p>
        </w:tc>
        <w:tc>
          <w:tcPr>
            <w:tcW w:type="dxa" w:w="714"/>
          </w:tcPr>
          <w:p>
            <w:pPr>
              <w:pStyle w:val="Compact"/>
              <w:spacing w:line="240" w:lineRule="auto" w:before="20" w:after="20"/>
              <w:ind w:firstLine="0"/>
              <w:jc w:val="right"/>
            </w:pPr>
            <w:r>
              <w:rPr>
                <w:rFonts w:ascii="Times New Roman" w:hAnsi="Times New Roman"/>
                <w:sz w:val="14"/>
              </w:rPr>
              <w:t>+0,25</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GO</w:t>
            </w:r>
          </w:p>
        </w:tc>
        <w:tc>
          <w:tcPr>
            <w:tcW w:type="dxa" w:w="1484"/>
          </w:tcPr>
          <w:p>
            <w:pPr>
              <w:pStyle w:val="Compact"/>
              <w:spacing w:line="240" w:lineRule="auto" w:before="20" w:after="20"/>
              <w:ind w:firstLine="0"/>
              <w:jc w:val="right"/>
            </w:pPr>
            <w:r>
              <w:rPr>
                <w:rFonts w:ascii="Times New Roman" w:hAnsi="Times New Roman"/>
                <w:sz w:val="14"/>
              </w:rPr>
              <w:t xml:space="preserve">23,0</w:t>
            </w:r>
          </w:p>
        </w:tc>
        <w:tc>
          <w:tcPr>
            <w:tcW w:type="dxa" w:w="714"/>
          </w:tcPr>
          <w:p>
            <w:pPr>
              <w:pStyle w:val="Compact"/>
              <w:spacing w:line="240" w:lineRule="auto" w:before="20" w:after="20"/>
              <w:ind w:firstLine="0"/>
              <w:jc w:val="right"/>
            </w:pPr>
            <w:r>
              <w:rPr>
                <w:rFonts w:ascii="Times New Roman" w:hAnsi="Times New Roman"/>
                <w:sz w:val="14"/>
              </w:rPr>
              <w:t xml:space="preserve">24,8</w:t>
            </w:r>
          </w:p>
        </w:tc>
        <w:tc>
          <w:tcPr>
            <w:tcW w:type="dxa" w:w="714"/>
          </w:tcPr>
          <w:p>
            <w:pPr>
              <w:pStyle w:val="Compact"/>
              <w:spacing w:line="240" w:lineRule="auto" w:before="20" w:after="20"/>
              <w:ind w:firstLine="0"/>
              <w:jc w:val="right"/>
            </w:pPr>
            <w:r>
              <w:rPr>
                <w:rFonts w:ascii="Times New Roman" w:hAnsi="Times New Roman"/>
                <w:sz w:val="14"/>
              </w:rPr>
              <w:t>25,4</w:t>
            </w:r>
          </w:p>
        </w:tc>
        <w:tc>
          <w:tcPr>
            <w:tcW w:type="dxa" w:w="714"/>
          </w:tcPr>
          <w:p>
            <w:pPr>
              <w:pStyle w:val="Compact"/>
              <w:spacing w:line="240" w:lineRule="auto" w:before="20" w:after="20"/>
              <w:ind w:firstLine="0"/>
              <w:jc w:val="right"/>
            </w:pPr>
            <w:r>
              <w:rPr>
                <w:rFonts w:ascii="Times New Roman" w:hAnsi="Times New Roman"/>
                <w:sz w:val="14"/>
              </w:rPr>
              <w:t>26,0</w:t>
            </w:r>
          </w:p>
        </w:tc>
        <w:tc>
          <w:tcPr>
            <w:tcW w:type="dxa" w:w="714"/>
          </w:tcPr>
          <w:p>
            <w:pPr>
              <w:pStyle w:val="Compact"/>
              <w:spacing w:line="240" w:lineRule="auto" w:before="20" w:after="20"/>
              <w:ind w:firstLine="0"/>
              <w:jc w:val="right"/>
            </w:pPr>
            <w:r>
              <w:rPr>
                <w:rFonts w:ascii="Times New Roman" w:hAnsi="Times New Roman"/>
                <w:sz w:val="14"/>
              </w:rPr>
              <w:t>26,6</w:t>
            </w:r>
          </w:p>
        </w:tc>
        <w:tc>
          <w:tcPr>
            <w:tcW w:type="dxa" w:w="714"/>
          </w:tcPr>
          <w:p>
            <w:pPr>
              <w:pStyle w:val="Compact"/>
              <w:spacing w:line="240" w:lineRule="auto" w:before="20" w:after="20"/>
              <w:ind w:firstLine="0"/>
              <w:jc w:val="right"/>
            </w:pPr>
            <w:r>
              <w:rPr>
                <w:rFonts w:ascii="Times New Roman" w:hAnsi="Times New Roman"/>
                <w:sz w:val="14"/>
              </w:rPr>
              <w:t>27,6</w:t>
            </w:r>
          </w:p>
        </w:tc>
        <w:tc>
          <w:tcPr>
            <w:tcW w:type="dxa" w:w="714"/>
          </w:tcPr>
          <w:p>
            <w:pPr>
              <w:pStyle w:val="Compact"/>
              <w:spacing w:line="240" w:lineRule="auto" w:before="20" w:after="20"/>
              <w:ind w:firstLine="0"/>
              <w:jc w:val="right"/>
            </w:pPr>
            <w:r>
              <w:rPr>
                <w:rFonts w:ascii="Times New Roman" w:hAnsi="Times New Roman"/>
                <w:sz w:val="14"/>
              </w:rPr>
              <w:t>+0,01</w:t>
            </w:r>
          </w:p>
        </w:tc>
        <w:tc>
          <w:tcPr>
            <w:tcW w:type="dxa" w:w="714"/>
          </w:tcPr>
          <w:p>
            <w:pPr>
              <w:pStyle w:val="Compact"/>
              <w:spacing w:line="240" w:lineRule="auto" w:before="20" w:after="20"/>
              <w:ind w:firstLine="0"/>
              <w:jc w:val="right"/>
            </w:pPr>
            <w:r>
              <w:rPr>
                <w:rFonts w:ascii="Times New Roman" w:hAnsi="Times New Roman"/>
                <w:sz w:val="14"/>
              </w:rPr>
              <w:t>+0,22</w:t>
            </w:r>
          </w:p>
        </w:tc>
        <w:tc>
          <w:tcPr>
            <w:tcW w:type="dxa" w:w="714"/>
          </w:tcPr>
          <w:p>
            <w:pPr>
              <w:pStyle w:val="Compact"/>
              <w:spacing w:line="240" w:lineRule="auto" w:before="20" w:after="20"/>
              <w:ind w:firstLine="0"/>
              <w:jc w:val="right"/>
            </w:pPr>
            <w:r>
              <w:rPr>
                <w:rFonts w:ascii="Times New Roman" w:hAnsi="Times New Roman"/>
                <w:sz w:val="14"/>
              </w:rPr>
              <w:t>+0,43</w:t>
            </w:r>
          </w:p>
        </w:tc>
        <w:tc>
          <w:tcPr>
            <w:tcW w:type="dxa" w:w="714"/>
          </w:tcPr>
          <w:p>
            <w:pPr>
              <w:pStyle w:val="Compact"/>
              <w:spacing w:line="240" w:lineRule="auto" w:before="20" w:after="20"/>
              <w:ind w:firstLine="0"/>
              <w:jc w:val="right"/>
            </w:pPr>
            <w:r>
              <w:rPr>
                <w:rFonts w:ascii="Times New Roman" w:hAnsi="Times New Roman"/>
                <w:sz w:val="14"/>
              </w:rPr>
              <w:t>+0,64</w:t>
            </w:r>
          </w:p>
        </w:tc>
        <w:tc>
          <w:tcPr>
            <w:tcW w:type="dxa" w:w="714"/>
          </w:tcPr>
          <w:p>
            <w:pPr>
              <w:pStyle w:val="Compact"/>
              <w:spacing w:line="240" w:lineRule="auto" w:before="20" w:after="20"/>
              <w:ind w:firstLine="0"/>
              <w:jc w:val="right"/>
            </w:pPr>
            <w:r>
              <w:rPr>
                <w:rFonts w:ascii="Times New Roman" w:hAnsi="Times New Roman"/>
                <w:sz w:val="14"/>
              </w:rPr>
              <w:t>+2,03</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PE</w:t>
            </w:r>
          </w:p>
        </w:tc>
        <w:tc>
          <w:tcPr>
            <w:tcW w:type="dxa" w:w="1484"/>
          </w:tcPr>
          <w:p>
            <w:pPr>
              <w:pStyle w:val="Compact"/>
              <w:spacing w:line="240" w:lineRule="auto" w:before="20" w:after="20"/>
              <w:ind w:firstLine="0"/>
              <w:jc w:val="right"/>
            </w:pPr>
            <w:r>
              <w:rPr>
                <w:rFonts w:ascii="Times New Roman" w:hAnsi="Times New Roman"/>
                <w:sz w:val="14"/>
              </w:rPr>
              <w:t xml:space="preserve">20,8</w:t>
            </w:r>
          </w:p>
        </w:tc>
        <w:tc>
          <w:tcPr>
            <w:tcW w:type="dxa" w:w="714"/>
          </w:tcPr>
          <w:p>
            <w:pPr>
              <w:pStyle w:val="Compact"/>
              <w:spacing w:line="240" w:lineRule="auto" w:before="20" w:after="20"/>
              <w:ind w:firstLine="0"/>
              <w:jc w:val="right"/>
            </w:pPr>
            <w:r>
              <w:rPr>
                <w:rFonts w:ascii="Times New Roman" w:hAnsi="Times New Roman"/>
                <w:sz w:val="14"/>
              </w:rPr>
              <w:t xml:space="preserve">22,5</w:t>
            </w:r>
          </w:p>
        </w:tc>
        <w:tc>
          <w:tcPr>
            <w:tcW w:type="dxa" w:w="714"/>
          </w:tcPr>
          <w:p>
            <w:pPr>
              <w:pStyle w:val="Compact"/>
              <w:spacing w:line="240" w:lineRule="auto" w:before="20" w:after="20"/>
              <w:ind w:firstLine="0"/>
              <w:jc w:val="right"/>
            </w:pPr>
            <w:r>
              <w:rPr>
                <w:rFonts w:ascii="Times New Roman" w:hAnsi="Times New Roman"/>
                <w:sz w:val="14"/>
              </w:rPr>
              <w:t>22,9</w:t>
            </w:r>
          </w:p>
        </w:tc>
        <w:tc>
          <w:tcPr>
            <w:tcW w:type="dxa" w:w="714"/>
          </w:tcPr>
          <w:p>
            <w:pPr>
              <w:pStyle w:val="Compact"/>
              <w:spacing w:line="240" w:lineRule="auto" w:before="20" w:after="20"/>
              <w:ind w:firstLine="0"/>
              <w:jc w:val="right"/>
            </w:pPr>
            <w:r>
              <w:rPr>
                <w:rFonts w:ascii="Times New Roman" w:hAnsi="Times New Roman"/>
                <w:sz w:val="14"/>
              </w:rPr>
              <w:t xml:space="preserve">23,5</w:t>
            </w:r>
          </w:p>
        </w:tc>
        <w:tc>
          <w:tcPr>
            <w:tcW w:type="dxa" w:w="714"/>
          </w:tcPr>
          <w:p>
            <w:pPr>
              <w:pStyle w:val="Compact"/>
              <w:spacing w:line="240" w:lineRule="auto" w:before="20" w:after="20"/>
              <w:ind w:firstLine="0"/>
              <w:jc w:val="right"/>
            </w:pPr>
            <w:r>
              <w:rPr>
                <w:rFonts w:ascii="Times New Roman" w:hAnsi="Times New Roman"/>
                <w:sz w:val="14"/>
              </w:rPr>
              <w:t>24,0</w:t>
            </w:r>
          </w:p>
        </w:tc>
        <w:tc>
          <w:tcPr>
            <w:tcW w:type="dxa" w:w="714"/>
          </w:tcPr>
          <w:p>
            <w:pPr>
              <w:pStyle w:val="Compact"/>
              <w:spacing w:line="240" w:lineRule="auto" w:before="20" w:after="20"/>
              <w:ind w:firstLine="0"/>
              <w:jc w:val="right"/>
            </w:pPr>
            <w:r>
              <w:rPr>
                <w:rFonts w:ascii="Times New Roman" w:hAnsi="Times New Roman"/>
                <w:sz w:val="14"/>
              </w:rPr>
              <w:t>24,8</w:t>
            </w:r>
          </w:p>
        </w:tc>
        <w:tc>
          <w:tcPr>
            <w:tcW w:type="dxa" w:w="714"/>
          </w:tcPr>
          <w:p>
            <w:pPr>
              <w:pStyle w:val="Compact"/>
              <w:spacing w:line="240" w:lineRule="auto" w:before="20" w:after="20"/>
              <w:ind w:firstLine="0"/>
              <w:jc w:val="right"/>
            </w:pPr>
            <w:r>
              <w:rPr>
                <w:rFonts w:ascii="Times New Roman" w:hAnsi="Times New Roman"/>
                <w:sz w:val="14"/>
              </w:rPr>
              <w:t>−0,09</w:t>
            </w:r>
          </w:p>
        </w:tc>
        <w:tc>
          <w:tcPr>
            <w:tcW w:type="dxa" w:w="714"/>
          </w:tcPr>
          <w:p>
            <w:pPr>
              <w:pStyle w:val="Compact"/>
              <w:spacing w:line="240" w:lineRule="auto" w:before="20" w:after="20"/>
              <w:ind w:firstLine="0"/>
              <w:jc w:val="right"/>
            </w:pPr>
            <w:r>
              <w:rPr>
                <w:rFonts w:ascii="Times New Roman" w:hAnsi="Times New Roman"/>
                <w:sz w:val="14"/>
              </w:rPr>
              <w:t>+0,01</w:t>
            </w:r>
          </w:p>
        </w:tc>
        <w:tc>
          <w:tcPr>
            <w:tcW w:type="dxa" w:w="714"/>
          </w:tcPr>
          <w:p>
            <w:pPr>
              <w:pStyle w:val="Compact"/>
              <w:spacing w:line="240" w:lineRule="auto" w:before="20" w:after="20"/>
              <w:ind w:firstLine="0"/>
              <w:jc w:val="right"/>
            </w:pPr>
            <w:r>
              <w:rPr>
                <w:rFonts w:ascii="Times New Roman" w:hAnsi="Times New Roman"/>
                <w:sz w:val="14"/>
              </w:rPr>
              <w:t>+0,12</w:t>
            </w:r>
          </w:p>
        </w:tc>
        <w:tc>
          <w:tcPr>
            <w:tcW w:type="dxa" w:w="714"/>
          </w:tcPr>
          <w:p>
            <w:pPr>
              <w:pStyle w:val="Compact"/>
              <w:spacing w:line="240" w:lineRule="auto" w:before="20" w:after="20"/>
              <w:ind w:firstLine="0"/>
              <w:jc w:val="right"/>
            </w:pPr>
            <w:r>
              <w:rPr>
                <w:rFonts w:ascii="Times New Roman" w:hAnsi="Times New Roman"/>
                <w:sz w:val="14"/>
              </w:rPr>
              <w:t>+0,23</w:t>
            </w:r>
          </w:p>
        </w:tc>
        <w:tc>
          <w:tcPr>
            <w:tcW w:type="dxa" w:w="714"/>
          </w:tcPr>
          <w:p>
            <w:pPr>
              <w:pStyle w:val="Compact"/>
              <w:spacing w:line="240" w:lineRule="auto" w:before="20" w:after="20"/>
              <w:ind w:firstLine="0"/>
              <w:jc w:val="right"/>
            </w:pPr>
            <w:r>
              <w:rPr>
                <w:rFonts w:ascii="Times New Roman" w:hAnsi="Times New Roman"/>
                <w:sz w:val="14"/>
              </w:rPr>
              <w:t>+1,23</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BA</w:t>
            </w:r>
          </w:p>
        </w:tc>
        <w:tc>
          <w:tcPr>
            <w:tcW w:type="dxa" w:w="1484"/>
          </w:tcPr>
          <w:p>
            <w:pPr>
              <w:pStyle w:val="Compact"/>
              <w:spacing w:line="240" w:lineRule="auto" w:before="20" w:after="20"/>
              <w:ind w:firstLine="0"/>
              <w:jc w:val="right"/>
            </w:pPr>
            <w:r>
              <w:rPr>
                <w:rFonts w:ascii="Times New Roman" w:hAnsi="Times New Roman"/>
                <w:sz w:val="14"/>
              </w:rPr>
              <w:t xml:space="preserve">31,6</w:t>
            </w:r>
          </w:p>
        </w:tc>
        <w:tc>
          <w:tcPr>
            <w:tcW w:type="dxa" w:w="714"/>
          </w:tcPr>
          <w:p>
            <w:pPr>
              <w:pStyle w:val="Compact"/>
              <w:spacing w:line="240" w:lineRule="auto" w:before="20" w:after="20"/>
              <w:ind w:firstLine="0"/>
              <w:jc w:val="right"/>
            </w:pPr>
            <w:r>
              <w:rPr>
                <w:rFonts w:ascii="Times New Roman" w:hAnsi="Times New Roman"/>
                <w:sz w:val="14"/>
              </w:rPr>
              <w:t>34,1</w:t>
            </w:r>
          </w:p>
        </w:tc>
        <w:tc>
          <w:tcPr>
            <w:tcW w:type="dxa" w:w="714"/>
          </w:tcPr>
          <w:p>
            <w:pPr>
              <w:pStyle w:val="Compact"/>
              <w:spacing w:line="240" w:lineRule="auto" w:before="20" w:after="20"/>
              <w:ind w:firstLine="0"/>
              <w:jc w:val="right"/>
            </w:pPr>
            <w:r>
              <w:rPr>
                <w:rFonts w:ascii="Times New Roman" w:hAnsi="Times New Roman"/>
                <w:sz w:val="14"/>
              </w:rPr>
              <w:t>34,8</w:t>
            </w:r>
          </w:p>
        </w:tc>
        <w:tc>
          <w:tcPr>
            <w:tcW w:type="dxa" w:w="714"/>
          </w:tcPr>
          <w:p>
            <w:pPr>
              <w:pStyle w:val="Compact"/>
              <w:spacing w:line="240" w:lineRule="auto" w:before="20" w:after="20"/>
              <w:ind w:firstLine="0"/>
              <w:jc w:val="right"/>
            </w:pPr>
            <w:r>
              <w:rPr>
                <w:rFonts w:ascii="Times New Roman" w:hAnsi="Times New Roman"/>
                <w:sz w:val="14"/>
              </w:rPr>
              <w:t>35,7</w:t>
            </w:r>
          </w:p>
        </w:tc>
        <w:tc>
          <w:tcPr>
            <w:tcW w:type="dxa" w:w="714"/>
          </w:tcPr>
          <w:p>
            <w:pPr>
              <w:pStyle w:val="Compact"/>
              <w:spacing w:line="240" w:lineRule="auto" w:before="20" w:after="20"/>
              <w:ind w:firstLine="0"/>
              <w:jc w:val="right"/>
            </w:pPr>
            <w:r>
              <w:rPr>
                <w:rFonts w:ascii="Times New Roman" w:hAnsi="Times New Roman"/>
                <w:sz w:val="14"/>
              </w:rPr>
              <w:t>36,5</w:t>
            </w:r>
          </w:p>
        </w:tc>
        <w:tc>
          <w:tcPr>
            <w:tcW w:type="dxa" w:w="714"/>
          </w:tcPr>
          <w:p>
            <w:pPr>
              <w:pStyle w:val="Compact"/>
              <w:spacing w:line="240" w:lineRule="auto" w:before="20" w:after="20"/>
              <w:ind w:firstLine="0"/>
              <w:jc w:val="right"/>
            </w:pPr>
            <w:r>
              <w:rPr>
                <w:rFonts w:ascii="Times New Roman" w:hAnsi="Times New Roman"/>
                <w:sz w:val="14"/>
              </w:rPr>
              <w:t>37,5</w:t>
            </w:r>
          </w:p>
        </w:tc>
        <w:tc>
          <w:tcPr>
            <w:tcW w:type="dxa" w:w="714"/>
          </w:tcPr>
          <w:p>
            <w:pPr>
              <w:pStyle w:val="Compact"/>
              <w:spacing w:line="240" w:lineRule="auto" w:before="20" w:after="20"/>
              <w:ind w:firstLine="0"/>
              <w:jc w:val="right"/>
            </w:pPr>
            <w:r>
              <w:rPr>
                <w:rFonts w:ascii="Times New Roman" w:hAnsi="Times New Roman"/>
                <w:sz w:val="14"/>
              </w:rPr>
              <w:t>−0,06</w:t>
            </w:r>
          </w:p>
        </w:tc>
        <w:tc>
          <w:tcPr>
            <w:tcW w:type="dxa" w:w="714"/>
          </w:tcPr>
          <w:p>
            <w:pPr>
              <w:pStyle w:val="Compact"/>
              <w:spacing w:line="240" w:lineRule="auto" w:before="20" w:after="20"/>
              <w:ind w:firstLine="0"/>
              <w:jc w:val="right"/>
            </w:pPr>
            <w:r>
              <w:rPr>
                <w:rFonts w:ascii="Times New Roman" w:hAnsi="Times New Roman"/>
                <w:sz w:val="14"/>
              </w:rPr>
              <w:t>+0,08</w:t>
            </w:r>
          </w:p>
        </w:tc>
        <w:tc>
          <w:tcPr>
            <w:tcW w:type="dxa" w:w="714"/>
          </w:tcPr>
          <w:p>
            <w:pPr>
              <w:pStyle w:val="Compact"/>
              <w:spacing w:line="240" w:lineRule="auto" w:before="20" w:after="20"/>
              <w:ind w:firstLine="0"/>
              <w:jc w:val="right"/>
            </w:pPr>
            <w:r>
              <w:rPr>
                <w:rFonts w:ascii="Times New Roman" w:hAnsi="Times New Roman"/>
                <w:sz w:val="14"/>
              </w:rPr>
              <w:t>+0,22</w:t>
            </w:r>
          </w:p>
        </w:tc>
        <w:tc>
          <w:tcPr>
            <w:tcW w:type="dxa" w:w="714"/>
          </w:tcPr>
          <w:p>
            <w:pPr>
              <w:pStyle w:val="Compact"/>
              <w:spacing w:line="240" w:lineRule="auto" w:before="20" w:after="20"/>
              <w:ind w:firstLine="0"/>
              <w:jc w:val="right"/>
            </w:pPr>
            <w:r>
              <w:rPr>
                <w:rFonts w:ascii="Times New Roman" w:hAnsi="Times New Roman"/>
                <w:sz w:val="14"/>
              </w:rPr>
              <w:t>+0,36</w:t>
            </w:r>
          </w:p>
        </w:tc>
        <w:tc>
          <w:tcPr>
            <w:tcW w:type="dxa" w:w="714"/>
          </w:tcPr>
          <w:p>
            <w:pPr>
              <w:pStyle w:val="Compact"/>
              <w:spacing w:line="240" w:lineRule="auto" w:before="20" w:after="20"/>
              <w:ind w:firstLine="0"/>
              <w:jc w:val="right"/>
            </w:pPr>
            <w:r>
              <w:rPr>
                <w:rFonts w:ascii="Times New Roman" w:hAnsi="Times New Roman"/>
                <w:sz w:val="14"/>
              </w:rPr>
              <w:t>+0,94</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AP</w:t>
            </w:r>
          </w:p>
        </w:tc>
        <w:tc>
          <w:tcPr>
            <w:tcW w:type="dxa" w:w="1484"/>
          </w:tcPr>
          <w:p>
            <w:pPr>
              <w:pStyle w:val="Compact"/>
              <w:spacing w:line="240" w:lineRule="auto" w:before="20" w:after="20"/>
              <w:ind w:firstLine="0"/>
              <w:jc w:val="right"/>
            </w:pPr>
            <w:r>
              <w:rPr>
                <w:rFonts w:ascii="Times New Roman" w:hAnsi="Times New Roman"/>
                <w:sz w:val="14"/>
              </w:rPr>
              <w:t xml:space="preserve">1,3</w:t>
            </w:r>
          </w:p>
        </w:tc>
        <w:tc>
          <w:tcPr>
            <w:tcW w:type="dxa" w:w="714"/>
          </w:tcPr>
          <w:p>
            <w:pPr>
              <w:pStyle w:val="Compact"/>
              <w:spacing w:line="240" w:lineRule="auto" w:before="20" w:after="20"/>
              <w:ind w:firstLine="0"/>
              <w:jc w:val="right"/>
            </w:pPr>
            <w:r>
              <w:rPr>
                <w:rFonts w:ascii="Times New Roman" w:hAnsi="Times New Roman"/>
                <w:sz w:val="14"/>
              </w:rPr>
              <w:t xml:space="preserve">1,4</w:t>
            </w:r>
          </w:p>
        </w:tc>
        <w:tc>
          <w:tcPr>
            <w:tcW w:type="dxa" w:w="714"/>
          </w:tcPr>
          <w:p>
            <w:pPr>
              <w:pStyle w:val="Compact"/>
              <w:spacing w:line="240" w:lineRule="auto" w:before="20" w:after="20"/>
              <w:ind w:firstLine="0"/>
              <w:jc w:val="right"/>
            </w:pPr>
            <w:r>
              <w:rPr>
                <w:rFonts w:ascii="Times New Roman" w:hAnsi="Times New Roman"/>
                <w:sz w:val="14"/>
              </w:rPr>
              <w:t xml:space="preserve">1,4</w:t>
            </w:r>
          </w:p>
        </w:tc>
        <w:tc>
          <w:tcPr>
            <w:tcW w:type="dxa" w:w="714"/>
          </w:tcPr>
          <w:p>
            <w:pPr>
              <w:pStyle w:val="Compact"/>
              <w:spacing w:line="240" w:lineRule="auto" w:before="20" w:after="20"/>
              <w:ind w:firstLine="0"/>
              <w:jc w:val="right"/>
            </w:pPr>
            <w:r>
              <w:rPr>
                <w:rFonts w:ascii="Times New Roman" w:hAnsi="Times New Roman"/>
                <w:sz w:val="14"/>
              </w:rPr>
              <w:t xml:space="preserve">1,5</w:t>
            </w:r>
          </w:p>
        </w:tc>
        <w:tc>
          <w:tcPr>
            <w:tcW w:type="dxa" w:w="714"/>
          </w:tcPr>
          <w:p>
            <w:pPr>
              <w:pStyle w:val="Compact"/>
              <w:spacing w:line="240" w:lineRule="auto" w:before="20" w:after="20"/>
              <w:ind w:firstLine="0"/>
              <w:jc w:val="right"/>
            </w:pPr>
            <w:r>
              <w:rPr>
                <w:rFonts w:ascii="Times New Roman" w:hAnsi="Times New Roman"/>
                <w:sz w:val="14"/>
              </w:rPr>
              <w:t xml:space="preserve">1,5</w:t>
            </w:r>
          </w:p>
        </w:tc>
        <w:tc>
          <w:tcPr>
            <w:tcW w:type="dxa" w:w="714"/>
          </w:tcPr>
          <w:p>
            <w:pPr>
              <w:pStyle w:val="Compact"/>
              <w:spacing w:line="240" w:lineRule="auto" w:before="20" w:after="20"/>
              <w:ind w:firstLine="0"/>
              <w:jc w:val="right"/>
            </w:pPr>
            <w:r>
              <w:rPr>
                <w:rFonts w:ascii="Times New Roman" w:hAnsi="Times New Roman"/>
                <w:sz w:val="14"/>
              </w:rPr>
              <w:t>1,6</w:t>
            </w:r>
          </w:p>
        </w:tc>
        <w:tc>
          <w:tcPr>
            <w:tcW w:type="dxa" w:w="714"/>
          </w:tcPr>
          <w:p>
            <w:pPr>
              <w:pStyle w:val="Compact"/>
              <w:spacing w:line="240" w:lineRule="auto" w:before="20" w:after="20"/>
              <w:ind w:firstLine="0"/>
              <w:jc w:val="right"/>
            </w:pPr>
            <w:r>
              <w:rPr>
                <w:rFonts w:ascii="Times New Roman" w:hAnsi="Times New Roman"/>
                <w:sz w:val="14"/>
              </w:rPr>
              <w:t>+0,67</w:t>
            </w:r>
          </w:p>
        </w:tc>
        <w:tc>
          <w:tcPr>
            <w:tcW w:type="dxa" w:w="714"/>
          </w:tcPr>
          <w:p>
            <w:pPr>
              <w:pStyle w:val="Compact"/>
              <w:spacing w:line="240" w:lineRule="auto" w:before="20" w:after="20"/>
              <w:ind w:firstLine="0"/>
              <w:jc w:val="right"/>
            </w:pPr>
            <w:r>
              <w:rPr>
                <w:rFonts w:ascii="Times New Roman" w:hAnsi="Times New Roman"/>
                <w:sz w:val="14"/>
              </w:rPr>
              <w:t>+1,56</w:t>
            </w:r>
          </w:p>
        </w:tc>
        <w:tc>
          <w:tcPr>
            <w:tcW w:type="dxa" w:w="714"/>
          </w:tcPr>
          <w:p>
            <w:pPr>
              <w:pStyle w:val="Compact"/>
              <w:spacing w:line="240" w:lineRule="auto" w:before="20" w:after="20"/>
              <w:ind w:firstLine="0"/>
              <w:jc w:val="right"/>
            </w:pPr>
            <w:r>
              <w:rPr>
                <w:rFonts w:ascii="Times New Roman" w:hAnsi="Times New Roman"/>
                <w:sz w:val="14"/>
              </w:rPr>
              <w:t>+2,45</w:t>
            </w:r>
          </w:p>
        </w:tc>
        <w:tc>
          <w:tcPr>
            <w:tcW w:type="dxa" w:w="714"/>
          </w:tcPr>
          <w:p>
            <w:pPr>
              <w:pStyle w:val="Compact"/>
              <w:spacing w:line="240" w:lineRule="auto" w:before="20" w:after="20"/>
              <w:ind w:firstLine="0"/>
              <w:jc w:val="right"/>
            </w:pPr>
            <w:r>
              <w:rPr>
                <w:rFonts w:ascii="Times New Roman" w:hAnsi="Times New Roman"/>
                <w:sz w:val="14"/>
              </w:rPr>
              <w:t>+3,35</w:t>
            </w:r>
          </w:p>
        </w:tc>
        <w:tc>
          <w:tcPr>
            <w:tcW w:type="dxa" w:w="714"/>
          </w:tcPr>
          <w:p>
            <w:pPr>
              <w:pStyle w:val="Compact"/>
              <w:spacing w:line="240" w:lineRule="auto" w:before="20" w:after="20"/>
              <w:ind w:firstLine="0"/>
              <w:jc w:val="right"/>
            </w:pPr>
            <w:r>
              <w:rPr>
                <w:rFonts w:ascii="Times New Roman" w:hAnsi="Times New Roman"/>
                <w:sz w:val="14"/>
              </w:rPr>
              <w:t>+4,01</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CE</w:t>
            </w:r>
          </w:p>
        </w:tc>
        <w:tc>
          <w:tcPr>
            <w:tcW w:type="dxa" w:w="1484"/>
          </w:tcPr>
          <w:p>
            <w:pPr>
              <w:pStyle w:val="Compact"/>
              <w:spacing w:line="240" w:lineRule="auto" w:before="20" w:after="20"/>
              <w:ind w:firstLine="0"/>
              <w:jc w:val="right"/>
            </w:pPr>
            <w:r>
              <w:rPr>
                <w:rFonts w:ascii="Times New Roman" w:hAnsi="Times New Roman"/>
                <w:sz w:val="14"/>
              </w:rPr>
              <w:t xml:space="preserve">16,2</w:t>
            </w:r>
          </w:p>
        </w:tc>
        <w:tc>
          <w:tcPr>
            <w:tcW w:type="dxa" w:w="714"/>
          </w:tcPr>
          <w:p>
            <w:pPr>
              <w:pStyle w:val="Compact"/>
              <w:spacing w:line="240" w:lineRule="auto" w:before="20" w:after="20"/>
              <w:ind w:firstLine="0"/>
              <w:jc w:val="right"/>
            </w:pPr>
            <w:r>
              <w:rPr>
                <w:rFonts w:ascii="Times New Roman" w:hAnsi="Times New Roman"/>
                <w:sz w:val="14"/>
              </w:rPr>
              <w:t>17,4</w:t>
            </w:r>
          </w:p>
        </w:tc>
        <w:tc>
          <w:tcPr>
            <w:tcW w:type="dxa" w:w="714"/>
          </w:tcPr>
          <w:p>
            <w:pPr>
              <w:pStyle w:val="Compact"/>
              <w:spacing w:line="240" w:lineRule="auto" w:before="20" w:after="20"/>
              <w:ind w:firstLine="0"/>
              <w:jc w:val="right"/>
            </w:pPr>
            <w:r>
              <w:rPr>
                <w:rFonts w:ascii="Times New Roman" w:hAnsi="Times New Roman"/>
                <w:sz w:val="14"/>
              </w:rPr>
              <w:t>17,8</w:t>
            </w:r>
          </w:p>
        </w:tc>
        <w:tc>
          <w:tcPr>
            <w:tcW w:type="dxa" w:w="714"/>
          </w:tcPr>
          <w:p>
            <w:pPr>
              <w:pStyle w:val="Compact"/>
              <w:spacing w:line="240" w:lineRule="auto" w:before="20" w:after="20"/>
              <w:ind w:firstLine="0"/>
              <w:jc w:val="right"/>
            </w:pPr>
            <w:r>
              <w:rPr>
                <w:rFonts w:ascii="Times New Roman" w:hAnsi="Times New Roman"/>
                <w:sz w:val="14"/>
              </w:rPr>
              <w:t xml:space="preserve">18,3</w:t>
            </w:r>
          </w:p>
        </w:tc>
        <w:tc>
          <w:tcPr>
            <w:tcW w:type="dxa" w:w="714"/>
          </w:tcPr>
          <w:p>
            <w:pPr>
              <w:pStyle w:val="Compact"/>
              <w:spacing w:line="240" w:lineRule="auto" w:before="20" w:after="20"/>
              <w:ind w:firstLine="0"/>
              <w:jc w:val="right"/>
            </w:pPr>
            <w:r>
              <w:rPr>
                <w:rFonts w:ascii="Times New Roman" w:hAnsi="Times New Roman"/>
                <w:sz w:val="14"/>
              </w:rPr>
              <w:t>18,7</w:t>
            </w:r>
          </w:p>
        </w:tc>
        <w:tc>
          <w:tcPr>
            <w:tcW w:type="dxa" w:w="714"/>
          </w:tcPr>
          <w:p>
            <w:pPr>
              <w:pStyle w:val="Compact"/>
              <w:spacing w:line="240" w:lineRule="auto" w:before="20" w:after="20"/>
              <w:ind w:firstLine="0"/>
              <w:jc w:val="right"/>
            </w:pPr>
            <w:r>
              <w:rPr>
                <w:rFonts w:ascii="Times New Roman" w:hAnsi="Times New Roman"/>
                <w:sz w:val="14"/>
              </w:rPr>
              <w:t xml:space="preserve">19,5</w:t>
            </w:r>
          </w:p>
        </w:tc>
        <w:tc>
          <w:tcPr>
            <w:tcW w:type="dxa" w:w="714"/>
          </w:tcPr>
          <w:p>
            <w:pPr>
              <w:pStyle w:val="Compact"/>
              <w:spacing w:line="240" w:lineRule="auto" w:before="20" w:after="20"/>
              <w:ind w:firstLine="0"/>
              <w:jc w:val="right"/>
            </w:pPr>
            <w:r>
              <w:rPr>
                <w:rFonts w:ascii="Times New Roman" w:hAnsi="Times New Roman"/>
                <w:sz w:val="14"/>
              </w:rPr>
              <w:t>+0,07</w:t>
            </w:r>
          </w:p>
        </w:tc>
        <w:tc>
          <w:tcPr>
            <w:tcW w:type="dxa" w:w="714"/>
          </w:tcPr>
          <w:p>
            <w:pPr>
              <w:pStyle w:val="Compact"/>
              <w:spacing w:line="240" w:lineRule="auto" w:before="20" w:after="20"/>
              <w:ind w:firstLine="0"/>
              <w:jc w:val="right"/>
            </w:pPr>
            <w:r>
              <w:rPr>
                <w:rFonts w:ascii="Times New Roman" w:hAnsi="Times New Roman"/>
                <w:sz w:val="14"/>
              </w:rPr>
              <w:t>+0,34</w:t>
            </w:r>
          </w:p>
        </w:tc>
        <w:tc>
          <w:tcPr>
            <w:tcW w:type="dxa" w:w="714"/>
          </w:tcPr>
          <w:p>
            <w:pPr>
              <w:pStyle w:val="Compact"/>
              <w:spacing w:line="240" w:lineRule="auto" w:before="20" w:after="20"/>
              <w:ind w:firstLine="0"/>
              <w:jc w:val="right"/>
            </w:pPr>
            <w:r>
              <w:rPr>
                <w:rFonts w:ascii="Times New Roman" w:hAnsi="Times New Roman"/>
                <w:sz w:val="14"/>
              </w:rPr>
              <w:t>+0,62</w:t>
            </w:r>
          </w:p>
        </w:tc>
        <w:tc>
          <w:tcPr>
            <w:tcW w:type="dxa" w:w="714"/>
          </w:tcPr>
          <w:p>
            <w:pPr>
              <w:pStyle w:val="Compact"/>
              <w:spacing w:line="240" w:lineRule="auto" w:before="20" w:after="20"/>
              <w:ind w:firstLine="0"/>
              <w:jc w:val="right"/>
            </w:pPr>
            <w:r>
              <w:rPr>
                <w:rFonts w:ascii="Times New Roman" w:hAnsi="Times New Roman"/>
                <w:sz w:val="14"/>
              </w:rPr>
              <w:t>+0,89</w:t>
            </w:r>
          </w:p>
        </w:tc>
        <w:tc>
          <w:tcPr>
            <w:tcW w:type="dxa" w:w="714"/>
          </w:tcPr>
          <w:p>
            <w:pPr>
              <w:pStyle w:val="Compact"/>
              <w:spacing w:line="240" w:lineRule="auto" w:before="20" w:after="20"/>
              <w:ind w:firstLine="0"/>
              <w:jc w:val="right"/>
            </w:pPr>
            <w:r>
              <w:rPr>
                <w:rFonts w:ascii="Times New Roman" w:hAnsi="Times New Roman"/>
                <w:sz w:val="14"/>
              </w:rPr>
              <w:t>+2,54</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RN</w:t>
            </w:r>
          </w:p>
        </w:tc>
        <w:tc>
          <w:tcPr>
            <w:tcW w:type="dxa" w:w="1484"/>
          </w:tcPr>
          <w:p>
            <w:pPr>
              <w:pStyle w:val="Compact"/>
              <w:spacing w:line="240" w:lineRule="auto" w:before="20" w:after="20"/>
              <w:ind w:firstLine="0"/>
              <w:jc w:val="right"/>
            </w:pPr>
            <w:r>
              <w:rPr>
                <w:rFonts w:ascii="Times New Roman" w:hAnsi="Times New Roman"/>
                <w:sz w:val="14"/>
              </w:rPr>
              <w:t xml:space="preserve">7,1</w:t>
            </w:r>
          </w:p>
        </w:tc>
        <w:tc>
          <w:tcPr>
            <w:tcW w:type="dxa" w:w="714"/>
          </w:tcPr>
          <w:p>
            <w:pPr>
              <w:pStyle w:val="Compact"/>
              <w:spacing w:line="240" w:lineRule="auto" w:before="20" w:after="20"/>
              <w:ind w:firstLine="0"/>
              <w:jc w:val="right"/>
            </w:pPr>
            <w:r>
              <w:rPr>
                <w:rFonts w:ascii="Times New Roman" w:hAnsi="Times New Roman"/>
                <w:sz w:val="14"/>
              </w:rPr>
              <w:t xml:space="preserve">7,7</w:t>
            </w:r>
          </w:p>
        </w:tc>
        <w:tc>
          <w:tcPr>
            <w:tcW w:type="dxa" w:w="714"/>
          </w:tcPr>
          <w:p>
            <w:pPr>
              <w:pStyle w:val="Compact"/>
              <w:spacing w:line="240" w:lineRule="auto" w:before="20" w:after="20"/>
              <w:ind w:firstLine="0"/>
              <w:jc w:val="right"/>
            </w:pPr>
            <w:r>
              <w:rPr>
                <w:rFonts w:ascii="Times New Roman" w:hAnsi="Times New Roman"/>
                <w:sz w:val="14"/>
              </w:rPr>
              <w:t xml:space="preserve">7,9</w:t>
            </w:r>
          </w:p>
        </w:tc>
        <w:tc>
          <w:tcPr>
            <w:tcW w:type="dxa" w:w="714"/>
          </w:tcPr>
          <w:p>
            <w:pPr>
              <w:pStyle w:val="Compact"/>
              <w:spacing w:line="240" w:lineRule="auto" w:before="20" w:after="20"/>
              <w:ind w:firstLine="0"/>
              <w:jc w:val="right"/>
            </w:pPr>
            <w:r>
              <w:rPr>
                <w:rFonts w:ascii="Times New Roman" w:hAnsi="Times New Roman"/>
                <w:sz w:val="14"/>
              </w:rPr>
              <w:t xml:space="preserve">8,1</w:t>
            </w:r>
          </w:p>
        </w:tc>
        <w:tc>
          <w:tcPr>
            <w:tcW w:type="dxa" w:w="714"/>
          </w:tcPr>
          <w:p>
            <w:pPr>
              <w:pStyle w:val="Compact"/>
              <w:spacing w:line="240" w:lineRule="auto" w:before="20" w:after="20"/>
              <w:ind w:firstLine="0"/>
              <w:jc w:val="right"/>
            </w:pPr>
            <w:r>
              <w:rPr>
                <w:rFonts w:ascii="Times New Roman" w:hAnsi="Times New Roman"/>
                <w:sz w:val="14"/>
              </w:rPr>
              <w:t xml:space="preserve">8,3</w:t>
            </w:r>
          </w:p>
        </w:tc>
        <w:tc>
          <w:tcPr>
            <w:tcW w:type="dxa" w:w="714"/>
          </w:tcPr>
          <w:p>
            <w:pPr>
              <w:pStyle w:val="Compact"/>
              <w:spacing w:line="240" w:lineRule="auto" w:before="20" w:after="20"/>
              <w:ind w:firstLine="0"/>
              <w:jc w:val="right"/>
            </w:pPr>
            <w:r>
              <w:rPr>
                <w:rFonts w:ascii="Times New Roman" w:hAnsi="Times New Roman"/>
                <w:sz w:val="14"/>
              </w:rPr>
              <w:t xml:space="preserve">8,6</w:t>
            </w:r>
          </w:p>
        </w:tc>
        <w:tc>
          <w:tcPr>
            <w:tcW w:type="dxa" w:w="714"/>
          </w:tcPr>
          <w:p>
            <w:pPr>
              <w:pStyle w:val="Compact"/>
              <w:spacing w:line="240" w:lineRule="auto" w:before="20" w:after="20"/>
              <w:ind w:firstLine="0"/>
              <w:jc w:val="right"/>
            </w:pPr>
            <w:r>
              <w:rPr>
                <w:rFonts w:ascii="Times New Roman" w:hAnsi="Times New Roman"/>
                <w:sz w:val="14"/>
              </w:rPr>
              <w:t>+0,29</w:t>
            </w:r>
          </w:p>
        </w:tc>
        <w:tc>
          <w:tcPr>
            <w:tcW w:type="dxa" w:w="714"/>
          </w:tcPr>
          <w:p>
            <w:pPr>
              <w:pStyle w:val="Compact"/>
              <w:spacing w:line="240" w:lineRule="auto" w:before="20" w:after="20"/>
              <w:ind w:firstLine="0"/>
              <w:jc w:val="right"/>
            </w:pPr>
            <w:r>
              <w:rPr>
                <w:rFonts w:ascii="Times New Roman" w:hAnsi="Times New Roman"/>
                <w:sz w:val="14"/>
              </w:rPr>
              <w:t>+0,78</w:t>
            </w:r>
          </w:p>
        </w:tc>
        <w:tc>
          <w:tcPr>
            <w:tcW w:type="dxa" w:w="714"/>
          </w:tcPr>
          <w:p>
            <w:pPr>
              <w:pStyle w:val="Compact"/>
              <w:spacing w:line="240" w:lineRule="auto" w:before="20" w:after="20"/>
              <w:ind w:firstLine="0"/>
              <w:jc w:val="right"/>
            </w:pPr>
            <w:r>
              <w:rPr>
                <w:rFonts w:ascii="Times New Roman" w:hAnsi="Times New Roman"/>
                <w:sz w:val="14"/>
              </w:rPr>
              <w:t>+1,27</w:t>
            </w:r>
          </w:p>
        </w:tc>
        <w:tc>
          <w:tcPr>
            <w:tcW w:type="dxa" w:w="714"/>
          </w:tcPr>
          <w:p>
            <w:pPr>
              <w:pStyle w:val="Compact"/>
              <w:spacing w:line="240" w:lineRule="auto" w:before="20" w:after="20"/>
              <w:ind w:firstLine="0"/>
              <w:jc w:val="right"/>
            </w:pPr>
            <w:r>
              <w:rPr>
                <w:rFonts w:ascii="Times New Roman" w:hAnsi="Times New Roman"/>
                <w:sz w:val="14"/>
              </w:rPr>
              <w:t>+1,77</w:t>
            </w:r>
          </w:p>
        </w:tc>
        <w:tc>
          <w:tcPr>
            <w:tcW w:type="dxa" w:w="714"/>
          </w:tcPr>
          <w:p>
            <w:pPr>
              <w:pStyle w:val="Compact"/>
              <w:spacing w:line="240" w:lineRule="auto" w:before="20" w:after="20"/>
              <w:ind w:firstLine="0"/>
              <w:jc w:val="right"/>
            </w:pPr>
            <w:r>
              <w:rPr>
                <w:rFonts w:ascii="Times New Roman" w:hAnsi="Times New Roman"/>
                <w:sz w:val="14"/>
              </w:rPr>
              <w:t>+3,19</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AC</w:t>
            </w:r>
          </w:p>
        </w:tc>
        <w:tc>
          <w:tcPr>
            <w:tcW w:type="dxa" w:w="1484"/>
          </w:tcPr>
          <w:p>
            <w:pPr>
              <w:pStyle w:val="Compact"/>
              <w:spacing w:line="240" w:lineRule="auto" w:before="20" w:after="20"/>
              <w:ind w:firstLine="0"/>
              <w:jc w:val="right"/>
            </w:pPr>
            <w:r>
              <w:rPr>
                <w:rFonts w:ascii="Times New Roman" w:hAnsi="Times New Roman"/>
                <w:sz w:val="14"/>
              </w:rPr>
              <w:t xml:space="preserve">1,7</w:t>
            </w:r>
          </w:p>
        </w:tc>
        <w:tc>
          <w:tcPr>
            <w:tcW w:type="dxa" w:w="714"/>
          </w:tcPr>
          <w:p>
            <w:pPr>
              <w:pStyle w:val="Compact"/>
              <w:spacing w:line="240" w:lineRule="auto" w:before="20" w:after="20"/>
              <w:ind w:firstLine="0"/>
              <w:jc w:val="right"/>
            </w:pPr>
            <w:r>
              <w:rPr>
                <w:rFonts w:ascii="Times New Roman" w:hAnsi="Times New Roman"/>
                <w:sz w:val="14"/>
              </w:rPr>
              <w:t xml:space="preserve">1,8</w:t>
            </w:r>
          </w:p>
        </w:tc>
        <w:tc>
          <w:tcPr>
            <w:tcW w:type="dxa" w:w="714"/>
          </w:tcPr>
          <w:p>
            <w:pPr>
              <w:pStyle w:val="Compact"/>
              <w:spacing w:line="240" w:lineRule="auto" w:before="20" w:after="20"/>
              <w:ind w:firstLine="0"/>
              <w:jc w:val="right"/>
            </w:pPr>
            <w:r>
              <w:rPr>
                <w:rFonts w:ascii="Times New Roman" w:hAnsi="Times New Roman"/>
                <w:sz w:val="14"/>
              </w:rPr>
              <w:t>1,9</w:t>
            </w:r>
          </w:p>
        </w:tc>
        <w:tc>
          <w:tcPr>
            <w:tcW w:type="dxa" w:w="714"/>
          </w:tcPr>
          <w:p>
            <w:pPr>
              <w:pStyle w:val="Compact"/>
              <w:spacing w:line="240" w:lineRule="auto" w:before="20" w:after="20"/>
              <w:ind w:firstLine="0"/>
              <w:jc w:val="right"/>
            </w:pPr>
            <w:r>
              <w:rPr>
                <w:rFonts w:ascii="Times New Roman" w:hAnsi="Times New Roman"/>
                <w:sz w:val="14"/>
              </w:rPr>
              <w:t xml:space="preserve">1,9</w:t>
            </w:r>
          </w:p>
        </w:tc>
        <w:tc>
          <w:tcPr>
            <w:tcW w:type="dxa" w:w="714"/>
          </w:tcPr>
          <w:p>
            <w:pPr>
              <w:pStyle w:val="Compact"/>
              <w:spacing w:line="240" w:lineRule="auto" w:before="20" w:after="20"/>
              <w:ind w:firstLine="0"/>
              <w:jc w:val="right"/>
            </w:pPr>
            <w:r>
              <w:rPr>
                <w:rFonts w:ascii="Times New Roman" w:hAnsi="Times New Roman"/>
                <w:sz w:val="14"/>
              </w:rPr>
              <w:t>2,0</w:t>
            </w:r>
          </w:p>
        </w:tc>
        <w:tc>
          <w:tcPr>
            <w:tcW w:type="dxa" w:w="714"/>
          </w:tcPr>
          <w:p>
            <w:pPr>
              <w:pStyle w:val="Compact"/>
              <w:spacing w:line="240" w:lineRule="auto" w:before="20" w:after="20"/>
              <w:ind w:firstLine="0"/>
              <w:jc w:val="right"/>
            </w:pPr>
            <w:r>
              <w:rPr>
                <w:rFonts w:ascii="Times New Roman" w:hAnsi="Times New Roman"/>
                <w:sz w:val="14"/>
              </w:rPr>
              <w:t>2,1</w:t>
            </w:r>
          </w:p>
        </w:tc>
        <w:tc>
          <w:tcPr>
            <w:tcW w:type="dxa" w:w="714"/>
          </w:tcPr>
          <w:p>
            <w:pPr>
              <w:pStyle w:val="Compact"/>
              <w:spacing w:line="240" w:lineRule="auto" w:before="20" w:after="20"/>
              <w:ind w:firstLine="0"/>
              <w:jc w:val="right"/>
            </w:pPr>
            <w:r>
              <w:rPr>
                <w:rFonts w:ascii="Times New Roman" w:hAnsi="Times New Roman"/>
                <w:sz w:val="14"/>
              </w:rPr>
              <w:t>+0,51</w:t>
            </w:r>
          </w:p>
        </w:tc>
        <w:tc>
          <w:tcPr>
            <w:tcW w:type="dxa" w:w="714"/>
          </w:tcPr>
          <w:p>
            <w:pPr>
              <w:pStyle w:val="Compact"/>
              <w:spacing w:line="240" w:lineRule="auto" w:before="20" w:after="20"/>
              <w:ind w:firstLine="0"/>
              <w:jc w:val="right"/>
            </w:pPr>
            <w:r>
              <w:rPr>
                <w:rFonts w:ascii="Times New Roman" w:hAnsi="Times New Roman"/>
                <w:sz w:val="14"/>
              </w:rPr>
              <w:t>+1,23</w:t>
            </w:r>
          </w:p>
        </w:tc>
        <w:tc>
          <w:tcPr>
            <w:tcW w:type="dxa" w:w="714"/>
          </w:tcPr>
          <w:p>
            <w:pPr>
              <w:pStyle w:val="Compact"/>
              <w:spacing w:line="240" w:lineRule="auto" w:before="20" w:after="20"/>
              <w:ind w:firstLine="0"/>
              <w:jc w:val="right"/>
            </w:pPr>
            <w:r>
              <w:rPr>
                <w:rFonts w:ascii="Times New Roman" w:hAnsi="Times New Roman"/>
                <w:sz w:val="14"/>
              </w:rPr>
              <w:t>+1,95</w:t>
            </w:r>
          </w:p>
        </w:tc>
        <w:tc>
          <w:tcPr>
            <w:tcW w:type="dxa" w:w="714"/>
          </w:tcPr>
          <w:p>
            <w:pPr>
              <w:pStyle w:val="Compact"/>
              <w:spacing w:line="240" w:lineRule="auto" w:before="20" w:after="20"/>
              <w:ind w:firstLine="0"/>
              <w:jc w:val="right"/>
            </w:pPr>
            <w:r>
              <w:rPr>
                <w:rFonts w:ascii="Times New Roman" w:hAnsi="Times New Roman"/>
                <w:sz w:val="14"/>
              </w:rPr>
              <w:t>+2,67</w:t>
            </w:r>
          </w:p>
        </w:tc>
        <w:tc>
          <w:tcPr>
            <w:tcW w:type="dxa" w:w="714"/>
          </w:tcPr>
          <w:p>
            <w:pPr>
              <w:pStyle w:val="Compact"/>
              <w:spacing w:line="240" w:lineRule="auto" w:before="20" w:after="20"/>
              <w:ind w:firstLine="0"/>
              <w:jc w:val="right"/>
            </w:pPr>
            <w:r>
              <w:rPr>
                <w:rFonts w:ascii="Times New Roman" w:hAnsi="Times New Roman"/>
                <w:sz w:val="14"/>
              </w:rPr>
              <w:t>+5,78</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SP</w:t>
            </w:r>
          </w:p>
        </w:tc>
        <w:tc>
          <w:tcPr>
            <w:tcW w:type="dxa" w:w="1484"/>
          </w:tcPr>
          <w:p>
            <w:pPr>
              <w:pStyle w:val="Compact"/>
              <w:spacing w:line="240" w:lineRule="auto" w:before="20" w:after="20"/>
              <w:ind w:firstLine="0"/>
              <w:jc w:val="right"/>
            </w:pPr>
            <w:r>
              <w:rPr>
                <w:rFonts w:ascii="Times New Roman" w:hAnsi="Times New Roman"/>
                <w:sz w:val="14"/>
              </w:rPr>
              <w:t xml:space="preserve">178,8</w:t>
            </w:r>
          </w:p>
        </w:tc>
        <w:tc>
          <w:tcPr>
            <w:tcW w:type="dxa" w:w="714"/>
          </w:tcPr>
          <w:p>
            <w:pPr>
              <w:pStyle w:val="Compact"/>
              <w:spacing w:line="240" w:lineRule="auto" w:before="20" w:after="20"/>
              <w:ind w:firstLine="0"/>
              <w:jc w:val="right"/>
            </w:pPr>
            <w:r>
              <w:rPr>
                <w:rFonts w:ascii="Times New Roman" w:hAnsi="Times New Roman"/>
                <w:sz w:val="14"/>
              </w:rPr>
              <w:t>193,0</w:t>
            </w:r>
          </w:p>
        </w:tc>
        <w:tc>
          <w:tcPr>
            <w:tcW w:type="dxa" w:w="714"/>
          </w:tcPr>
          <w:p>
            <w:pPr>
              <w:pStyle w:val="Compact"/>
              <w:spacing w:line="240" w:lineRule="auto" w:before="20" w:after="20"/>
              <w:ind w:firstLine="0"/>
              <w:jc w:val="right"/>
            </w:pPr>
            <w:r>
              <w:rPr>
                <w:rFonts w:ascii="Times New Roman" w:hAnsi="Times New Roman"/>
                <w:sz w:val="14"/>
              </w:rPr>
              <w:t>197,4</w:t>
            </w:r>
          </w:p>
        </w:tc>
        <w:tc>
          <w:tcPr>
            <w:tcW w:type="dxa" w:w="714"/>
          </w:tcPr>
          <w:p>
            <w:pPr>
              <w:pStyle w:val="Compact"/>
              <w:spacing w:line="240" w:lineRule="auto" w:before="20" w:after="20"/>
              <w:ind w:firstLine="0"/>
              <w:jc w:val="right"/>
            </w:pPr>
            <w:r>
              <w:rPr>
                <w:rFonts w:ascii="Times New Roman" w:hAnsi="Times New Roman"/>
                <w:sz w:val="14"/>
              </w:rPr>
              <w:t>202,3</w:t>
            </w:r>
          </w:p>
        </w:tc>
        <w:tc>
          <w:tcPr>
            <w:tcW w:type="dxa" w:w="714"/>
          </w:tcPr>
          <w:p>
            <w:pPr>
              <w:pStyle w:val="Compact"/>
              <w:spacing w:line="240" w:lineRule="auto" w:before="20" w:after="20"/>
              <w:ind w:firstLine="0"/>
              <w:jc w:val="right"/>
            </w:pPr>
            <w:r>
              <w:rPr>
                <w:rFonts w:ascii="Times New Roman" w:hAnsi="Times New Roman"/>
                <w:sz w:val="14"/>
              </w:rPr>
              <w:t>207,3</w:t>
            </w:r>
          </w:p>
        </w:tc>
        <w:tc>
          <w:tcPr>
            <w:tcW w:type="dxa" w:w="714"/>
          </w:tcPr>
          <w:p>
            <w:pPr>
              <w:pStyle w:val="Compact"/>
              <w:spacing w:line="240" w:lineRule="auto" w:before="20" w:after="20"/>
              <w:ind w:firstLine="0"/>
              <w:jc w:val="right"/>
            </w:pPr>
            <w:r>
              <w:rPr>
                <w:rFonts w:ascii="Times New Roman" w:hAnsi="Times New Roman"/>
                <w:sz w:val="14"/>
              </w:rPr>
              <w:t>217,0</w:t>
            </w:r>
          </w:p>
        </w:tc>
        <w:tc>
          <w:tcPr>
            <w:tcW w:type="dxa" w:w="714"/>
          </w:tcPr>
          <w:p>
            <w:pPr>
              <w:pStyle w:val="Compact"/>
              <w:spacing w:line="240" w:lineRule="auto" w:before="20" w:after="20"/>
              <w:ind w:firstLine="0"/>
              <w:jc w:val="right"/>
            </w:pPr>
            <w:r>
              <w:rPr>
                <w:rFonts w:ascii="Times New Roman" w:hAnsi="Times New Roman"/>
                <w:sz w:val="14"/>
              </w:rPr>
              <w:t>+0,07</w:t>
            </w:r>
          </w:p>
        </w:tc>
        <w:tc>
          <w:tcPr>
            <w:tcW w:type="dxa" w:w="714"/>
          </w:tcPr>
          <w:p>
            <w:pPr>
              <w:pStyle w:val="Compact"/>
              <w:spacing w:line="240" w:lineRule="auto" w:before="20" w:after="20"/>
              <w:ind w:firstLine="0"/>
              <w:jc w:val="right"/>
            </w:pPr>
            <w:r>
              <w:rPr>
                <w:rFonts w:ascii="Times New Roman" w:hAnsi="Times New Roman"/>
                <w:sz w:val="14"/>
              </w:rPr>
              <w:t>+0,34</w:t>
            </w:r>
          </w:p>
        </w:tc>
        <w:tc>
          <w:tcPr>
            <w:tcW w:type="dxa" w:w="714"/>
          </w:tcPr>
          <w:p>
            <w:pPr>
              <w:pStyle w:val="Compact"/>
              <w:spacing w:line="240" w:lineRule="auto" w:before="20" w:after="20"/>
              <w:ind w:firstLine="0"/>
              <w:jc w:val="right"/>
            </w:pPr>
            <w:r>
              <w:rPr>
                <w:rFonts w:ascii="Times New Roman" w:hAnsi="Times New Roman"/>
                <w:sz w:val="14"/>
              </w:rPr>
              <w:t>+0,61</w:t>
            </w:r>
          </w:p>
        </w:tc>
        <w:tc>
          <w:tcPr>
            <w:tcW w:type="dxa" w:w="714"/>
          </w:tcPr>
          <w:p>
            <w:pPr>
              <w:pStyle w:val="Compact"/>
              <w:spacing w:line="240" w:lineRule="auto" w:before="20" w:after="20"/>
              <w:ind w:firstLine="0"/>
              <w:jc w:val="right"/>
            </w:pPr>
            <w:r>
              <w:rPr>
                <w:rFonts w:ascii="Times New Roman" w:hAnsi="Times New Roman"/>
                <w:sz w:val="14"/>
              </w:rPr>
              <w:t>+0,89</w:t>
            </w:r>
          </w:p>
        </w:tc>
        <w:tc>
          <w:tcPr>
            <w:tcW w:type="dxa" w:w="714"/>
          </w:tcPr>
          <w:p>
            <w:pPr>
              <w:pStyle w:val="Compact"/>
              <w:spacing w:line="240" w:lineRule="auto" w:before="20" w:after="20"/>
              <w:ind w:firstLine="0"/>
              <w:jc w:val="right"/>
            </w:pPr>
            <w:r>
              <w:rPr>
                <w:rFonts w:ascii="Times New Roman" w:hAnsi="Times New Roman"/>
                <w:sz w:val="14"/>
              </w:rPr>
              <w:t>+3,33</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DF</w:t>
            </w:r>
          </w:p>
        </w:tc>
        <w:tc>
          <w:tcPr>
            <w:tcW w:type="dxa" w:w="1484"/>
          </w:tcPr>
          <w:p>
            <w:pPr>
              <w:pStyle w:val="Compact"/>
              <w:spacing w:line="240" w:lineRule="auto" w:before="20" w:after="20"/>
              <w:ind w:firstLine="0"/>
              <w:jc w:val="right"/>
            </w:pPr>
            <w:r>
              <w:rPr>
                <w:rFonts w:ascii="Times New Roman" w:hAnsi="Times New Roman"/>
                <w:sz w:val="14"/>
              </w:rPr>
              <w:t xml:space="preserve">16,5</w:t>
            </w:r>
          </w:p>
        </w:tc>
        <w:tc>
          <w:tcPr>
            <w:tcW w:type="dxa" w:w="714"/>
          </w:tcPr>
          <w:p>
            <w:pPr>
              <w:pStyle w:val="Compact"/>
              <w:spacing w:line="240" w:lineRule="auto" w:before="20" w:after="20"/>
              <w:ind w:firstLine="0"/>
              <w:jc w:val="right"/>
            </w:pPr>
            <w:r>
              <w:rPr>
                <w:rFonts w:ascii="Times New Roman" w:hAnsi="Times New Roman"/>
                <w:sz w:val="14"/>
              </w:rPr>
              <w:t xml:space="preserve">17,9</w:t>
            </w:r>
          </w:p>
        </w:tc>
        <w:tc>
          <w:tcPr>
            <w:tcW w:type="dxa" w:w="714"/>
          </w:tcPr>
          <w:p>
            <w:pPr>
              <w:pStyle w:val="Compact"/>
              <w:spacing w:line="240" w:lineRule="auto" w:before="20" w:after="20"/>
              <w:ind w:firstLine="0"/>
              <w:jc w:val="right"/>
            </w:pPr>
            <w:r>
              <w:rPr>
                <w:rFonts w:ascii="Times New Roman" w:hAnsi="Times New Roman"/>
                <w:sz w:val="14"/>
              </w:rPr>
              <w:t xml:space="preserve">18,5</w:t>
            </w:r>
          </w:p>
        </w:tc>
        <w:tc>
          <w:tcPr>
            <w:tcW w:type="dxa" w:w="714"/>
          </w:tcPr>
          <w:p>
            <w:pPr>
              <w:pStyle w:val="Compact"/>
              <w:spacing w:line="240" w:lineRule="auto" w:before="20" w:after="20"/>
              <w:ind w:firstLine="0"/>
              <w:jc w:val="right"/>
            </w:pPr>
            <w:r>
              <w:rPr>
                <w:rFonts w:ascii="Times New Roman" w:hAnsi="Times New Roman"/>
                <w:sz w:val="14"/>
              </w:rPr>
              <w:t xml:space="preserve">19,1</w:t>
            </w:r>
          </w:p>
        </w:tc>
        <w:tc>
          <w:tcPr>
            <w:tcW w:type="dxa" w:w="714"/>
          </w:tcPr>
          <w:p>
            <w:pPr>
              <w:pStyle w:val="Compact"/>
              <w:spacing w:line="240" w:lineRule="auto" w:before="20" w:after="20"/>
              <w:ind w:firstLine="0"/>
              <w:jc w:val="right"/>
            </w:pPr>
            <w:r>
              <w:rPr>
                <w:rFonts w:ascii="Times New Roman" w:hAnsi="Times New Roman"/>
                <w:sz w:val="14"/>
              </w:rPr>
              <w:t xml:space="preserve">19,7</w:t>
            </w:r>
          </w:p>
        </w:tc>
        <w:tc>
          <w:tcPr>
            <w:tcW w:type="dxa" w:w="714"/>
          </w:tcPr>
          <w:p>
            <w:pPr>
              <w:pStyle w:val="Compact"/>
              <w:spacing w:line="240" w:lineRule="auto" w:before="20" w:after="20"/>
              <w:ind w:firstLine="0"/>
              <w:jc w:val="right"/>
            </w:pPr>
            <w:r>
              <w:rPr>
                <w:rFonts w:ascii="Times New Roman" w:hAnsi="Times New Roman"/>
                <w:sz w:val="14"/>
              </w:rPr>
              <w:t>20,5</w:t>
            </w:r>
          </w:p>
        </w:tc>
        <w:tc>
          <w:tcPr>
            <w:tcW w:type="dxa" w:w="714"/>
          </w:tcPr>
          <w:p>
            <w:pPr>
              <w:pStyle w:val="Compact"/>
              <w:spacing w:line="240" w:lineRule="auto" w:before="20" w:after="20"/>
              <w:ind w:firstLine="0"/>
              <w:jc w:val="right"/>
            </w:pPr>
            <w:r>
              <w:rPr>
                <w:rFonts w:ascii="Times New Roman" w:hAnsi="Times New Roman"/>
                <w:sz w:val="14"/>
              </w:rPr>
              <w:t>+0,83</w:t>
            </w:r>
          </w:p>
        </w:tc>
        <w:tc>
          <w:tcPr>
            <w:tcW w:type="dxa" w:w="714"/>
          </w:tcPr>
          <w:p>
            <w:pPr>
              <w:pStyle w:val="Compact"/>
              <w:spacing w:line="240" w:lineRule="auto" w:before="20" w:after="20"/>
              <w:ind w:firstLine="0"/>
              <w:jc w:val="right"/>
            </w:pPr>
            <w:r>
              <w:rPr>
                <w:rFonts w:ascii="Times New Roman" w:hAnsi="Times New Roman"/>
                <w:sz w:val="14"/>
              </w:rPr>
              <w:t>+1,88</w:t>
            </w:r>
          </w:p>
        </w:tc>
        <w:tc>
          <w:tcPr>
            <w:tcW w:type="dxa" w:w="714"/>
          </w:tcPr>
          <w:p>
            <w:pPr>
              <w:pStyle w:val="Compact"/>
              <w:spacing w:line="240" w:lineRule="auto" w:before="20" w:after="20"/>
              <w:ind w:firstLine="0"/>
              <w:jc w:val="right"/>
            </w:pPr>
            <w:r>
              <w:rPr>
                <w:rFonts w:ascii="Times New Roman" w:hAnsi="Times New Roman"/>
                <w:sz w:val="14"/>
              </w:rPr>
              <w:t>+2,93</w:t>
            </w:r>
          </w:p>
        </w:tc>
        <w:tc>
          <w:tcPr>
            <w:tcW w:type="dxa" w:w="714"/>
          </w:tcPr>
          <w:p>
            <w:pPr>
              <w:pStyle w:val="Compact"/>
              <w:spacing w:line="240" w:lineRule="auto" w:before="20" w:after="20"/>
              <w:ind w:firstLine="0"/>
              <w:jc w:val="right"/>
            </w:pPr>
            <w:r>
              <w:rPr>
                <w:rFonts w:ascii="Times New Roman" w:hAnsi="Times New Roman"/>
                <w:sz w:val="14"/>
              </w:rPr>
              <w:t>+3,98</w:t>
            </w:r>
          </w:p>
        </w:tc>
        <w:tc>
          <w:tcPr>
            <w:tcW w:type="dxa" w:w="714"/>
          </w:tcPr>
          <w:p>
            <w:pPr>
              <w:pStyle w:val="Compact"/>
              <w:spacing w:line="240" w:lineRule="auto" w:before="20" w:after="20"/>
              <w:ind w:firstLine="0"/>
              <w:jc w:val="right"/>
            </w:pPr>
            <w:r>
              <w:rPr>
                <w:rFonts w:ascii="Times New Roman" w:hAnsi="Times New Roman"/>
                <w:sz w:val="14"/>
              </w:rPr>
              <w:t>+5,85</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AM</w:t>
            </w:r>
          </w:p>
        </w:tc>
        <w:tc>
          <w:tcPr>
            <w:tcW w:type="dxa" w:w="1484"/>
          </w:tcPr>
          <w:p>
            <w:pPr>
              <w:pStyle w:val="Compact"/>
              <w:spacing w:line="240" w:lineRule="auto" w:before="20" w:after="20"/>
              <w:ind w:firstLine="0"/>
              <w:jc w:val="right"/>
            </w:pPr>
            <w:r>
              <w:rPr>
                <w:rFonts w:ascii="Times New Roman" w:hAnsi="Times New Roman"/>
                <w:sz w:val="14"/>
              </w:rPr>
              <w:t>15,9</w:t>
            </w:r>
          </w:p>
        </w:tc>
        <w:tc>
          <w:tcPr>
            <w:tcW w:type="dxa" w:w="714"/>
          </w:tcPr>
          <w:p>
            <w:pPr>
              <w:pStyle w:val="Compact"/>
              <w:spacing w:line="240" w:lineRule="auto" w:before="20" w:after="20"/>
              <w:ind w:firstLine="0"/>
              <w:jc w:val="right"/>
            </w:pPr>
            <w:r>
              <w:rPr>
                <w:rFonts w:ascii="Times New Roman" w:hAnsi="Times New Roman"/>
                <w:sz w:val="14"/>
              </w:rPr>
              <w:t>17,2</w:t>
            </w:r>
          </w:p>
        </w:tc>
        <w:tc>
          <w:tcPr>
            <w:tcW w:type="dxa" w:w="714"/>
          </w:tcPr>
          <w:p>
            <w:pPr>
              <w:pStyle w:val="Compact"/>
              <w:spacing w:line="240" w:lineRule="auto" w:before="20" w:after="20"/>
              <w:ind w:firstLine="0"/>
              <w:jc w:val="right"/>
            </w:pPr>
            <w:r>
              <w:rPr>
                <w:rFonts w:ascii="Times New Roman" w:hAnsi="Times New Roman"/>
                <w:sz w:val="14"/>
              </w:rPr>
              <w:t>17,7</w:t>
            </w:r>
          </w:p>
        </w:tc>
        <w:tc>
          <w:tcPr>
            <w:tcW w:type="dxa" w:w="714"/>
          </w:tcPr>
          <w:p>
            <w:pPr>
              <w:pStyle w:val="Compact"/>
              <w:spacing w:line="240" w:lineRule="auto" w:before="20" w:after="20"/>
              <w:ind w:firstLine="0"/>
              <w:jc w:val="right"/>
            </w:pPr>
            <w:r>
              <w:rPr>
                <w:rFonts w:ascii="Times New Roman" w:hAnsi="Times New Roman"/>
                <w:sz w:val="14"/>
              </w:rPr>
              <w:t>18,3</w:t>
            </w:r>
          </w:p>
        </w:tc>
        <w:tc>
          <w:tcPr>
            <w:tcW w:type="dxa" w:w="714"/>
          </w:tcPr>
          <w:p>
            <w:pPr>
              <w:pStyle w:val="Compact"/>
              <w:spacing w:line="240" w:lineRule="auto" w:before="20" w:after="20"/>
              <w:ind w:firstLine="0"/>
              <w:jc w:val="right"/>
            </w:pPr>
            <w:r>
              <w:rPr>
                <w:rFonts w:ascii="Times New Roman" w:hAnsi="Times New Roman"/>
                <w:sz w:val="14"/>
              </w:rPr>
              <w:t>18,9</w:t>
            </w:r>
          </w:p>
        </w:tc>
        <w:tc>
          <w:tcPr>
            <w:tcW w:type="dxa" w:w="714"/>
          </w:tcPr>
          <w:p>
            <w:pPr>
              <w:pStyle w:val="Compact"/>
              <w:spacing w:line="240" w:lineRule="auto" w:before="20" w:after="20"/>
              <w:ind w:firstLine="0"/>
              <w:jc w:val="right"/>
            </w:pPr>
            <w:r>
              <w:rPr>
                <w:rFonts w:ascii="Times New Roman" w:hAnsi="Times New Roman"/>
                <w:sz w:val="14"/>
              </w:rPr>
              <w:t>20,3</w:t>
            </w:r>
          </w:p>
        </w:tc>
        <w:tc>
          <w:tcPr>
            <w:tcW w:type="dxa" w:w="714"/>
          </w:tcPr>
          <w:p>
            <w:pPr>
              <w:pStyle w:val="Compact"/>
              <w:spacing w:line="240" w:lineRule="auto" w:before="20" w:after="20"/>
              <w:ind w:firstLine="0"/>
              <w:jc w:val="right"/>
            </w:pPr>
            <w:r>
              <w:rPr>
                <w:rFonts w:ascii="Times New Roman" w:hAnsi="Times New Roman"/>
                <w:sz w:val="14"/>
              </w:rPr>
              <w:t>+0,69</w:t>
            </w:r>
          </w:p>
        </w:tc>
        <w:tc>
          <w:tcPr>
            <w:tcW w:type="dxa" w:w="714"/>
          </w:tcPr>
          <w:p>
            <w:pPr>
              <w:pStyle w:val="Compact"/>
              <w:spacing w:line="240" w:lineRule="auto" w:before="20" w:after="20"/>
              <w:ind w:firstLine="0"/>
              <w:jc w:val="right"/>
            </w:pPr>
            <w:r>
              <w:rPr>
                <w:rFonts w:ascii="Times New Roman" w:hAnsi="Times New Roman"/>
                <w:sz w:val="14"/>
              </w:rPr>
              <w:t>+1,61</w:t>
            </w:r>
          </w:p>
        </w:tc>
        <w:tc>
          <w:tcPr>
            <w:tcW w:type="dxa" w:w="714"/>
          </w:tcPr>
          <w:p>
            <w:pPr>
              <w:pStyle w:val="Compact"/>
              <w:spacing w:line="240" w:lineRule="auto" w:before="20" w:after="20"/>
              <w:ind w:firstLine="0"/>
              <w:jc w:val="right"/>
            </w:pPr>
            <w:r>
              <w:rPr>
                <w:rFonts w:ascii="Times New Roman" w:hAnsi="Times New Roman"/>
                <w:sz w:val="14"/>
              </w:rPr>
              <w:t>+2,53</w:t>
            </w:r>
          </w:p>
        </w:tc>
        <w:tc>
          <w:tcPr>
            <w:tcW w:type="dxa" w:w="714"/>
          </w:tcPr>
          <w:p>
            <w:pPr>
              <w:pStyle w:val="Compact"/>
              <w:spacing w:line="240" w:lineRule="auto" w:before="20" w:after="20"/>
              <w:ind w:firstLine="0"/>
              <w:jc w:val="right"/>
            </w:pPr>
            <w:r>
              <w:rPr>
                <w:rFonts w:ascii="Times New Roman" w:hAnsi="Times New Roman"/>
                <w:sz w:val="14"/>
              </w:rPr>
              <w:t>+3,45</w:t>
            </w:r>
          </w:p>
        </w:tc>
        <w:tc>
          <w:tcPr>
            <w:tcW w:type="dxa" w:w="714"/>
          </w:tcPr>
          <w:p>
            <w:pPr>
              <w:pStyle w:val="Compact"/>
              <w:spacing w:line="240" w:lineRule="auto" w:before="20" w:after="20"/>
              <w:ind w:firstLine="0"/>
              <w:jc w:val="right"/>
            </w:pPr>
            <w:r>
              <w:rPr>
                <w:rFonts w:ascii="Times New Roman" w:hAnsi="Times New Roman"/>
                <w:sz w:val="14"/>
              </w:rPr>
              <w:t>+9,09</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RJ</w:t>
            </w:r>
          </w:p>
        </w:tc>
        <w:tc>
          <w:tcPr>
            <w:tcW w:type="dxa" w:w="1484"/>
          </w:tcPr>
          <w:p>
            <w:pPr>
              <w:pStyle w:val="Compact"/>
              <w:spacing w:line="240" w:lineRule="auto" w:before="20" w:after="20"/>
              <w:ind w:firstLine="0"/>
              <w:jc w:val="right"/>
            </w:pPr>
            <w:r>
              <w:rPr>
                <w:rFonts w:ascii="Times New Roman" w:hAnsi="Times New Roman"/>
                <w:sz w:val="14"/>
              </w:rPr>
              <w:t xml:space="preserve">48,5</w:t>
            </w:r>
          </w:p>
        </w:tc>
        <w:tc>
          <w:tcPr>
            <w:tcW w:type="dxa" w:w="714"/>
          </w:tcPr>
          <w:p>
            <w:pPr>
              <w:pStyle w:val="Compact"/>
              <w:spacing w:line="240" w:lineRule="auto" w:before="20" w:after="20"/>
              <w:ind w:firstLine="0"/>
              <w:jc w:val="right"/>
            </w:pPr>
            <w:r>
              <w:rPr>
                <w:rFonts w:ascii="Times New Roman" w:hAnsi="Times New Roman"/>
                <w:sz w:val="14"/>
              </w:rPr>
              <w:t>52,5</w:t>
            </w:r>
          </w:p>
        </w:tc>
        <w:tc>
          <w:tcPr>
            <w:tcW w:type="dxa" w:w="714"/>
          </w:tcPr>
          <w:p>
            <w:pPr>
              <w:pStyle w:val="Compact"/>
              <w:spacing w:line="240" w:lineRule="auto" w:before="20" w:after="20"/>
              <w:ind w:firstLine="0"/>
              <w:jc w:val="right"/>
            </w:pPr>
            <w:r>
              <w:rPr>
                <w:rFonts w:ascii="Times New Roman" w:hAnsi="Times New Roman"/>
                <w:sz w:val="14"/>
              </w:rPr>
              <w:t>53,9</w:t>
            </w:r>
          </w:p>
        </w:tc>
        <w:tc>
          <w:tcPr>
            <w:tcW w:type="dxa" w:w="714"/>
          </w:tcPr>
          <w:p>
            <w:pPr>
              <w:pStyle w:val="Compact"/>
              <w:spacing w:line="240" w:lineRule="auto" w:before="20" w:after="20"/>
              <w:ind w:firstLine="0"/>
              <w:jc w:val="right"/>
            </w:pPr>
            <w:r>
              <w:rPr>
                <w:rFonts w:ascii="Times New Roman" w:hAnsi="Times New Roman"/>
                <w:sz w:val="14"/>
              </w:rPr>
              <w:t>55,4</w:t>
            </w:r>
          </w:p>
        </w:tc>
        <w:tc>
          <w:tcPr>
            <w:tcW w:type="dxa" w:w="714"/>
          </w:tcPr>
          <w:p>
            <w:pPr>
              <w:pStyle w:val="Compact"/>
              <w:spacing w:line="240" w:lineRule="auto" w:before="20" w:after="20"/>
              <w:ind w:firstLine="0"/>
              <w:jc w:val="right"/>
            </w:pPr>
            <w:r>
              <w:rPr>
                <w:rFonts w:ascii="Times New Roman" w:hAnsi="Times New Roman"/>
                <w:sz w:val="14"/>
              </w:rPr>
              <w:t>57,0</w:t>
            </w:r>
          </w:p>
        </w:tc>
        <w:tc>
          <w:tcPr>
            <w:tcW w:type="dxa" w:w="714"/>
          </w:tcPr>
          <w:p>
            <w:pPr>
              <w:pStyle w:val="Compact"/>
              <w:spacing w:line="240" w:lineRule="auto" w:before="20" w:after="20"/>
              <w:ind w:firstLine="0"/>
              <w:jc w:val="right"/>
            </w:pPr>
            <w:r>
              <w:rPr>
                <w:rFonts w:ascii="Times New Roman" w:hAnsi="Times New Roman"/>
                <w:sz w:val="14"/>
              </w:rPr>
              <w:t>60,6</w:t>
            </w:r>
          </w:p>
        </w:tc>
        <w:tc>
          <w:tcPr>
            <w:tcW w:type="dxa" w:w="714"/>
          </w:tcPr>
          <w:p>
            <w:pPr>
              <w:pStyle w:val="Compact"/>
              <w:spacing w:line="240" w:lineRule="auto" w:before="20" w:after="20"/>
              <w:ind w:firstLine="0"/>
              <w:jc w:val="right"/>
            </w:pPr>
            <w:r>
              <w:rPr>
                <w:rFonts w:ascii="Times New Roman" w:hAnsi="Times New Roman"/>
                <w:sz w:val="14"/>
              </w:rPr>
              <w:t>+0,39</w:t>
            </w:r>
          </w:p>
        </w:tc>
        <w:tc>
          <w:tcPr>
            <w:tcW w:type="dxa" w:w="714"/>
          </w:tcPr>
          <w:p>
            <w:pPr>
              <w:pStyle w:val="Compact"/>
              <w:spacing w:line="240" w:lineRule="auto" w:before="20" w:after="20"/>
              <w:ind w:firstLine="0"/>
              <w:jc w:val="right"/>
            </w:pPr>
            <w:r>
              <w:rPr>
                <w:rFonts w:ascii="Times New Roman" w:hAnsi="Times New Roman"/>
                <w:sz w:val="14"/>
              </w:rPr>
              <w:t>+0,98</w:t>
            </w:r>
          </w:p>
        </w:tc>
        <w:tc>
          <w:tcPr>
            <w:tcW w:type="dxa" w:w="714"/>
          </w:tcPr>
          <w:p>
            <w:pPr>
              <w:pStyle w:val="Compact"/>
              <w:spacing w:line="240" w:lineRule="auto" w:before="20" w:after="20"/>
              <w:ind w:firstLine="0"/>
              <w:jc w:val="right"/>
            </w:pPr>
            <w:r>
              <w:rPr>
                <w:rFonts w:ascii="Times New Roman" w:hAnsi="Times New Roman"/>
                <w:sz w:val="14"/>
              </w:rPr>
              <w:t>+1,58</w:t>
            </w:r>
          </w:p>
        </w:tc>
        <w:tc>
          <w:tcPr>
            <w:tcW w:type="dxa" w:w="714"/>
          </w:tcPr>
          <w:p>
            <w:pPr>
              <w:pStyle w:val="Compact"/>
              <w:spacing w:line="240" w:lineRule="auto" w:before="20" w:after="20"/>
              <w:ind w:firstLine="0"/>
              <w:jc w:val="right"/>
            </w:pPr>
            <w:r>
              <w:rPr>
                <w:rFonts w:ascii="Times New Roman" w:hAnsi="Times New Roman"/>
                <w:sz w:val="14"/>
              </w:rPr>
              <w:t>+2,18</w:t>
            </w:r>
          </w:p>
        </w:tc>
        <w:tc>
          <w:tcPr>
            <w:tcW w:type="dxa" w:w="714"/>
          </w:tcPr>
          <w:p>
            <w:pPr>
              <w:pStyle w:val="Compact"/>
              <w:spacing w:line="240" w:lineRule="auto" w:before="20" w:after="20"/>
              <w:ind w:firstLine="0"/>
              <w:jc w:val="right"/>
            </w:pPr>
            <w:r>
              <w:rPr>
                <w:rFonts w:ascii="Times New Roman" w:hAnsi="Times New Roman"/>
                <w:sz w:val="14"/>
              </w:rPr>
              <w:t>+6,41</w:t>
            </w:r>
          </w:p>
        </w:tc>
      </w:tr>
      <w:tr>
        <w:trPr>
          <w:cantSplit/>
        </w:trPr>
        <w:tc>
          <w:tcPr>
            <w:tcW w:type="dxa" w:w="439"/>
          </w:tcPr>
          <w:p>
            <w:pPr>
              <w:pStyle w:val="Compact"/>
              <w:spacing w:line="240" w:lineRule="auto" w:before="20" w:after="20"/>
              <w:ind w:firstLine="0"/>
              <w:jc w:val="left"/>
            </w:pPr>
            <w:r>
              <w:rPr>
                <w:rFonts w:ascii="Times New Roman" w:hAnsi="Times New Roman"/>
                <w:sz w:val="14"/>
              </w:rPr>
              <w:t xml:space="preserve">RS</w:t>
            </w:r>
          </w:p>
        </w:tc>
        <w:tc>
          <w:tcPr>
            <w:tcW w:type="dxa" w:w="1484"/>
          </w:tcPr>
          <w:p>
            <w:pPr>
              <w:pStyle w:val="Compact"/>
              <w:spacing w:line="240" w:lineRule="auto" w:before="20" w:after="20"/>
              <w:ind w:firstLine="0"/>
              <w:jc w:val="right"/>
            </w:pPr>
            <w:r>
              <w:rPr>
                <w:rFonts w:ascii="Times New Roman" w:hAnsi="Times New Roman"/>
                <w:sz w:val="14"/>
              </w:rPr>
              <w:t xml:space="preserve">40,5</w:t>
            </w:r>
          </w:p>
        </w:tc>
        <w:tc>
          <w:tcPr>
            <w:tcW w:type="dxa" w:w="714"/>
          </w:tcPr>
          <w:p>
            <w:pPr>
              <w:pStyle w:val="Compact"/>
              <w:spacing w:line="240" w:lineRule="auto" w:before="20" w:after="20"/>
              <w:ind w:firstLine="0"/>
              <w:jc w:val="right"/>
            </w:pPr>
            <w:r>
              <w:rPr>
                <w:rFonts w:ascii="Times New Roman" w:hAnsi="Times New Roman"/>
                <w:sz w:val="14"/>
              </w:rPr>
              <w:t>43,8</w:t>
            </w:r>
          </w:p>
        </w:tc>
        <w:tc>
          <w:tcPr>
            <w:tcW w:type="dxa" w:w="714"/>
          </w:tcPr>
          <w:p>
            <w:pPr>
              <w:pStyle w:val="Compact"/>
              <w:spacing w:line="240" w:lineRule="auto" w:before="20" w:after="20"/>
              <w:ind w:firstLine="0"/>
              <w:jc w:val="right"/>
            </w:pPr>
            <w:r>
              <w:rPr>
                <w:rFonts w:ascii="Times New Roman" w:hAnsi="Times New Roman"/>
                <w:sz w:val="14"/>
              </w:rPr>
              <w:t xml:space="preserve">45,0</w:t>
            </w:r>
          </w:p>
        </w:tc>
        <w:tc>
          <w:tcPr>
            <w:tcW w:type="dxa" w:w="714"/>
          </w:tcPr>
          <w:p>
            <w:pPr>
              <w:pStyle w:val="Compact"/>
              <w:spacing w:line="240" w:lineRule="auto" w:before="20" w:after="20"/>
              <w:ind w:firstLine="0"/>
              <w:jc w:val="right"/>
            </w:pPr>
            <w:r>
              <w:rPr>
                <w:rFonts w:ascii="Times New Roman" w:hAnsi="Times New Roman"/>
                <w:sz w:val="14"/>
              </w:rPr>
              <w:t>46,2</w:t>
            </w:r>
          </w:p>
        </w:tc>
        <w:tc>
          <w:tcPr>
            <w:tcW w:type="dxa" w:w="714"/>
          </w:tcPr>
          <w:p>
            <w:pPr>
              <w:pStyle w:val="Compact"/>
              <w:spacing w:line="240" w:lineRule="auto" w:before="20" w:after="20"/>
              <w:ind w:firstLine="0"/>
              <w:jc w:val="right"/>
            </w:pPr>
            <w:r>
              <w:rPr>
                <w:rFonts w:ascii="Times New Roman" w:hAnsi="Times New Roman"/>
                <w:sz w:val="14"/>
              </w:rPr>
              <w:t>47,5</w:t>
            </w:r>
          </w:p>
        </w:tc>
        <w:tc>
          <w:tcPr>
            <w:tcW w:type="dxa" w:w="714"/>
          </w:tcPr>
          <w:p>
            <w:pPr>
              <w:pStyle w:val="Compact"/>
              <w:spacing w:line="240" w:lineRule="auto" w:before="20" w:after="20"/>
              <w:ind w:firstLine="0"/>
              <w:jc w:val="right"/>
            </w:pPr>
            <w:r>
              <w:rPr>
                <w:rFonts w:ascii="Times New Roman" w:hAnsi="Times New Roman"/>
                <w:sz w:val="14"/>
              </w:rPr>
              <w:t>50,5</w:t>
            </w:r>
          </w:p>
        </w:tc>
        <w:tc>
          <w:tcPr>
            <w:tcW w:type="dxa" w:w="714"/>
          </w:tcPr>
          <w:p>
            <w:pPr>
              <w:pStyle w:val="Compact"/>
              <w:spacing w:line="240" w:lineRule="auto" w:before="20" w:after="20"/>
              <w:ind w:firstLine="0"/>
              <w:jc w:val="right"/>
            </w:pPr>
            <w:r>
              <w:rPr>
                <w:rFonts w:ascii="Times New Roman" w:hAnsi="Times New Roman"/>
                <w:sz w:val="14"/>
              </w:rPr>
              <w:t>+0,37</w:t>
            </w:r>
          </w:p>
        </w:tc>
        <w:tc>
          <w:tcPr>
            <w:tcW w:type="dxa" w:w="714"/>
          </w:tcPr>
          <w:p>
            <w:pPr>
              <w:pStyle w:val="Compact"/>
              <w:spacing w:line="240" w:lineRule="auto" w:before="20" w:after="20"/>
              <w:ind w:firstLine="0"/>
              <w:jc w:val="right"/>
            </w:pPr>
            <w:r>
              <w:rPr>
                <w:rFonts w:ascii="Times New Roman" w:hAnsi="Times New Roman"/>
                <w:sz w:val="14"/>
              </w:rPr>
              <w:t>+0,94</w:t>
            </w:r>
          </w:p>
        </w:tc>
        <w:tc>
          <w:tcPr>
            <w:tcW w:type="dxa" w:w="714"/>
          </w:tcPr>
          <w:p>
            <w:pPr>
              <w:pStyle w:val="Compact"/>
              <w:spacing w:line="240" w:lineRule="auto" w:before="20" w:after="20"/>
              <w:ind w:firstLine="0"/>
              <w:jc w:val="right"/>
            </w:pPr>
            <w:r>
              <w:rPr>
                <w:rFonts w:ascii="Times New Roman" w:hAnsi="Times New Roman"/>
                <w:sz w:val="14"/>
              </w:rPr>
              <w:t>+1,52</w:t>
            </w:r>
          </w:p>
        </w:tc>
        <w:tc>
          <w:tcPr>
            <w:tcW w:type="dxa" w:w="714"/>
          </w:tcPr>
          <w:p>
            <w:pPr>
              <w:pStyle w:val="Compact"/>
              <w:spacing w:line="240" w:lineRule="auto" w:before="20" w:after="20"/>
              <w:ind w:firstLine="0"/>
              <w:jc w:val="right"/>
            </w:pPr>
            <w:r>
              <w:rPr>
                <w:rFonts w:ascii="Times New Roman" w:hAnsi="Times New Roman"/>
                <w:sz w:val="14"/>
              </w:rPr>
              <w:t>+2,10</w:t>
            </w:r>
          </w:p>
        </w:tc>
        <w:tc>
          <w:tcPr>
            <w:tcW w:type="dxa" w:w="714"/>
          </w:tcPr>
          <w:p>
            <w:pPr>
              <w:pStyle w:val="Compact"/>
              <w:spacing w:line="240" w:lineRule="auto" w:before="20" w:after="20"/>
              <w:ind w:firstLine="0"/>
              <w:jc w:val="right"/>
            </w:pPr>
            <w:r>
              <w:rPr>
                <w:rFonts w:ascii="Times New Roman" w:hAnsi="Times New Roman"/>
                <w:sz w:val="14"/>
              </w:rPr>
              <w:t>+6,14</w:t>
            </w:r>
          </w:p>
        </w:tc>
      </w:tr>
    </w:tbl>
    <w:bookmarkEnd w:id="19"/>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Valores em R$ bilhões, a preços constantes de 2025. A receita-base corresponde à referência estadual de 2025. As projeções incorporam ICMS residual, IBS pelo coeficiente histórico e pelo destino, CGIBS e Seguro-Receita. O cenário sem reforma preserva a participação relativa de 2025 sobre a mesma base nacional projetada. Para o Paraná, a linha destacada utiliza os coeficientes estimados neste estudo com a base auditada, os mesmos da Tabela 3.</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SICONFI/STN; IBGE; EC n.</w:t>
      </w:r>
      <w:r>
        <w:rPr>
          <w:rFonts w:ascii="Times New Roman" w:hAnsi="Times New Roman"/>
          <w:sz w:val="18"/>
          <w:vertAlign w:val="superscript"/>
        </w:rPr>
        <w:t xml:space="preserve">o</w:t>
      </w:r>
      <w:r>
        <w:rPr>
          <w:rFonts w:ascii="Times New Roman" w:hAnsi="Times New Roman"/>
          <w:sz w:val="18"/>
        </w:rPr>
        <w:t xml:space="preserve"> 132/2023; LC n.</w:t>
      </w:r>
      <w:r>
        <w:rPr>
          <w:rFonts w:ascii="Times New Roman" w:hAnsi="Times New Roman"/>
          <w:sz w:val="18"/>
          <w:vertAlign w:val="superscript"/>
        </w:rPr>
        <w:t xml:space="preserve">o</w:t>
      </w:r>
      <w:r>
        <w:rPr>
          <w:rFonts w:ascii="Times New Roman" w:hAnsi="Times New Roman"/>
          <w:sz w:val="18"/>
        </w:rPr>
        <w:t xml:space="preserve"> 214/2025; LC n.</w:t>
      </w:r>
      <w:r>
        <w:rPr>
          <w:rFonts w:ascii="Times New Roman" w:hAnsi="Times New Roman"/>
          <w:sz w:val="18"/>
          <w:vertAlign w:val="superscript"/>
        </w:rPr>
        <w:t xml:space="preserve">o</w:t>
      </w:r>
      <w:r>
        <w:rPr>
          <w:rFonts w:ascii="Times New Roman" w:hAnsi="Times New Roman"/>
          <w:sz w:val="18"/>
        </w:rPr>
        <w:t xml:space="preserve"> 227/2026. Elaboração própria.</w:t>
      </w:r>
    </w:p>
    <w:p>
      <w:pPr>
        <w:pStyle w:val="BodyText"/>
      </w:pPr>
      <w:r>
        <w:t>A Tabela 2 revela variações expressivas entre as unidades da federação nos anos iniciais da transição. Em 2033, as maiores perdas relativas são observadas em Tocantins, com redução de 9,4%, Mato Grosso, com 9,0%, e Espírito Santo, com 7,6%. No outro extremo, os maiores ganhos ocorrem no Amazonas, com 9,1%, Rio de Janeiro, com 6,4%, e Rio Grande do Sul, com 6,1%. O Paraná ocupa posição intermediária: depois de variações próximas de zero entre 2029 e 2032 (de −0,12% a +0,13%), a projeção para 2033 fica aproximadamente 0,8% acima do cenário contrafactual sem reforma.</w:t>
      </w:r>
      <w:r>
        <w:rPr/>
      </w:r>
      <w:r>
        <w:rPr/>
      </w:r>
      <w:r>
        <w:rPr/>
      </w:r>
      <w:r>
        <w:rPr/>
      </w:r>
      <w:r>
        <w:rPr/>
      </w:r>
      <w:r>
        <w:rPr/>
      </w:r>
      <w:r>
        <w:rPr/>
      </w:r>
      <w:r>
        <w:rPr/>
      </w:r>
      <w:r>
        <w:rPr/>
      </w:r>
      <w:r>
        <w:rPr/>
      </w:r>
    </w:p>
    <w:p>
      <w:pPr>
        <w:pStyle w:val="BodyText"/>
      </w:pPr>
      <w:r>
        <w:t xml:space="preserve">A dispersão dos ganhos e perdas decorre sobretudo da regra de transição federativa. Em 2033, embora o ICMS já esteja extinto, 90% do IBS ainda é distribuído pelo componente histórico. Por isso, a variação da receita depende principalmente da diferença entre o coeficiente de participação na transição e a participação de referência de cada estado. O destino já afeta os resultados, mas ainda tem peso menor nesse horizonte.</w:t>
      </w:r>
    </w:p>
    <w:p>
      <w:pPr>
        <w:pStyle w:val="BodyText"/>
      </w:pPr>
      <w:r>
        <w:t xml:space="preserve">O Gráfico 3, apresentado no Anexo A, ajuda a visualizar esse padrão: o eixo vertical traz a variação percentual da receita estadual em 2033 e, em cada painel, o eixo horizontal compara um dos coeficientes com a participação estadual de referência de 2025.</w:t>
      </w:r>
    </w:p>
    <w:p>
      <w:pPr>
        <w:pStyle w:val="BodyText"/>
      </w:pPr>
      <w:r>
        <w:t xml:space="preserve">O painel (a) mostra associação elevada entre a variação da receita e a diferença relativa do coeficiente de participação na transição, com</w:t>
      </w:r>
      <w:r>
        <w:t xml:space="preserve"> </w:t>
      </w:r>
      <m:oMath>
        <m:sSup>
          <m:e>
            <m:r>
              <m:t>R</m:t>
            </m:r>
          </m:e>
          <m:sup>
            <m:r>
              <m:t>2</m:t>
            </m:r>
          </m:sup>
        </m:sSup>
      </m:oMath>
      <w:r>
        <w:t xml:space="preserve"> </w:t>
      </w:r>
      <w:r/>
      <w:r>
        <w:rPr/>
      </w:r>
      <w:r>
        <w:rPr/>
        <w:t>de aproximadamente 0,864</w:t>
      </w:r>
      <w:r>
        <w:rPr/>
      </w:r>
      <w:r>
        <w:rPr/>
        <w:t>. O painel (b), que repete o exercício para o coeficiente de destino, apresenta associação menor, com</w:t>
      </w:r>
      <w:r>
        <w:t xml:space="preserve"> </w:t>
      </w:r>
      <m:oMath>
        <m:sSup>
          <m:e>
            <m:r>
              <m:t>R</m:t>
            </m:r>
          </m:e>
          <m:sup>
            <m:r>
              <m:t>2</m:t>
            </m:r>
          </m:sup>
        </m:sSup>
      </m:oMath>
      <w:r>
        <w:t xml:space="preserve"> </w:t>
      </w:r>
      <w:r/>
      <w:r>
        <w:rPr/>
      </w:r>
      <w:r>
        <w:rPr/>
        <w:t>de aproximadamente 0,240</w:t>
      </w:r>
      <w:r>
        <w:rPr/>
      </w:r>
      <w:r>
        <w:rPr/>
        <w:t>. Esse resultado indica que a heterogeneidade das variações estaduais em 2033 é explicada principalmente pelo componente histórico. O destino já influencia os resultados, mas ainda tem peso menor nesse primeiro momento da transição.</w:t>
      </w:r>
    </w:p>
    <w:bookmarkEnd w:id="20"/>
    <w:bookmarkStart w:id="32" w:name="o-caso-do-paraná"/>
    <w:p>
      <w:pPr>
        <w:pStyle w:val="Heading2"/>
      </w:pPr>
      <w:r>
        <w:rPr>
          <w:rStyle w:val="SectionNumber"/>
        </w:rPr>
        <w:t xml:space="preserve">4.2</w:t>
      </w:r>
      <w:r>
        <w:tab/>
      </w:r>
      <w:r>
        <w:t xml:space="preserve">O caso do Paraná</w:t>
      </w:r>
    </w:p>
    <w:p>
      <w:pPr>
        <w:pStyle w:val="FirstParagraph"/>
      </w:pPr>
      <w:r>
        <w:t xml:space="preserve">A seção anterior indicou que o Paraná ocupa posição próxima à neutralidade no horizonte inicial da reforma. O resultado depende sobretudo da relação entre a participação corrente do Estado, o coeficiente de participação na transição e o coeficiente de destino. Esta subseção explicita primeiro a formação do componente histórico e, em seguida, apresenta a trajetória da receita estadual entre 2029 e 2033.</w:t>
      </w:r>
    </w:p>
    <w:bookmarkStart w:id="25" w:name="coeficiente-de-participação-na-transição"/>
    <w:p>
      <w:pPr>
        <w:pStyle w:val="Heading3"/>
      </w:pPr>
      <w:r>
        <w:rPr>
          <w:rStyle w:val="SectionNumber"/>
        </w:rPr>
        <w:t xml:space="preserve">4.2.1</w:t>
      </w:r>
      <w:r>
        <w:tab/>
      </w:r>
      <w:r>
        <w:t xml:space="preserve">Coeficiente de participação na transição</w:t>
      </w:r>
    </w:p>
    <w:p>
      <w:pPr>
        <w:pStyle w:val="FirstParagraph"/>
      </w:pPr>
      <w:r>
        <w:rPr/>
        <w:t>O Gráfico 1 compara a participação anual do governo estadual do Paraná na arrecadação nacional de referência com o coeficiente calculado pela média de 2019 a 2026, em que 2026 é estimado. A participação oscilou entre 3,9282% e 4,0995% de 2019 a 2025, e a estimativa para 2026 é de 3,8645%. Em 2025, ficou em 3,9360%, abaixo do coeficiente histórico de 3,9798%.</w:t>
      </w:r>
      <w:r>
        <w:rPr/>
      </w:r>
      <w:r>
        <w:rPr/>
      </w:r>
    </w:p>
    <w:bookmarkStart w:id="24" w:name="fig:cpt_pr"/>
    <w:p>
      <w:pPr>
        <w:pStyle w:val="Compact"/>
        <w:keepNext/>
        <w:jc w:val="center"/>
      </w:pPr>
      <w:r>
        <w:drawing>
          <wp:inline>
            <wp:extent cx="5184000" cy="2980798"/>
            <wp:effectExtent b="0" l="0" r="0" t="0"/>
            <wp:docPr descr="" title="" id="22" name="Picture"/>
            <a:graphic>
              <a:graphicData uri="http://schemas.openxmlformats.org/drawingml/2006/picture">
                <pic:pic>
                  <pic:nvPicPr>
                    <pic:cNvPr descr="/tmp/tmp75432f2y/grafico_cpt_pr_participacao_anual_2019_2025_v12.png" id="23" name="Picture"/>
                    <pic:cNvPicPr>
                      <a:picLocks noChangeArrowheads="1" noChangeAspect="1"/>
                    </pic:cNvPicPr>
                  </pic:nvPicPr>
                  <pic:blipFill>
                    <a:blip r:embed="rId21"/>
                    <a:stretch>
                      <a:fillRect/>
                    </a:stretch>
                  </pic:blipFill>
                  <pic:spPr bwMode="auto">
                    <a:xfrm>
                      <a:off x="0" y="0"/>
                      <a:ext cx="5184000" cy="2980798"/>
                    </a:xfrm>
                    <a:prstGeom prst="rect">
                      <a:avLst/>
                    </a:prstGeom>
                    <a:noFill/>
                    <a:ln w="9525">
                      <a:noFill/>
                      <a:headEnd/>
                      <a:tailEnd/>
                    </a:ln>
                  </pic:spPr>
                </pic:pic>
              </a:graphicData>
            </a:graphic>
          </wp:inline>
        </w:drawing>
      </w:r>
    </w:p>
    <w:p>
      <w:pPr>
        <w:pStyle w:val="ImageCaption"/>
      </w:pPr>
      <w:r>
        <w:rPr>
          <w:b/>
          <w:bCs/>
        </w:rPr>
        <w:t xml:space="preserve">Gráfico 1:</w:t>
      </w:r>
      <w:r>
        <w:t xml:space="preserve"> Participação anual do governo estadual do Paraná e coeficiente de participação na transição, </w:t>
      </w:r>
      <w:r>
        <w:rPr/>
        <w:t>2019 a 2026 (2026 estimado)</w:t>
      </w:r>
      <w:r>
        <w:rPr/>
      </w:r>
    </w:p>
    <w:p>
      <w:pPr>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A participação anual corresponde à receita estadual de referência do Paraná em cada exercício, atualizada pela mesma razão nacional utilizada no cálculo do coeficiente, dividida pela base nacional de 2025. A linha tracejada representa o coeficiente de participação na transição, </w:t>
      </w:r>
      <w:r>
        <w:rPr>
          <w:rFonts w:ascii="Times New Roman" w:hAnsi="Times New Roman"/>
          <w:sz w:val="18"/>
        </w:rPr>
        <w:t>igual à média das oito participações anuais. O ponto de 2026, em marcador vazado, é estimado a partir do RREO de janeiro a agosto e é provisório.</w:t>
      </w:r>
      <w:r>
        <w:rPr>
          <w:rFonts w:ascii="Times New Roman" w:hAnsi="Times New Roman"/>
          <w:sz w:val="18"/>
        </w:rPr>
      </w:r>
    </w:p>
    <w:p>
      <w:pPr>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SICONFI/STN, DCA Anexo I-C </w:t>
      </w:r>
      <w:r>
        <w:rPr>
          <w:rFonts w:ascii="Times New Roman" w:hAnsi="Times New Roman"/>
          <w:sz w:val="18"/>
        </w:rPr>
        <w:t>(2019 a 2025) e RREO (2026)</w:t>
      </w:r>
      <w:r>
        <w:rPr>
          <w:rFonts w:ascii="Times New Roman" w:hAnsi="Times New Roman"/>
          <w:sz w:val="18"/>
        </w:rPr>
        <w:t>. Elaboração própria.</w:t>
      </w:r>
    </w:p>
    <w:bookmarkEnd w:id="24"/>
    <w:p>
      <w:pPr>
        <w:pStyle w:val="BodyText"/>
      </w:pPr>
      <w:r>
        <w:rPr/>
        <w:t>Esse resultado é importante porque o coeficiente histórico permanece dominante no horizonte inicial. O Paraná recebe 3,9798% do bloco estadual distribuído segundo a transição, participação 1,1% superior à referência de 2025, de 3,9360%. Também acima da referência, em 4,9%, está o coeficiente estadual estimado pelo destino, de 4,1298%. Esses ganhos de coeficiente são, porém, em grande parte compensados pela retenção do Seguro-Receita, da qual o Estado não é beneficiário, e pela dedução do CGIBS, o que mantém a receita estadual próxima do cenário sem reforma. A memória de cálculo completa permanece na Tabela A.2.</w:t>
      </w:r>
      <w:r>
        <w:rPr/>
      </w:r>
      <w:r>
        <w:rPr/>
      </w:r>
      <w:r>
        <w:rPr/>
      </w:r>
      <w:r>
        <w:rPr/>
      </w:r>
      <w:r>
        <w:rPr/>
      </w:r>
      <w:r>
        <w:rPr/>
      </w:r>
    </w:p>
    <w:bookmarkEnd w:id="25"/>
    <w:bookmarkStart w:id="31" w:name="projeção-da-receita-estadual-2029-a-2033"/>
    <w:p>
      <w:pPr>
        <w:pStyle w:val="Heading3"/>
      </w:pPr>
      <w:r>
        <w:rPr>
          <w:rStyle w:val="SectionNumber"/>
        </w:rPr>
        <w:t xml:space="preserve">4.2.2</w:t>
      </w:r>
      <w:r>
        <w:tab/>
      </w:r>
      <w:r>
        <w:t xml:space="preserve">Projeção da receita estadual, 2029 a 2033</w:t>
      </w:r>
    </w:p>
    <w:p>
      <w:pPr>
        <w:pStyle w:val="FirstParagraph"/>
      </w:pPr>
      <w:r>
        <w:t xml:space="preserve">A Tabela 3 apresenta as projeções anuais e as compara com o cenário sem reforma.</w:t>
      </w:r>
    </w:p>
    <w:bookmarkStart w:id="26" w:name="tab:pr"/>
    <w:p>
      <w:pPr>
        <w:pStyle w:val="TableCaption"/>
      </w:pPr>
      <w:r>
        <w:rPr>
          <w:b/>
          <w:bCs/>
        </w:rPr>
        <w:t xml:space="preserve">Tabela 3:</w:t>
      </w:r>
      <w:r>
        <w:t xml:space="preserve"> Projeção da receita estadual do Paraná, 2029 a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3: Projeção da receita estadual do Paraná, 2029 a 2033"/>
      </w:tblPr>
      <w:tblGrid>
        <w:gridCol w:w="968"/>
        <w:gridCol w:w="2290"/>
        <w:gridCol w:w="2290"/>
        <w:gridCol w:w="1673"/>
        <w:gridCol w:w="1849"/>
      </w:tblGrid>
      <w:tr>
        <w:trPr>
          <w:tblHeader w:val="on"/>
          <w:cantSplit/>
          <w:tblHeader/>
        </w:trPr>
        <w:tc>
          <w:tcPr>
            <w:tcW w:type="dxa" w:w="968"/>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Ano</w:t>
            </w:r>
          </w:p>
        </w:tc>
        <w:tc>
          <w:tcPr>
            <w:tcW w:type="dxa" w:w="229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Cenário sem reforma</w:t>
            </w:r>
            <w:r>
              <w:rPr>
                <w:rFonts w:ascii="Times New Roman" w:hAnsi="Times New Roman"/>
                <w:b/>
                <w:sz w:val="18"/>
              </w:rPr>
              <w:br/>
            </w:r>
            <w:r>
              <w:rPr>
                <w:rFonts w:ascii="Times New Roman" w:hAnsi="Times New Roman"/>
                <w:b/>
                <w:bCs/>
                <w:sz w:val="18"/>
              </w:rPr>
              <w:t xml:space="preserve">R$ bi</w:t>
            </w:r>
          </w:p>
        </w:tc>
        <w:tc>
          <w:tcPr>
            <w:tcW w:type="dxa" w:w="229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Receita com reforma</w:t>
            </w:r>
            <w:r>
              <w:rPr>
                <w:rFonts w:ascii="Times New Roman" w:hAnsi="Times New Roman"/>
                <w:b/>
                <w:sz w:val="18"/>
              </w:rPr>
              <w:br/>
            </w:r>
            <w:r>
              <w:rPr>
                <w:rFonts w:ascii="Times New Roman" w:hAnsi="Times New Roman"/>
                <w:b/>
                <w:bCs/>
                <w:sz w:val="18"/>
              </w:rPr>
              <w:t xml:space="preserve">R$ bi</w:t>
            </w:r>
          </w:p>
        </w:tc>
        <w:tc>
          <w:tcPr>
            <w:tcW w:type="dxa" w:w="167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Variação (%)</w:t>
            </w:r>
          </w:p>
        </w:tc>
        <w:tc>
          <w:tcPr>
            <w:tcW w:type="dxa" w:w="184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Diferença</w:t>
            </w:r>
            <w:r>
              <w:rPr>
                <w:rFonts w:ascii="Times New Roman" w:hAnsi="Times New Roman"/>
                <w:b/>
                <w:sz w:val="18"/>
              </w:rPr>
              <w:br/>
            </w:r>
            <w:r>
              <w:rPr>
                <w:rFonts w:ascii="Times New Roman" w:hAnsi="Times New Roman"/>
                <w:b/>
                <w:bCs/>
                <w:sz w:val="18"/>
              </w:rPr>
              <w:t xml:space="preserve">R$ mi</w:t>
            </w:r>
          </w:p>
        </w:tc>
      </w:tr>
      <w:tr>
        <w:trPr>
          <w:cantSplit/>
        </w:trPr>
        <w:tc>
          <w:tcPr>
            <w:tcW w:type="dxa" w:w="968"/>
          </w:tcPr>
          <w:p>
            <w:pPr>
              <w:pStyle w:val="Compact"/>
              <w:spacing w:line="240" w:lineRule="auto" w:before="20" w:after="20"/>
              <w:ind w:firstLine="0"/>
              <w:jc w:val="left"/>
            </w:pPr>
            <w:r>
              <w:rPr>
                <w:rFonts w:ascii="Times New Roman" w:hAnsi="Times New Roman"/>
                <w:sz w:val="18"/>
              </w:rPr>
              <w:t xml:space="preserve">2029</w:t>
            </w:r>
          </w:p>
        </w:tc>
        <w:tc>
          <w:tcPr>
            <w:tcW w:type="dxa" w:w="2290"/>
          </w:tcPr>
          <w:p>
            <w:pPr>
              <w:pStyle w:val="Compact"/>
              <w:spacing w:line="240" w:lineRule="auto" w:before="20" w:after="20"/>
              <w:ind w:firstLine="0"/>
              <w:jc w:val="right"/>
            </w:pPr>
            <w:r>
              <w:rPr>
                <w:rFonts w:ascii="Times New Roman" w:hAnsi="Times New Roman"/>
                <w:sz w:val="18"/>
              </w:rPr>
              <w:t>43,31</w:t>
            </w:r>
          </w:p>
        </w:tc>
        <w:tc>
          <w:tcPr>
            <w:tcW w:type="dxa" w:w="2290"/>
          </w:tcPr>
          <w:p>
            <w:pPr>
              <w:pStyle w:val="Compact"/>
              <w:spacing w:line="240" w:lineRule="auto" w:before="20" w:after="20"/>
              <w:ind w:firstLine="0"/>
              <w:jc w:val="right"/>
            </w:pPr>
            <w:r>
              <w:rPr>
                <w:rFonts w:ascii="Times New Roman" w:hAnsi="Times New Roman"/>
                <w:sz w:val="18"/>
              </w:rPr>
              <w:t>43,26</w:t>
            </w:r>
          </w:p>
        </w:tc>
        <w:tc>
          <w:tcPr>
            <w:tcW w:type="dxa" w:w="1673"/>
          </w:tcPr>
          <w:p>
            <w:pPr>
              <w:pStyle w:val="Compact"/>
              <w:spacing w:line="240" w:lineRule="auto" w:before="20" w:after="20"/>
              <w:ind w:firstLine="0"/>
              <w:jc w:val="right"/>
            </w:pPr>
            <w:r>
              <w:rPr>
                <w:rFonts w:ascii="Times New Roman" w:hAnsi="Times New Roman"/>
                <w:sz w:val="18"/>
              </w:rPr>
              <w:t>−0,12%</w:t>
            </w:r>
          </w:p>
        </w:tc>
        <w:tc>
          <w:tcPr>
            <w:tcW w:type="dxa" w:w="1849"/>
          </w:tcPr>
          <w:p>
            <w:pPr>
              <w:pStyle w:val="Compact"/>
              <w:spacing w:line="240" w:lineRule="auto" w:before="20" w:after="20"/>
              <w:ind w:firstLine="0"/>
              <w:jc w:val="right"/>
            </w:pPr>
            <w:r>
              <w:rPr>
                <w:rFonts w:ascii="Times New Roman" w:hAnsi="Times New Roman"/>
                <w:sz w:val="18"/>
              </w:rPr>
              <w:t>−52</w:t>
            </w:r>
          </w:p>
        </w:tc>
      </w:tr>
      <w:tr>
        <w:trPr>
          <w:cantSplit/>
        </w:trPr>
        <w:tc>
          <w:tcPr>
            <w:tcW w:type="dxa" w:w="968"/>
          </w:tcPr>
          <w:p>
            <w:pPr>
              <w:pStyle w:val="Compact"/>
              <w:spacing w:line="240" w:lineRule="auto" w:before="20" w:after="20"/>
              <w:ind w:firstLine="0"/>
              <w:jc w:val="left"/>
            </w:pPr>
            <w:r>
              <w:rPr>
                <w:rFonts w:ascii="Times New Roman" w:hAnsi="Times New Roman"/>
                <w:sz w:val="18"/>
              </w:rPr>
              <w:t xml:space="preserve">2030</w:t>
            </w:r>
          </w:p>
        </w:tc>
        <w:tc>
          <w:tcPr>
            <w:tcW w:type="dxa" w:w="2290"/>
          </w:tcPr>
          <w:p>
            <w:pPr>
              <w:pStyle w:val="Compact"/>
              <w:spacing w:line="240" w:lineRule="auto" w:before="20" w:after="20"/>
              <w:ind w:firstLine="0"/>
              <w:jc w:val="right"/>
            </w:pPr>
            <w:r>
              <w:rPr>
                <w:rFonts w:ascii="Times New Roman" w:hAnsi="Times New Roman"/>
                <w:sz w:val="18"/>
              </w:rPr>
              <w:t>44,18</w:t>
            </w:r>
          </w:p>
        </w:tc>
        <w:tc>
          <w:tcPr>
            <w:tcW w:type="dxa" w:w="2290"/>
          </w:tcPr>
          <w:p>
            <w:pPr>
              <w:pStyle w:val="Compact"/>
              <w:spacing w:line="240" w:lineRule="auto" w:before="20" w:after="20"/>
              <w:ind w:firstLine="0"/>
              <w:jc w:val="right"/>
            </w:pPr>
            <w:r>
              <w:rPr>
                <w:rFonts w:ascii="Times New Roman" w:hAnsi="Times New Roman"/>
                <w:sz w:val="18"/>
              </w:rPr>
              <w:t>44,16</w:t>
            </w:r>
          </w:p>
        </w:tc>
        <w:tc>
          <w:tcPr>
            <w:tcW w:type="dxa" w:w="1673"/>
          </w:tcPr>
          <w:p>
            <w:pPr>
              <w:pStyle w:val="Compact"/>
              <w:spacing w:line="240" w:lineRule="auto" w:before="20" w:after="20"/>
              <w:ind w:firstLine="0"/>
              <w:jc w:val="right"/>
            </w:pPr>
            <w:r>
              <w:rPr>
                <w:rFonts w:ascii="Times New Roman" w:hAnsi="Times New Roman"/>
                <w:sz w:val="18"/>
              </w:rPr>
              <w:t>−0,04%</w:t>
            </w:r>
          </w:p>
        </w:tc>
        <w:tc>
          <w:tcPr>
            <w:tcW w:type="dxa" w:w="1849"/>
          </w:tcPr>
          <w:p>
            <w:pPr>
              <w:pStyle w:val="Compact"/>
              <w:spacing w:line="240" w:lineRule="auto" w:before="20" w:after="20"/>
              <w:ind w:firstLine="0"/>
              <w:jc w:val="right"/>
            </w:pPr>
            <w:r>
              <w:rPr>
                <w:rFonts w:ascii="Times New Roman" w:hAnsi="Times New Roman"/>
                <w:sz w:val="18"/>
              </w:rPr>
              <w:t>−16</w:t>
            </w:r>
          </w:p>
        </w:tc>
      </w:tr>
      <w:tr>
        <w:trPr>
          <w:cantSplit/>
        </w:trPr>
        <w:tc>
          <w:tcPr>
            <w:tcW w:type="dxa" w:w="968"/>
          </w:tcPr>
          <w:p>
            <w:pPr>
              <w:pStyle w:val="Compact"/>
              <w:spacing w:line="240" w:lineRule="auto" w:before="20" w:after="20"/>
              <w:ind w:firstLine="0"/>
              <w:jc w:val="left"/>
            </w:pPr>
            <w:r>
              <w:rPr>
                <w:rFonts w:ascii="Times New Roman" w:hAnsi="Times New Roman"/>
                <w:sz w:val="18"/>
              </w:rPr>
              <w:t xml:space="preserve">2031</w:t>
            </w:r>
          </w:p>
        </w:tc>
        <w:tc>
          <w:tcPr>
            <w:tcW w:type="dxa" w:w="2290"/>
          </w:tcPr>
          <w:p>
            <w:pPr>
              <w:pStyle w:val="Compact"/>
              <w:spacing w:line="240" w:lineRule="auto" w:before="20" w:after="20"/>
              <w:ind w:firstLine="0"/>
              <w:jc w:val="right"/>
            </w:pPr>
            <w:r>
              <w:rPr>
                <w:rFonts w:ascii="Times New Roman" w:hAnsi="Times New Roman"/>
                <w:sz w:val="18"/>
              </w:rPr>
              <w:t>45,15</w:t>
            </w:r>
          </w:p>
        </w:tc>
        <w:tc>
          <w:tcPr>
            <w:tcW w:type="dxa" w:w="2290"/>
          </w:tcPr>
          <w:p>
            <w:pPr>
              <w:pStyle w:val="Compact"/>
              <w:spacing w:line="240" w:lineRule="auto" w:before="20" w:after="20"/>
              <w:ind w:firstLine="0"/>
              <w:jc w:val="right"/>
            </w:pPr>
            <w:r>
              <w:rPr>
                <w:rFonts w:ascii="Times New Roman" w:hAnsi="Times New Roman"/>
                <w:sz w:val="18"/>
              </w:rPr>
              <w:t>45,17</w:t>
            </w:r>
          </w:p>
        </w:tc>
        <w:tc>
          <w:tcPr>
            <w:tcW w:type="dxa" w:w="1673"/>
          </w:tcPr>
          <w:p>
            <w:pPr>
              <w:pStyle w:val="Compact"/>
              <w:spacing w:line="240" w:lineRule="auto" w:before="20" w:after="20"/>
              <w:ind w:firstLine="0"/>
              <w:jc w:val="right"/>
            </w:pPr>
            <w:r>
              <w:rPr>
                <w:rFonts w:ascii="Times New Roman" w:hAnsi="Times New Roman"/>
                <w:sz w:val="18"/>
              </w:rPr>
              <w:t>+0,04%</w:t>
            </w:r>
          </w:p>
        </w:tc>
        <w:tc>
          <w:tcPr>
            <w:tcW w:type="dxa" w:w="1849"/>
          </w:tcPr>
          <w:p>
            <w:pPr>
              <w:pStyle w:val="Compact"/>
              <w:spacing w:line="240" w:lineRule="auto" w:before="20" w:after="20"/>
              <w:ind w:firstLine="0"/>
              <w:jc w:val="right"/>
            </w:pPr>
            <w:r>
              <w:rPr>
                <w:rFonts w:ascii="Times New Roman" w:hAnsi="Times New Roman"/>
                <w:sz w:val="18"/>
              </w:rPr>
              <w:t>+20</w:t>
            </w:r>
          </w:p>
        </w:tc>
      </w:tr>
      <w:tr>
        <w:trPr>
          <w:cantSplit/>
        </w:trPr>
        <w:tc>
          <w:tcPr>
            <w:tcW w:type="dxa" w:w="968"/>
          </w:tcPr>
          <w:p>
            <w:pPr>
              <w:pStyle w:val="Compact"/>
              <w:spacing w:line="240" w:lineRule="auto" w:before="20" w:after="20"/>
              <w:ind w:firstLine="0"/>
              <w:jc w:val="left"/>
            </w:pPr>
            <w:r>
              <w:rPr>
                <w:rFonts w:ascii="Times New Roman" w:hAnsi="Times New Roman"/>
                <w:sz w:val="18"/>
              </w:rPr>
              <w:t xml:space="preserve">2032</w:t>
            </w:r>
          </w:p>
        </w:tc>
        <w:tc>
          <w:tcPr>
            <w:tcW w:type="dxa" w:w="2290"/>
          </w:tcPr>
          <w:p>
            <w:pPr>
              <w:pStyle w:val="Compact"/>
              <w:spacing w:line="240" w:lineRule="auto" w:before="20" w:after="20"/>
              <w:ind w:firstLine="0"/>
              <w:jc w:val="right"/>
            </w:pPr>
            <w:r>
              <w:rPr>
                <w:rFonts w:ascii="Times New Roman" w:hAnsi="Times New Roman"/>
                <w:sz w:val="18"/>
              </w:rPr>
              <w:t>46,14</w:t>
            </w:r>
          </w:p>
        </w:tc>
        <w:tc>
          <w:tcPr>
            <w:tcW w:type="dxa" w:w="2290"/>
          </w:tcPr>
          <w:p>
            <w:pPr>
              <w:pStyle w:val="Compact"/>
              <w:spacing w:line="240" w:lineRule="auto" w:before="20" w:after="20"/>
              <w:ind w:firstLine="0"/>
              <w:jc w:val="right"/>
            </w:pPr>
            <w:r>
              <w:rPr>
                <w:rFonts w:ascii="Times New Roman" w:hAnsi="Times New Roman"/>
                <w:sz w:val="18"/>
              </w:rPr>
              <w:t>46,20</w:t>
            </w:r>
          </w:p>
        </w:tc>
        <w:tc>
          <w:tcPr>
            <w:tcW w:type="dxa" w:w="1673"/>
          </w:tcPr>
          <w:p>
            <w:pPr>
              <w:pStyle w:val="Compact"/>
              <w:spacing w:line="240" w:lineRule="auto" w:before="20" w:after="20"/>
              <w:ind w:firstLine="0"/>
              <w:jc w:val="right"/>
            </w:pPr>
            <w:r>
              <w:rPr>
                <w:rFonts w:ascii="Times New Roman" w:hAnsi="Times New Roman"/>
                <w:sz w:val="18"/>
              </w:rPr>
              <w:t>+0,13%</w:t>
            </w:r>
          </w:p>
        </w:tc>
        <w:tc>
          <w:tcPr>
            <w:tcW w:type="dxa" w:w="1849"/>
          </w:tcPr>
          <w:p>
            <w:pPr>
              <w:pStyle w:val="Compact"/>
              <w:spacing w:line="240" w:lineRule="auto" w:before="20" w:after="20"/>
              <w:ind w:firstLine="0"/>
              <w:jc w:val="right"/>
            </w:pPr>
            <w:r>
              <w:rPr>
                <w:rFonts w:ascii="Times New Roman" w:hAnsi="Times New Roman"/>
                <w:sz w:val="18"/>
              </w:rPr>
              <w:t>+59</w:t>
            </w:r>
          </w:p>
        </w:tc>
      </w:tr>
      <w:tr>
        <w:trPr>
          <w:cantSplit/>
        </w:trPr>
        <w:tc>
          <w:tcPr>
            <w:tcW w:type="dxa" w:w="968"/>
          </w:tcPr>
          <w:p>
            <w:pPr>
              <w:pStyle w:val="Compact"/>
              <w:spacing w:line="240" w:lineRule="auto" w:before="20" w:after="20"/>
              <w:ind w:firstLine="0"/>
              <w:jc w:val="left"/>
            </w:pPr>
            <w:r>
              <w:rPr>
                <w:rFonts w:ascii="Times New Roman" w:hAnsi="Times New Roman"/>
                <w:sz w:val="18"/>
              </w:rPr>
              <w:t xml:space="preserve">2033</w:t>
            </w:r>
          </w:p>
        </w:tc>
        <w:tc>
          <w:tcPr>
            <w:tcW w:type="dxa" w:w="2290"/>
          </w:tcPr>
          <w:p>
            <w:pPr>
              <w:pStyle w:val="Compact"/>
              <w:spacing w:line="240" w:lineRule="auto" w:before="20" w:after="20"/>
              <w:ind w:firstLine="0"/>
              <w:jc w:val="right"/>
            </w:pPr>
            <w:r>
              <w:rPr>
                <w:rFonts w:ascii="Times New Roman" w:hAnsi="Times New Roman"/>
                <w:sz w:val="18"/>
              </w:rPr>
              <w:t>47,16</w:t>
            </w:r>
          </w:p>
        </w:tc>
        <w:tc>
          <w:tcPr>
            <w:tcW w:type="dxa" w:w="2290"/>
          </w:tcPr>
          <w:p>
            <w:pPr>
              <w:pStyle w:val="Compact"/>
              <w:spacing w:line="240" w:lineRule="auto" w:before="20" w:after="20"/>
              <w:ind w:firstLine="0"/>
              <w:jc w:val="right"/>
            </w:pPr>
            <w:r>
              <w:rPr>
                <w:rFonts w:ascii="Times New Roman" w:hAnsi="Times New Roman"/>
                <w:sz w:val="18"/>
              </w:rPr>
              <w:t>47,52</w:t>
            </w:r>
          </w:p>
        </w:tc>
        <w:tc>
          <w:tcPr>
            <w:tcW w:type="dxa" w:w="1673"/>
          </w:tcPr>
          <w:p>
            <w:pPr>
              <w:pStyle w:val="Compact"/>
              <w:spacing w:line="240" w:lineRule="auto" w:before="20" w:after="20"/>
              <w:ind w:firstLine="0"/>
              <w:jc w:val="right"/>
            </w:pPr>
            <w:r>
              <w:rPr>
                <w:rFonts w:ascii="Times New Roman" w:hAnsi="Times New Roman"/>
                <w:sz w:val="18"/>
              </w:rPr>
              <w:t>+0,77%</w:t>
            </w:r>
          </w:p>
        </w:tc>
        <w:tc>
          <w:tcPr>
            <w:tcW w:type="dxa" w:w="1849"/>
          </w:tcPr>
          <w:p>
            <w:pPr>
              <w:pStyle w:val="Compact"/>
              <w:spacing w:line="240" w:lineRule="auto" w:before="20" w:after="20"/>
              <w:ind w:firstLine="0"/>
              <w:jc w:val="right"/>
            </w:pPr>
            <w:r>
              <w:rPr>
                <w:rFonts w:ascii="Times New Roman" w:hAnsi="Times New Roman"/>
                <w:sz w:val="18"/>
              </w:rPr>
              <w:t>+361</w:t>
            </w:r>
          </w:p>
        </w:tc>
      </w:tr>
    </w:tbl>
    <w:bookmarkEnd w:id="26"/>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Valores a preços constantes de 2025. A diferença corresponde à receita projetada sob a reforma menos a receita do cenário contrafactual sem reforma.</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SICONFI/STN; IBGE; EC n.</w:t>
      </w:r>
      <w:r>
        <w:rPr>
          <w:rFonts w:ascii="Times New Roman" w:hAnsi="Times New Roman"/>
          <w:sz w:val="18"/>
          <w:vertAlign w:val="superscript"/>
        </w:rPr>
        <w:t xml:space="preserve">o</w:t>
      </w:r>
      <w:r>
        <w:rPr>
          <w:rFonts w:ascii="Times New Roman" w:hAnsi="Times New Roman"/>
          <w:sz w:val="18"/>
        </w:rPr>
        <w:t xml:space="preserve"> 132/2023; LC n.</w:t>
      </w:r>
      <w:r>
        <w:rPr>
          <w:rFonts w:ascii="Times New Roman" w:hAnsi="Times New Roman"/>
          <w:sz w:val="18"/>
          <w:vertAlign w:val="superscript"/>
        </w:rPr>
        <w:t xml:space="preserve">o</w:t>
      </w:r>
      <w:r>
        <w:rPr>
          <w:rFonts w:ascii="Times New Roman" w:hAnsi="Times New Roman"/>
          <w:sz w:val="18"/>
        </w:rPr>
        <w:t xml:space="preserve"> 214/2025; LC n.</w:t>
      </w:r>
      <w:r>
        <w:rPr>
          <w:rFonts w:ascii="Times New Roman" w:hAnsi="Times New Roman"/>
          <w:sz w:val="18"/>
          <w:vertAlign w:val="superscript"/>
        </w:rPr>
        <w:t xml:space="preserve">o</w:t>
      </w:r>
      <w:r>
        <w:rPr>
          <w:rFonts w:ascii="Times New Roman" w:hAnsi="Times New Roman"/>
          <w:sz w:val="18"/>
        </w:rPr>
        <w:t xml:space="preserve"> 227/2026. Elaboração própria.</w:t>
      </w:r>
    </w:p>
    <w:p>
      <w:pPr>
        <w:pStyle w:val="BodyText"/>
      </w:pPr>
      <w:r>
        <w:rPr/>
        <w:t>A Tabela 3 indica pequenas perdas em 2029 e 2030 (R$ 52 milhões e R$ 16 milhões) e ganhos crescentes a partir de 2031, que chegam a cerca de R$ 361 milhões, ou 0,77%, em 2033. No acumulado de 2029 a 2033, a diferença é positiva em aproximadamente R$ 373 milhões. O resultado caracteriza uma transição praticamente neutra para o governo estadual no horizonte analisado, com ligeiro ganho.</w:t>
      </w:r>
      <w:r>
        <w:rPr/>
      </w:r>
      <w:r>
        <w:rPr/>
      </w:r>
      <w:r>
        <w:rPr/>
      </w:r>
      <w:r>
        <w:rPr/>
      </w:r>
    </w:p>
    <w:p>
      <w:pPr>
        <w:pStyle w:val="BodyText"/>
      </w:pPr>
      <w:r>
        <w:rPr/>
        <w:t>A mudança de sinal decorre da composição da receita. Entre 2029 e 2032, apenas a parcela substituída pelo IBS se afasta do cenário sem reforma. Em 2029, as vantagens dos coeficientes histórico (+0,09 ponto percentual do cenário sem reforma) e de destino (+0,09) são superadas pela retenção do Seguro-Receita (−0,10) e pela dedução do CGIBS (−0,20), e o saldo é de −0,12%. As vantagens crescem com a parcela do IBS, enquanto a dedução do CGIBS permanece em torno de −0,20; o saldo muda de sinal em 2031 e chega a +0,13% em 2032. Em 2033, o ICMS é extinto, o peso do componente histórico sobe de 80% para 90% e o limite de dedução do CGIBS cai para 0,20%: o componente histórico contribui com +1,00 ponto percentual e o destino com +0,47, contra −0,50 do Seguro-Receita e −0,20 do CGIBS, o que resulta em +0,77%.</w:t>
      </w:r>
      <w:r>
        <w:rPr/>
      </w:r>
      <w:r>
        <w:rPr/>
      </w:r>
      <w:r>
        <w:rPr/>
      </w:r>
      <w:r>
        <w:rPr/>
      </w:r>
      <w:r>
        <w:rPr/>
      </w:r>
      <w:r>
        <w:rPr/>
      </w:r>
    </w:p>
    <w:p>
      <w:pPr>
        <w:pStyle w:val="BodyText"/>
      </w:pPr>
      <w:r>
        <w:t>O Gráfico 2(a) examina a robustez dessa trajetória a duas escolhas de modelagem. A primeira é o ano-base do contrafactual, para o qual, além de 2025, consideram-se a estimativa de 2026, a média de 2019 a 2026, equivalente ao coeficiente histórico, e o ano de 2019. A segunda é o coeficiente de destino, que varia 8% para mais e para menos em torno do valor central. Em 2033, a variação projetada fica entre −2,4% e +3,4% no conjunto das combinações, e entre −1,6% e +2,6% quando apenas o ano-base muda. A trajetória central, de +0,8%, situa-se no interior dessa faixa, cujo limite superior corresponde à base de 2026, em que a participação do Estado é menor, e cujo limite inferior corresponde à base de 2019, em que é maior. A relativa neutralidade é, portanto, robusta em ordem de grandeza, mas o sinal do resultado depende da referência adotada, o que justifica apresentá-lo como uma faixa, e não como um valor pontual.</w:t>
      </w:r>
      <w:r>
        <w:rPr/>
      </w:r>
      <w:r>
        <w:rPr/>
      </w:r>
    </w:p>
    <w:p>
      <w:pPr>
        <w:pStyle w:val="BodyText"/>
      </w:pPr>
      <w:r>
        <w:rPr/>
        <w:t>A proximidade da neutralidade se mantém quando o cronograma legal é estendido. A partir de 2034, o peso do componente histórico cai dois pontos percentuais por ano, de 90% em 2033 para 2% em 2077, enquanto o destino passa de 10% para 98%. Mantidos os coeficientes estimados e as demais hipóteses do modelo, a receita estadual do Paraná passa de +0,77% em relação ao cenário sem reforma em 2033 para +0,6% em 2040, +0,3% em 2050, 0,0% em 2060, −0,3% em 2070 e −0,5% em 2077 (Gráfico 2, painel b). A trajetória decorre de o coeficiente estadual de destino, 4,1298%, superar a participação de referência de 2025, 3,9360%, em apenas 4,9%, diferença menor que a retenção de 5% do Seguro-Receita, da qual o Estado não é beneficiário, e que a dedução do CGIBS. Esse resultado de longo prazo é, contudo, o mais sensível à estimativa do destino: a incerteza de um desvio-padrão é de ±0,8 ponto percentual em 2033 e de ±7,8 pontos percentuais em 2077, de modo que os dados atuais não determinam o sinal da diferença no fim do cronograma.</w:t>
      </w:r>
      <w:r>
        <w:rPr/>
      </w:r>
      <w:r>
        <w:rPr/>
      </w:r>
      <w:r>
        <w:rPr/>
      </w:r>
      <w:r>
        <w:rPr/>
      </w:r>
      <w:r>
        <w:rPr/>
      </w:r>
      <w:r>
        <w:rPr/>
      </w:r>
    </w:p>
    <w:bookmarkStart w:id="30" w:name="fig:longo_pr"/>
    <w:p>
      <w:pPr>
        <w:pStyle w:val="Compact"/>
        <w:keepNext/>
        <w:jc w:val="center"/>
      </w:pPr>
      <w:r>
        <w:drawing>
          <wp:inline>
            <wp:extent cx="5184000" cy="2888401"/>
            <wp:effectExtent b="0" l="0" r="0" t="0"/>
            <wp:docPr descr="" title="" id="28" name="Picture"/>
            <a:graphic>
              <a:graphicData uri="http://schemas.openxmlformats.org/drawingml/2006/picture">
                <pic:pic>
                  <pic:nvPicPr>
                    <pic:cNvPr descr="../v20/fig/grafico_niveis_pr_2029_2077.png" id="29" name="Picture"/>
                    <pic:cNvPicPr>
                      <a:picLocks noChangeArrowheads="1" noChangeAspect="1"/>
                    </pic:cNvPicPr>
                  </pic:nvPicPr>
                  <pic:blipFill>
                    <a:blip r:embed="rId27"/>
                    <a:stretch>
                      <a:fillRect/>
                    </a:stretch>
                  </pic:blipFill>
                  <pic:spPr bwMode="auto">
                    <a:xfrm>
                      <a:off x="0" y="0"/>
                      <a:ext cx="5184000" cy="2888401"/>
                    </a:xfrm>
                    <a:prstGeom prst="rect">
                      <a:avLst/>
                    </a:prstGeom>
                    <a:noFill/>
                    <a:ln w="9525">
                      <a:noFill/>
                      <a:headEnd/>
                      <a:tailEnd/>
                    </a:ln>
                  </pic:spPr>
                </pic:pic>
              </a:graphicData>
            </a:graphic>
          </wp:inline>
        </w:drawing>
      </w:r>
    </w:p>
    <w:p>
      <w:pPr>
        <w:pStyle w:val="ImageCaption"/>
      </w:pPr>
      <w:r>
        <w:rPr>
          <w:b/>
          <w:bCs/>
        </w:rPr>
        <w:t xml:space="preserve">Gráfico 2:</w:t>
      </w:r>
      <w:r>
        <w:t xml:space="preserve"> Variação da receita estadual do Paraná em relação ao cenário sem reforma, 2029 a 2033 (sensibilidade), e receita estadual com e sem reforma até 2077</w:t>
      </w:r>
    </w:p>
    <w:p>
      <w:pPr>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No painel (a), a linha central usa 2025 como ano-base do contrafactual e o coeficiente de destino estimado; a faixa escura reúne os anos-base alternativos (estimativa de 2026, média de 2019 a 2026 e 2019) e a faixa clara, a combinação desses anos com variação de 8% no coeficiente de destino. O painel (b) estende mecanicamente o cronograma legal até 2077, com coeficientes e demais hipóteses constantes, e representa um exercício condicionado a essas hipóteses, não uma previsão macroeconômica de longo prazo. Os percentuais indicam a diferença em relação ao cenário sem reforma. Valores a preços constantes de 2025.</w:t>
      </w:r>
    </w:p>
    <w:p>
      <w:pPr>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EC n.</w:t>
      </w:r>
      <w:r>
        <w:rPr>
          <w:rFonts w:ascii="Times New Roman" w:hAnsi="Times New Roman"/>
          <w:sz w:val="18"/>
          <w:vertAlign w:val="superscript"/>
        </w:rPr>
        <w:t xml:space="preserve">o</w:t>
      </w:r>
      <w:r>
        <w:rPr>
          <w:rFonts w:ascii="Times New Roman" w:hAnsi="Times New Roman"/>
          <w:sz w:val="18"/>
        </w:rPr>
        <w:t xml:space="preserve"> 132/2023; LC n.</w:t>
      </w:r>
      <w:r>
        <w:rPr>
          <w:rFonts w:ascii="Times New Roman" w:hAnsi="Times New Roman"/>
          <w:sz w:val="18"/>
          <w:vertAlign w:val="superscript"/>
        </w:rPr>
        <w:t xml:space="preserve">o</w:t>
      </w:r>
      <w:r>
        <w:rPr>
          <w:rFonts w:ascii="Times New Roman" w:hAnsi="Times New Roman"/>
          <w:sz w:val="18"/>
        </w:rPr>
        <w:t xml:space="preserve"> 227/2026. Elaboração própria.</w:t>
      </w:r>
    </w:p>
    <w:bookmarkEnd w:id="30"/>
    <w:p>
      <w:pPr>
        <w:pStyle w:val="BodyText"/>
      </w:pPr>
      <w:r>
        <w:rPr/>
        <w:t>Até 2032, o ICMS residual ainda responde pela maior parcela da arrecadação estadual, enquanto cresce a participação do IBS. Em 2033, com a extinção do ICMS, dos R$ 47,52 bilhões projetados para o governo estadual, aproximadamente R$ 42,83 bilhões decorrem do componente histórico e R$ 4,69 bilhões do destino. Os valores já incorporam as retenções do CGIBS e do Seguro-Receita. O governo estadual do Paraná não recebe repasse do Seguro-Receita no período analisado.</w:t>
      </w:r>
      <w:r>
        <w:rPr/>
      </w:r>
      <w:r>
        <w:rPr/>
      </w:r>
      <w:r>
        <w:rPr/>
      </w:r>
      <w:r>
        <w:rPr/>
      </w:r>
    </w:p>
    <w:p>
      <w:pPr>
        <w:pStyle w:val="BodyText"/>
      </w:pPr>
      <w:r>
        <w:rPr/>
        <w:t>A comparação com Gobetti e Monteiro (2023) indica elevada proximidade entre as estimativas de destino. A correlação entre os coeficientes das 27 unidades da federação é de 0,9982. Para o Paraná, a participação total estimada neste trabalho é de 6,418%, frente a 6,839% no estudo do Ipea. A diferença remanescente, de 0,42 ponto percentual, decorre sobretudo da renda do Censo de 2022, que o Ipea utiliza. A PNAD Contínua, ao contrário, mostra queda da renda per capita relativa do Paraná, de 1,155 vez a média nacional em 2018 para 1,102 em 2022, e por isso o composto adotado fica abaixo da estimativa do Ipea.</w:t>
      </w:r>
      <w:r>
        <w:rPr/>
      </w:r>
      <w:r>
        <w:rPr/>
      </w:r>
      <w:r>
        <w:rPr/>
      </w:r>
      <w:r>
        <w:rPr/>
      </w:r>
    </w:p>
    <w:p>
      <w:pPr>
        <w:pStyle w:val="BodyText"/>
      </w:pPr>
      <w:r>
        <w:rPr/>
        <w:t>A diferença entre as estimativas de destino tem efeito limitado sobre a projeção de curto prazo: ao substituir apenas o coeficiente de destino pelo valor do Ipea, a receita estadual projetada para 2033 passa de R$ 47,52 bilhões para aproximadamente R$ 47,79 bilhões, aumento de 0,56%. Como 90% do IBS ainda é distribuído pelo componente histórico nesse ano, os resultados de 2029 a 2033 permanecem mais sensíveis ao coeficiente de participação na transição do que à escolha entre as duas estimativas de destino. A Tabela A.1, no Anexo A, complementa esse exercício com uma validação externa mais ampla, confrontando a base de 2025 e as projeções estaduais de 2033 deste estudo com as apresentadas pelo Ipea ao Confaz em setembro de 2026. Para o Paraná, a base de 2025 é praticamente idêntica (R$ 40,1 bilhões neste estudo e R$ 40,2 bilhões no Ipea, diferença de 0,1%), e a projeção de 2033 é de R$ 47,5 bilhões frente a R$ 48,1 bilhões (diferença de 1,2%). Como a substituição do coeficiente de destino pelo valor do Ipea eleva a estimativa para R$ 47,79 bilhões, cerca de 47% dessa diferença decorre da estimativa de destino, e o restante, de diferenças de método e de base entre as duas projeções.</w:t>
      </w:r>
      <w:r>
        <w:rPr/>
      </w:r>
      <w:r>
        <w:rPr/>
      </w:r>
      <w:r>
        <w:rPr/>
      </w:r>
      <w:r>
        <w:rPr/>
      </w:r>
      <w:r>
        <w:rPr/>
      </w:r>
      <w:r>
        <w:rPr/>
      </w:r>
      <w:r>
        <w:rPr/>
      </w:r>
      <w:r>
        <w:rPr/>
      </w:r>
    </w:p>
    <w:bookmarkEnd w:id="31"/>
    <w:bookmarkEnd w:id="32"/>
    <w:bookmarkStart w:id="37" w:name="efeitos-sobre-os-municípios-paranaenses"/>
    <w:p>
      <w:pPr>
        <w:pStyle w:val="Heading2"/>
      </w:pPr>
      <w:r>
        <w:rPr>
          <w:rStyle w:val="SectionNumber"/>
        </w:rPr>
        <w:t xml:space="preserve">4.3</w:t>
      </w:r>
      <w:r>
        <w:tab/>
      </w:r>
      <w:r>
        <w:t xml:space="preserve">Efeitos sobre os municípios paranaenses</w:t>
      </w:r>
    </w:p>
    <w:p>
      <w:pPr>
        <w:pStyle w:val="FirstParagraph"/>
      </w:pPr>
      <w:r>
        <w:t xml:space="preserve">O principal resultado para o Paraná é a assimetria entre as duas esferas. Enquanto o governo estadual permanece próximo da neutralidade, o conjunto dos 399 municípios apresenta receita projetada de </w:t>
      </w:r>
      <w:r>
        <w:rPr/>
      </w:r>
      <w:r>
        <w:rPr/>
        <w:t>R$ 24,37 bilhões em 2033, frente a R$ 25,10 bilhões</w:t>
      </w:r>
      <w:r>
        <w:rPr/>
      </w:r>
      <w:r>
        <w:rPr/>
        <w:t xml:space="preserve"> no cenário sem reforma. A diferença é de </w:t>
      </w:r>
      <w:r>
        <w:rPr/>
      </w:r>
      <w:r>
        <w:rPr/>
        <w:t>aproximadamente R$ 0,74 bilhão, ou</w:t>
      </w:r>
      <w:r>
        <w:rPr/>
      </w:r>
      <w:r>
        <w:rPr/>
      </w:r>
      <w:r>
        <w:t xml:space="preserve"> </w:t>
      </w:r>
      <m:oMath>
        <m:r>
          <m:rPr>
            <m:sty m:val="p"/>
          </m:rPr>
          <m:t>−</m:t>
        </m:r>
        <m:r>
          <m:t>2</m:t>
        </m:r>
        <m:r>
          <m:rPr>
            <m:sty m:val="p"/>
          </m:rPr>
          <m:t>,</m:t>
        </m:r>
        <m:r>
          <m:t>94</m:t>
        </m:r>
        <m:r>
          <m:rPr>
            <m:sty m:val="p"/>
          </m:rPr>
          <m:t>%</m:t>
        </m:r>
      </m:oMath>
      <w:r>
        <w:t xml:space="preserve">. Entre 2029 e 2033, a perda municipal acumulada alcança </w:t>
      </w:r>
      <w:r>
        <w:rPr/>
      </w:r>
      <w:r>
        <w:rPr/>
        <w:t>cerca de R$ 1,28 bilhão</w:t>
      </w:r>
      <w:r>
        <w:rPr/>
      </w:r>
      <w:r>
        <w:rPr/>
        <w:t xml:space="preserve">. Somadas as duas esferas, a receita dos entes paranaenses fica </w:t>
      </w:r>
      <w:r>
        <w:rPr/>
      </w:r>
      <w:r>
        <w:rPr/>
        <w:t>aproximadamente 0,52% abaixo</w:t>
      </w:r>
      <w:r>
        <w:rPr/>
      </w:r>
      <w:r>
        <w:rPr/>
        <w:t xml:space="preserve"> do cenário sem reforma em 2033.</w:t>
      </w:r>
    </w:p>
    <w:p>
      <w:pPr>
        <w:pStyle w:val="BodyText"/>
      </w:pPr>
      <w:r>
        <w:rPr/>
        <w:t>O Seguro-Receita reduz parte das perdas, mas não altera essa conclusão agregada. Em 2033, 7 municípios paranaenses recebem aproximadamente R$ 234,9 milhões do mecanismo, frente a uma diferença agregada municipal de cerca de R$ 0,74 bilhão naquele ano. No acumulado de 2029 a 2033, os repasses municipais do Seguro-Receita somam aproximadamente R$ 562,3 milhões.</w:t>
      </w:r>
      <w:r>
        <w:rPr/>
      </w:r>
      <w:r>
        <w:rPr/>
      </w:r>
      <w:r>
        <w:rPr/>
      </w:r>
      <w:r>
        <w:rPr/>
      </w:r>
      <w:r>
        <w:rPr/>
      </w:r>
      <w:r>
        <w:rPr/>
      </w:r>
    </w:p>
    <w:p>
      <w:pPr>
        <w:pStyle w:val="BodyText"/>
      </w:pPr>
      <w:r>
        <w:t>Para examinar a heterogeneidade entre municípios, a análise considera os 399 municípios do Estado. Em 2033, 229 apresentam receita inferior ao cenário sem reforma e 170 registram resultado positivo; a mediana da variação é de −1,2%. Os 229 municípios que perdem em 2033 acumulam perda de R$ 2,13 bilhões entre 2029 e 2033, contra ganho acumulado de R$ 0,85 bilhão dos demais, o que resulta na perda líquida de R$ 1,28 bilhão. O Mapa 1 mostra que perdas e ganhos não se concentram em uma única região do Estado. Como teste de robustez, restringir o conjunto aos 187 municípios com população média de pelo menos 10 mil habitantes, ISS observado diretamente em 2025 e em ao menos cinco exercícios e sem pendência de validação não altera o quadro: 116 perdem, 71 ganham e a mediana é de −1,6%.</w:t>
      </w:r>
      <w:r>
        <w:rPr/>
      </w:r>
      <w:r>
        <w:rPr/>
      </w:r>
      <w:r>
        <w:rPr/>
      </w:r>
      <w:r>
        <w:rPr/>
      </w:r>
      <w:r>
        <w:rPr/>
      </w:r>
      <w:r>
        <w:rPr/>
      </w:r>
    </w:p>
    <w:bookmarkStart w:id="36" w:name="fig:mapa_mun"/>
    <w:p>
      <w:pPr>
        <w:pStyle w:val="Compact"/>
        <w:keepNext/>
        <w:jc w:val="center"/>
      </w:pPr>
      <w:r>
        <w:drawing>
          <wp:inline>
            <wp:extent cx="5760000" cy="3810462"/>
            <wp:effectExtent b="0" l="0" r="0" t="0"/>
            <wp:docPr descr="" title="" id="34" name="Picture"/>
            <a:graphic>
              <a:graphicData uri="http://schemas.openxmlformats.org/drawingml/2006/picture">
                <pic:pic>
                  <pic:nvPicPr>
                    <pic:cNvPr descr="../v20/fig/mapa_variacao_municipal_pr_2033.png" id="35" name="Picture"/>
                    <pic:cNvPicPr>
                      <a:picLocks noChangeArrowheads="1" noChangeAspect="1"/>
                    </pic:cNvPicPr>
                  </pic:nvPicPr>
                  <pic:blipFill>
                    <a:blip r:embed="rId33"/>
                    <a:stretch>
                      <a:fillRect/>
                    </a:stretch>
                  </pic:blipFill>
                  <pic:spPr bwMode="auto">
                    <a:xfrm>
                      <a:off x="0" y="0"/>
                      <a:ext cx="5760000" cy="3810462"/>
                    </a:xfrm>
                    <a:prstGeom prst="rect">
                      <a:avLst/>
                    </a:prstGeom>
                    <a:noFill/>
                    <a:ln w="9525">
                      <a:noFill/>
                      <a:headEnd/>
                      <a:tailEnd/>
                    </a:ln>
                  </pic:spPr>
                </pic:pic>
              </a:graphicData>
            </a:graphic>
          </wp:inline>
        </w:drawing>
      </w:r>
    </w:p>
    <w:p>
      <w:pPr>
        <w:pStyle w:val="ImageCaption"/>
      </w:pPr>
      <w:r>
        <w:rPr>
          <w:b/>
          <w:bCs/>
        </w:rPr>
        <w:t xml:space="preserve">Mapa 1:</w:t>
      </w:r>
      <w:r>
        <w:t xml:space="preserve"> Variação projetada da receita dos municípios paranaenses em 2033</w:t>
      </w:r>
    </w:p>
    <w:p>
      <w:pPr>
        <w:spacing w:line="240" w:lineRule="auto" w:before="40" w:after="0"/>
        <w:ind w:firstLine="0"/>
        <w:jc w:val="both"/>
      </w:pPr>
      <w:r>
        <w:rPr>
          <w:rFonts w:ascii="Times New Roman" w:hAnsi="Times New Roman"/>
          <w:i/>
          <w:iCs/>
          <w:sz w:val="18"/>
        </w:rPr>
        <w:t>Nota: Variação da receita projetada sob a reforma em relação ao cenário sem reforma. As cores indicam classes de variação e a legenda traz, entre parênteses, o número de municípios de cada classe. O mapa utiliza os 399 municípios do Estado.</w:t>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p>
    <w:p>
      <w:pPr>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Malha municipal do IBGE, 2024; SICONFI/STN; Portal da Transparência do Estado do Paraná; TCE-PR/SIM-AM; IBGE. Elaboração própria.</w:t>
      </w:r>
    </w:p>
    <w:bookmarkEnd w:id="36"/>
    <w:p>
      <w:pPr>
        <w:pStyle w:val="BodyText"/>
      </w:pPr>
      <w:r>
        <w:t>Em valores absolutos, as maiores perdas em 2033 concentram-se nos municípios grandes: Curitiba (−R$ 276,4 milhões; −6,0%), Paranaguá (−R$ 86,2 milhões; −11,9%), Ponta Grossa (−R$ 68,7 milhões; −9,6%), Cascavel (−R$ 53,5 milhões; −8,0%) e Maringá (−R$ 50,3 milhões; −5,3%). Curitiba, por exemplo, tem receita projetada de aproximadamente R$ 4,35 bilhões em 2033, frente a R$ 4,62 bilhões no cenário sem reforma. Em termos percentuais, as maiores perdas ocorrem em municípios menores: General Carneiro (−24,1%), Porto Amazonas (−22,7%), Mato Rico (−22,3%), Campina do Simão (−21,2%) e Porto Barreiro (−18,0%). General Carneiro, por exemplo, combina receita de referência de 2025 de aproximadamente R$ 26,9 milhões com média histórica de R$ 20,0 milhões, e Paranaguá apresenta coeficiente de destino substancialmente inferior à sua participação histórica, o que reforça a perda à medida que o destino ganha peso. Entre os cinco maiores percentuais de perda, Mato Rico tem ISS incompleto na DCA (†, Tabela B.3), e a base pequena desse município amplia o percentual.</w:t>
      </w:r>
      <w:r>
        <w:rPr/>
      </w:r>
      <w:r>
        <w:rPr/>
      </w:r>
      <w:r>
        <w:rPr/>
      </w:r>
      <w:r>
        <w:rPr/>
      </w:r>
      <w:r>
        <w:rPr/>
      </w:r>
      <w:r>
        <w:rPr/>
      </w:r>
    </w:p>
    <w:p>
      <w:pPr>
        <w:pStyle w:val="BodyText"/>
      </w:pPr>
      <w:r>
        <w:t>No extremo oposto, os maiores ganhos em valores absolutos são Araucária (+R$ 114,4 milhões; +9,9%), Pontal do Paraná (+R$ 23,6 milhões; +111,0%), Telêmaco Borba (+R$ 20,2 milhões; +12,4%), Ortigueira (+R$ 19,0 milhões; +11,0%) e Saudade do Iguaçu (+R$ 17,4 milhões; +56,8%). Em termos percentuais, destacam-se Pontal do Paraná (+111,0%), Saudade do Iguaçu (+56,8%), São Carlos do Ivaí (+31,3%), Andirá (+28,0%) e Figueira (+22,2%). Pontal do Paraná é um caso particularmente marcado pela diferença entre a base de 2025, cerca de R$ 18,1 milhões, e a média histórica, aproximadamente R$ 36,1 milhões. Os valores elevados de cota-parte observados em 2020 e 2021 aparecem tanto na DCA quanto na fonte estadual, razão pela qual o resultado é preservado na base auditada.</w:t>
      </w:r>
      <w:r>
        <w:rPr/>
      </w:r>
      <w:r>
        <w:rPr/>
      </w:r>
      <w:r>
        <w:rPr/>
      </w:r>
      <w:r>
        <w:rPr/>
      </w:r>
      <w:r>
        <w:rPr/>
      </w:r>
      <w:r>
        <w:rPr/>
      </w:r>
      <w:r>
        <w:rPr/>
      </w:r>
      <w:r>
        <w:rPr/>
      </w:r>
      <w:r>
        <w:rPr/>
      </w:r>
      <w:r>
        <w:rPr/>
      </w:r>
      <w:r>
        <w:rPr/>
      </w:r>
      <w:r>
        <w:rPr/>
      </w:r>
    </w:p>
    <w:p>
      <w:pPr>
        <w:pStyle w:val="BodyText"/>
      </w:pPr>
      <w:r>
        <w:t>A posição histórica continua sendo o principal fator associado à heterogeneidade municipal no início da transição: a diferença relativa do coeficiente histórico em relação à participação de 2025 apresenta</w:t>
      </w:r>
      <w:r>
        <w:t xml:space="preserve"> </w:t>
      </w:r>
      <m:oMath>
        <m:sSup>
          <m:e>
            <m:r>
              <m:t>R</m:t>
            </m:r>
          </m:e>
          <m:sup>
            <m:r>
              <m:t>2</m:t>
            </m:r>
          </m:sup>
        </m:sSup>
      </m:oMath>
      <w:r>
        <w:t xml:space="preserve"> </w:t>
      </w:r>
      <w:r/>
      <w:r>
        <w:rPr/>
      </w:r>
      <w:r>
        <w:rPr/>
        <w:t>de 0,816</w:t>
      </w:r>
      <w:r>
        <w:rPr/>
        <w:t xml:space="preserve"> com a variação projetada, </w:t>
      </w:r>
      <w:r>
        <w:rPr/>
        <w:t>frente a 0,204</w:t>
      </w:r>
      <w:r>
        <w:rPr/>
      </w:r>
      <w:r>
        <w:rPr/>
        <w:t xml:space="preserve"> para o coeficiente de destino. A leitura muda gradualmente em horizontes posteriores, quando a regra do destino passa a ter maior peso.</w:t>
      </w:r>
    </w:p>
    <w:p>
      <w:pPr>
        <w:pStyle w:val="BodyText"/>
      </w:pPr>
      <w:r>
        <w:t xml:space="preserve">A auditoria das fontes mostrou, contudo, que parte dos valores extremos pode refletir inconsistências de registro e não efeitos econômicos da reforma. Na comparação entre a DCA municipal e os repasses registrados pelo Estado, 94,7% das 2.793 observações município-ano apresentam diferença de até 5%, mas um conjunto restrito de ausências e divergências materiais altera de forma relevante alguns resultados. Por essa razão, o cenário principal utiliza a base reconciliada, e o Anexo B apresenta a comparação entre metodologias e a lista ampliada dos maiores ganhos e perdas. O Anexo C resume os resultados do Seguro-Receita.</w:t>
      </w:r>
    </w:p>
    <w:p>
      <w:pPr>
        <w:pStyle w:val="BodyText"/>
      </w:pPr>
      <w:r>
        <w:rPr/>
        <w:t>A transição também altera a distribuição da receita por habitante entre os municípios. A Tabela D.1, apresentada no Anexo D, acompanha a receita per capita dos 399 municípios do Estado. A razão entre a maior e a menor receita per capita recua de 14,6 em 2025 para 13,2 em 2033 e cai para 7,7 em 2050 e 4,6 em 2077, enquanto o índice de Gini passa de 0,232 em 2025 para 0,167 em 2050 e 0,112 em 2077. Excluídos os 31 municípios com ISS incompleto, a razão cai de 13,5 para 4,6 e o Gini, de 0,228 para 0,111, de modo que o resultado não depende deles. A convergência ocorre porque, à medida que o destino ganha peso, a receita passa a acompanhar a população e a renda do município, e não sua participação histórica, o que eleva sobretudo os municípios de menor receita por habitante.</w:t>
      </w:r>
      <w:r>
        <w:rPr/>
      </w:r>
      <w:r>
        <w:rPr/>
      </w:r>
    </w:p>
    <w:bookmarkEnd w:id="37"/>
    <w:bookmarkEnd w:id="38"/>
    <w:bookmarkStart w:id="39" w:name="discussão"/>
    <w:p>
      <w:pPr>
        <w:pStyle w:val="Heading1"/>
      </w:pPr>
      <w:r>
        <w:rPr>
          <w:rStyle w:val="SectionNumber"/>
        </w:rPr>
        <w:t xml:space="preserve">5</w:t>
      </w:r>
      <w:r>
        <w:tab/>
      </w:r>
      <w:r>
        <w:t xml:space="preserve">Discussão</w:t>
      </w:r>
    </w:p>
    <w:p>
      <w:pPr>
        <w:pStyle w:val="FirstParagraph"/>
      </w:pPr>
      <w:r>
        <w:t xml:space="preserve">Os resultados mostram que a transição para o IBS altera gradualmente os determinantes da receita subnacional no Paraná. Nos primeiros anos, o componente histórico ainda exerce papel dominante e preserva parte da distribuição observada antes da reforma. Essa característica ajuda a explicar a relativa estabilidade da receita estadual até 2033 e, ao mesmo tempo, a maior heterogeneidade observada entre os municípios. A reforma começa, portanto, por uma combinação entre a estrutura anterior de arrecadação e os novos critérios de repartição, cuja importância muda ao longo do tempo.</w:t>
      </w:r>
    </w:p>
    <w:p>
      <w:pPr>
        <w:pStyle w:val="BodyText"/>
      </w:pPr>
      <w:r>
        <w:rPr/>
        <w:t>Para o governo estadual, tanto a participação histórica quanto a estimada pelo destino superam a participação de referência de 2025, mas esses ganhos de coeficiente são em grande parte absorvidos pela retenção do Seguro-Receita, da qual o Estado não é beneficiário, e pela dedução do CGIBS. Por isso, a trajetória permanece próxima da neutralidade ao longo do cronograma, com ganho de 0,8% em 2033 e perda de 0,5% em 2077. A conclusão de longo prazo depende, porém, de um coeficiente de destino que só será observado com o IBS em operação, e sua incerteza é grande diante do tamanho do efeito. O caso paranaense ilustra, assim, como o resultado de uma transição longa pode depender mais da qualidade da estimativa do destino do que das regras de transição, que já são conhecidas.</w:t>
      </w:r>
    </w:p>
    <w:p>
      <w:pPr>
        <w:pStyle w:val="BodyText"/>
      </w:pPr>
      <w:r>
        <w:t xml:space="preserve">Nos municípios, a redistribuição aparece mais cedo e de forma mais dispersa. A perda agregada em 2033 convive com situações locais bastante diferentes, incluindo municípios com perdas elevadas e outros com ganhos expressivos. O Seguro-Receita reduz parte dessa dispersão, mas preserva diferenças relevantes na capacidade financeira dos governos locais. Para o planejamento fiscal, esse resultado recomenda olhar além dos valores consolidados do Estado e acompanhar como os diferentes componentes da repartição afetam individualmente os municípios.</w:t>
      </w:r>
    </w:p>
    <w:p>
      <w:pPr>
        <w:pStyle w:val="BodyText"/>
      </w:pPr>
      <w:r>
        <w:t xml:space="preserve">A transição também modifica a forma de projetar a receita dos governos subnacionais. Com o IBS, a arrecadação de cada ente passa a depender da evolução do agregado nacional, dos coeficientes histórico e de destino estimados, do Seguro-Receita e das demais regras de repartição. A extrapolação das séries locais de ICMS e ISS passa a fornecer apenas parte da informação necessária para projetar a receita futura. O planejamento orçamentário exigirá, assim, atualização periódica desses parâmetros e cenários que combinem trajetória macroeconômica e regras de repartição.</w:t>
      </w:r>
    </w:p>
    <w:p>
      <w:pPr>
        <w:pStyle w:val="BodyText"/>
      </w:pPr>
      <w:r>
        <w:t>Esse novo desenho atribui maior importância à qualidade das informações fiscais. No exercício municipal, a cota-parte do ICMS declarada na DCA/SICONFI foi confrontada com os repasses registrados pelo Estado do Paraná, enquanto os registros de ISS foram comparados com informações do PIT/SIM-AM do TCE-PR quando surgiram divergências materiais. A reconciliação entre essas fontes alterou de forma relevante a projeção de um conjunto de municípios e chegou a mudar o sinal do resultado em 104 dos 399 municípios. Quando a série histórica passa a integrar diretamente um coeficiente de repartição, erros de classificação, lacunas ou diferenças entre fontes deixam de ser apenas um problema estatístico e podem produzir consequências distributivas.</w:t>
      </w:r>
      <w:r>
        <w:rPr/>
      </w:r>
      <w:r>
        <w:rPr/>
      </w:r>
    </w:p>
    <w:p>
      <w:pPr>
        <w:pStyle w:val="BodyText"/>
      </w:pPr>
      <w:r>
        <w:t>A LC n.o 227/2026 determina que a receita média de referência dos estados considere, além do ICMS, determinadas contribuições destinadas a fundos estaduais vinculadas à concessão de diferimentos, regimes especiais ou outros tratamentos diferenciados. A estimativa deste estudo incorpora apenas as contribuições do Amazonas, as únicas verificáveis em base pública, e por isso pode subestimar a participação histórica dos estados cujos fundos ainda dependem de informação oficial. Como mecanismos desse tipo não estão necessariamente presentes com a mesma intensidade em todas as unidades da federação, sua identificação pode melhorar a posição relativa do Paraná no coeficiente histórico caso tenham peso proporcionalmente maior no Estado. Esse aspecto amplia o papel do Tesouro estadual durante a preparação para a transição. A legislação exige que os estados informem ao CGIBS as normas, os valores e a documentação das contribuições que pretendam incorporar à receita de referência, além de prever a divulgação dos cálculos e a possibilidade de contestação dos coeficientes. O trabalho de mapear receitas elegíveis, confrontar registros fiscais e contábeis e documentar sua origem passa a ter uma consequência direta sobre a participação do Estado na parcela histórica do IBS.</w:t>
      </w:r>
      <w:r>
        <w:rPr>
          <w:vertAlign w:val="superscript"/>
        </w:rPr>
      </w:r>
      <w:r/>
    </w:p>
    <w:p>
      <w:pPr>
        <w:pStyle w:val="BodyText"/>
      </w:pPr>
      <w:r>
        <w:t xml:space="preserve">A terceira implicação é a mudança no desenho da administração tributária. Nos termos do art. 156-B da Constituição, com a redação da Emenda Constitucional n.</w:t>
      </w:r>
      <w:r>
        <w:rPr>
          <w:vertAlign w:val="superscript"/>
        </w:rPr>
        <w:t xml:space="preserve">o</w:t>
      </w:r>
      <w:r>
        <w:t xml:space="preserve"> 132/2023, o Comitê Gestor arrecada o imposto, realiza as compensações e distribui a receita entre os entes, enquanto a fiscalização, o lançamento e a cobrança permanecem com as administrações tributárias de estados e municípios, de forma coordenada pelo Comitê. Para o Estado, isso exige operar com sistemas compartilhados e confrontar os valores apurados, retidos e distribuídos com a receita esperada, o que reforça o papel do Tesouro na gestão da informação.</w:t>
      </w:r>
    </w:p>
    <w:p>
      <w:pPr>
        <w:pStyle w:val="BodyText"/>
      </w:pPr>
      <w:r>
        <w:t xml:space="preserve">A quarta implicação aparece na política de desenvolvimento. A redução progressiva do espaço para incentivos vinculados ao ICMS altera um instrumento tradicional de atração de investimentos, enquanto o destino reduz a associação direta entre atividade produtiva localizada e apropriação da receita tributária. A atividade econômica continua relevante por seus efeitos sobre emprego, renda, produtividade e cadeias locais, mas a estratégia estadual passa a depender menos da captura tributária na origem. O Fundo Nacional de Desenvolvimento Regional amplia, nesse contexto, a importância de instrumentos voltados a infraestrutura, atividades produtivas e inovação. A transição desloca, assim, parte da política de desenvolvimento para a seleção de projetos capazes de sustentar ganhos de produtividade e competitividade no longo prazo.</w:t>
      </w:r>
    </w:p>
    <w:p>
      <w:pPr>
        <w:pStyle w:val="BodyText"/>
      </w:pPr>
      <w:r>
        <w:t xml:space="preserve">O avanço do destino também altera a relação entre atividade econômica localizada e capacidade fiscal. A produção continuará relevante para emprego, renda, produtividade, investimento e formação de cadeias locais, enquanto a apropriação da receita do IBS acompanhará progressivamente o local do consumo. </w:t>
      </w:r>
      <w:r>
        <w:rPr/>
        <w:t>Para o Paraná, o coeficiente estimado de destino supera a participação atual, mas essa vantagem é absorvida pelo Seguro-Receita e pelo CGIBS, de modo que a mudança de critério tende a ser neutra para o Estado, embora essa conclusão dependa da estimativa do destino.</w:t>
      </w:r>
      <w:r>
        <w:rPr/>
        <w:t xml:space="preserve"> Nos municípios, a heterogeneidade observada indica que a mesma mudança produzirá efeitos distintos de acordo com a posição histórica, a população e a capacidade de consumo de cada território.</w:t>
      </w:r>
    </w:p>
    <w:p>
      <w:pPr>
        <w:pStyle w:val="BodyText"/>
      </w:pPr>
      <w:r>
        <w:t xml:space="preserve">Em conjunto, os resultados apontam para uma agenda de adaptação que começa antes da entrada plena do IBS. A transição oferece ao Paraná tempo para rever métodos de previsão, melhorar a qualidade das bases que alimentarão os coeficientes e preparar novos instrumentos de desenvolvimento. Essas tarefas têm um elemento comum: a receita futura dependerá menos da simples continuidade do sistema atual e mais da capacidade do Estado de compreender, acompanhar e atuar sobre as novas regras de repartição. Nesse sentido, a reforma amplia o papel do Tesouro tanto na gestão da informação quanto na preparação da estratégia fiscal de longo prazo.</w:t>
      </w:r>
    </w:p>
    <w:bookmarkEnd w:id="39"/>
    <w:bookmarkStart w:id="40" w:name="considerações-finais"/>
    <w:p>
      <w:pPr>
        <w:pStyle w:val="Heading1"/>
      </w:pPr>
      <w:r>
        <w:rPr>
          <w:rStyle w:val="SectionNumber"/>
        </w:rPr>
        <w:t xml:space="preserve">6</w:t>
      </w:r>
      <w:r>
        <w:tab/>
      </w:r>
      <w:r>
        <w:t xml:space="preserve">Considerações finais</w:t>
      </w:r>
    </w:p>
    <w:p>
      <w:pPr>
        <w:pStyle w:val="FirstParagraph"/>
      </w:pPr>
      <w:r>
        <w:t xml:space="preserve">Este artigo estimou os efeitos da transição do ICMS e do ISS para o IBS sobre as receitas do governo estadual e dos municípios do Paraná. O exercício compara as projeções sob a reforma com um cenário contrafactual que preserva a participação de referência de cada ente na arrecadação nacional. Em 2033, a receita estadual permanece próxima da neutralidade, </w:t>
      </w:r>
      <w:r>
        <w:rPr/>
      </w:r>
      <w:r>
        <w:rPr/>
        <w:t>com variação de 0,77%, enquanto o conjunto dos municípios registra redução de 2,94%</w:t>
      </w:r>
      <w:r>
        <w:rPr/>
      </w:r>
      <w:r>
        <w:rPr/>
        <w:t xml:space="preserve">. Consideradas as duas esferas, a receita paranaense </w:t>
      </w:r>
      <w:r>
        <w:rPr/>
      </w:r>
      <w:r>
        <w:rPr/>
        <w:t>fica 0,52% abaixo do contrafactual</w:t>
      </w:r>
      <w:r>
        <w:rPr/>
      </w:r>
      <w:r>
        <w:rPr/>
        <w:t xml:space="preserve"> naquele ano.</w:t>
      </w:r>
    </w:p>
    <w:p>
      <w:pPr>
        <w:pStyle w:val="BodyText"/>
      </w:pPr>
      <w:r>
        <w:rPr/>
        <w:t>Os resultados mostram que a conclusão de longo prazo é muito mais incerta que a de curto prazo. Em 2033, 90% do IBS ainda é distribuído pelo componente histórico, o que preserva a posição relativa do governo estadual, e a variação de 0,77% tem incerteza de cerca de ±0,8 ponto percentual. À medida que esse peso diminui, o coeficiente de destino passa a determinar a receita. Como a participação estadual estimada pelo destino é ligeiramente superior à participação de referência, mas essa vantagem é absorvida pelo Seguro-Receita e pelo CGIBS, a diferença em relação ao contrafactual é de aproximadamente −0,5% em 2077, com incerteza de ±7,8 pontos percentuais associada à estimativa do destino.</w:t>
      </w:r>
      <w:r>
        <w:rPr/>
      </w:r>
      <w:r>
        <w:rPr/>
      </w:r>
    </w:p>
    <w:p>
      <w:pPr>
        <w:pStyle w:val="BodyText"/>
      </w:pPr>
      <w:r>
        <w:rPr/>
        <w:t>A redistribuição municipal apresenta uma dinâmica distinta. Entre os 399 municípios do Estado, a razão entre a maior e a menor receita per capita cai de 14,6 em 2025 para 4,6 em 2077, enquanto o índice de Gini recua de 0,232 para 0,112. A transição reduz, portanto, de forma expressiva a desigualdade de receita por habitante entre os municípios paranaenses. Esse resultado mostra que perdas agregadas da esfera municipal podem coexistir com maior equalização na distribuição dos recursos dentro do Estado.</w:t>
      </w:r>
      <w:r>
        <w:rPr/>
      </w:r>
      <w:r>
        <w:rPr/>
      </w:r>
    </w:p>
    <w:p>
      <w:pPr>
        <w:pStyle w:val="BodyText"/>
      </w:pPr>
      <w:r>
        <w:t xml:space="preserve">A mudança na geografia da receita também traz implicações para a política estadual de desenvolvimento. A redução do espaço para incentivos associados à tributação do consumo diminui a capacidade de utilizar vantagens tributárias como instrumento de atração de investimentos e amplia a importância de fatores mais permanentes de competitividade. Nesse contexto, o Fundo Nacional de Desenvolvimento Regional passa a ocupar posição mais relevante entre os instrumentos disponíveis aos estados. Sua utilização coloca uma questão adicional para a política pública: como direcionar esses recursos para investimentos capazes de elevar produtividade, fortalecer a base econômica e sustentar competitividade no novo ambiente tributário.</w:t>
      </w:r>
    </w:p>
    <w:p>
      <w:pPr>
        <w:pStyle w:val="BodyText"/>
      </w:pPr>
      <w:r>
        <w:t xml:space="preserve">Este exercício também define uma agenda natural para pesquisas futuras. </w:t>
      </w:r>
      <w:r>
        <w:rPr/>
        <w:t>A incorporação dos dados definitivos de 2026 permitirá substituir a estimativa utilizada e atualizar o coeficiente histórico</w:t>
      </w:r>
      <w:r>
        <w:rPr/>
        <w:t>, enquanto a operação do IBS fornecerá informações observadas para refinar a distribuição pelo destino e os critérios de repartição municipal. Estudos posteriores poderão ainda examinar a resposta das decisões de localização, investimento e emprego à redução dos incentivos fiscais, bem como avaliar o papel do FNDR nesse novo ambiente de política regional. Essas extensões permitirão avançar da simulação das regras de repartição para a avaliação dos efeitos fiscais e econômicos efetivamente produzidos pela reforma.</w:t>
      </w:r>
    </w:p>
    <w:p>
      <w:pPr>
        <w:pStyle w:val="BodyText"/>
      </w:pPr>
      <w:r>
        <w:t xml:space="preserve">Esses resultados devem ser lidos à luz das limitações da Seção 3.6, em especial o caráter estimado do coeficiente de destino e a ausência das contribuições a fundos estaduais, que recomendam tratá-los como ordens de grandeza condicionais. Em síntese, o caso paranaense revela duas dimensões simultâneas da redistribuição produzida pela reforma. </w:t>
      </w:r>
      <w:r>
        <w:rPr/>
        <w:t>À medida que o destino ganha peso, a posição fiscal relativa do governo estadual tende a permanecer próxima da atual, com incerteza crescente, enquanto</w:t>
      </w:r>
      <w:r>
        <w:rPr/>
        <w:t xml:space="preserve"> as diferenças de receita per capita entre os municípios diminuem de forma expressiva. A reforma reorganiza, assim, a capacidade fiscal tanto entre territórios quanto dentro deles. A longa transição distribui esse processo ao longo de décadas e oferece ao Paraná tempo para adaptar seus instrumentos de planejamento e desenvolvimento antes que a nova geografia da receita esteja plenamente consolidada.</w:t>
      </w:r>
    </w:p>
    <w:bookmarkEnd w:id="40"/>
    <w:bookmarkStart w:id="58" w:name="referências"/>
    <w:p>
      <w:pPr>
        <w:pStyle w:val="Heading1"/>
      </w:pPr>
      <w:r>
        <w:t xml:space="preserve">Referências</w:t>
      </w:r>
    </w:p>
    <w:p>
      <w:pPr>
        <w:pStyle w:val="FirstParagraph"/>
        <w:spacing w:line="240" w:lineRule="auto" w:before="0" w:after="160"/>
        <w:ind w:firstLine="0"/>
        <w:jc w:val="left"/>
      </w:pPr>
      <w:r>
        <w:rPr>
          <w:rFonts w:ascii="Times New Roman" w:hAnsi="Times New Roman"/>
          <w:sz w:val="22"/>
        </w:rPr>
        <w:t xml:space="preserve">BANCO CENTRAL DO BRASIL.</w:t>
      </w:r>
      <w:r>
        <w:rPr>
          <w:rFonts w:ascii="Times New Roman" w:hAnsi="Times New Roman"/>
          <w:sz w:val="22"/>
        </w:rPr>
        <w:t xml:space="preserve"> </w:t>
      </w:r>
      <w:r>
        <w:rPr>
          <w:rFonts w:ascii="Times New Roman" w:hAnsi="Times New Roman"/>
          <w:i/>
          <w:iCs/>
          <w:sz w:val="22"/>
        </w:rPr>
        <w:t xml:space="preserve">Focus: relatório de mercado</w:t>
      </w:r>
      <w:r>
        <w:rPr>
          <w:rFonts w:ascii="Times New Roman" w:hAnsi="Times New Roman"/>
          <w:sz w:val="22"/>
        </w:rPr>
        <w:t xml:space="preserve">. Brasília, DF: Banco Central do Brasil, 2026. Disponível em:</w:t>
      </w:r>
      <w:r>
        <w:rPr>
          <w:rFonts w:ascii="Times New Roman" w:hAnsi="Times New Roman"/>
          <w:sz w:val="22"/>
        </w:rPr>
        <w:t xml:space="preserve"> </w:t>
      </w:r>
      <w:hyperlink r:id="rId41">
        <w:r>
          <w:rPr>
            <w:rStyle w:val="Hyperlink"/>
          </w:rPr>
          <w:t xml:space="preserve">https://www.bcb.gov.br/publicacoes/focus</w:t>
        </w:r>
      </w:hyperlink>
      <w:r>
        <w:rPr>
          <w:rFonts w:ascii="Times New Roman" w:hAnsi="Times New Roman"/>
          <w:sz w:val="22"/>
        </w:rPr>
        <w:t xml:space="preserve">. Acesso em: 8 ago. 2026.</w:t>
      </w:r>
    </w:p>
    <w:p>
      <w:pPr>
        <w:pStyle w:val="BodyText"/>
        <w:spacing w:line="240" w:lineRule="auto" w:before="0" w:after="160"/>
        <w:ind w:firstLine="0"/>
        <w:jc w:val="left"/>
      </w:pPr>
      <w:r>
        <w:rPr>
          <w:rFonts w:ascii="Times New Roman" w:hAnsi="Times New Roman"/>
          <w:sz w:val="22"/>
        </w:rPr>
        <w:t xml:space="preserve">BARATTO, Gedalva; MACEDO, Mariano de Mattos. Regime tributário do ICMS nas transações interestaduais: harmonização tributária ou autonomia estadual?</w:t>
      </w:r>
      <w:r>
        <w:rPr>
          <w:rFonts w:ascii="Times New Roman" w:hAnsi="Times New Roman"/>
          <w:sz w:val="22"/>
        </w:rPr>
        <w:t xml:space="preserve"> </w:t>
      </w:r>
      <w:r>
        <w:rPr>
          <w:rFonts w:ascii="Times New Roman" w:hAnsi="Times New Roman"/>
          <w:i/>
          <w:iCs/>
          <w:sz w:val="22"/>
        </w:rPr>
        <w:t xml:space="preserve">Revista Paranaense de Desenvolvimento</w:t>
      </w:r>
      <w:r>
        <w:rPr>
          <w:rFonts w:ascii="Times New Roman" w:hAnsi="Times New Roman"/>
          <w:sz w:val="22"/>
        </w:rPr>
        <w:t xml:space="preserve">, Curitiba, n. 113, p. 9-30, jul./dez. 2007. Disponível em:</w:t>
      </w:r>
      <w:r>
        <w:rPr>
          <w:rFonts w:ascii="Times New Roman" w:hAnsi="Times New Roman"/>
          <w:sz w:val="22"/>
        </w:rPr>
        <w:t xml:space="preserve"> </w:t>
      </w:r>
      <w:hyperlink r:id="rId42">
        <w:r>
          <w:rPr>
            <w:rStyle w:val="Hyperlink"/>
          </w:rPr>
          <w:t xml:space="preserve">https://ipardes.emnuvens.com.br/revistaparanaense/article/view/23</w:t>
        </w:r>
      </w:hyperlink>
      <w:r>
        <w:rPr>
          <w:rFonts w:ascii="Times New Roman" w:hAnsi="Times New Roman"/>
          <w:sz w:val="22"/>
        </w:rPr>
        <w:t xml:space="preserve">. Acesso em: 30 set. 2026.</w:t>
      </w:r>
    </w:p>
    <w:p>
      <w:pPr>
        <w:pStyle w:val="BodyText"/>
        <w:spacing w:line="240" w:lineRule="auto" w:before="0" w:after="160"/>
        <w:ind w:firstLine="0"/>
        <w:jc w:val="left"/>
      </w:pPr>
      <w:r>
        <w:rPr>
          <w:rFonts w:ascii="Times New Roman" w:hAnsi="Times New Roman"/>
          <w:sz w:val="22"/>
        </w:rPr>
        <w:t xml:space="preserve">BRASIL. Emenda Constitucional n.</w:t>
      </w:r>
      <w:r>
        <w:rPr>
          <w:rFonts w:ascii="Times New Roman" w:hAnsi="Times New Roman"/>
          <w:sz w:val="22"/>
          <w:vertAlign w:val="superscript"/>
        </w:rPr>
        <w:t xml:space="preserve">o</w:t>
      </w:r>
      <w:r>
        <w:rPr>
          <w:rFonts w:ascii="Times New Roman" w:hAnsi="Times New Roman"/>
          <w:sz w:val="22"/>
        </w:rPr>
        <w:t xml:space="preserve"> </w:t>
      </w:r>
      <w:r>
        <w:rPr>
          <w:rFonts w:ascii="Times New Roman" w:hAnsi="Times New Roman"/>
          <w:sz w:val="22"/>
        </w:rPr>
        <w:t xml:space="preserve">132, de 20 de dezembro de 2023. Altera o Sistema Tributário Nacional. Brasília, DF: Presidência da República, 2023. Disponível em:</w:t>
      </w:r>
      <w:r>
        <w:rPr>
          <w:rFonts w:ascii="Times New Roman" w:hAnsi="Times New Roman"/>
          <w:sz w:val="22"/>
        </w:rPr>
        <w:t xml:space="preserve"> </w:t>
      </w:r>
      <w:hyperlink r:id="rId43">
        <w:r>
          <w:rPr>
            <w:rStyle w:val="Hyperlink"/>
          </w:rPr>
          <w:t xml:space="preserve">https://www.planalto.gov.br/ccivil_03/constituicao/emendas/emc/emc132.htm</w:t>
        </w:r>
      </w:hyperlink>
      <w:r>
        <w:rPr>
          <w:rFonts w:ascii="Times New Roman" w:hAnsi="Times New Roman"/>
          <w:sz w:val="22"/>
        </w:rPr>
        <w:t xml:space="preserve">. Acesso em: 8 ago. 2026.</w:t>
      </w:r>
    </w:p>
    <w:p>
      <w:pPr>
        <w:pStyle w:val="BodyText"/>
        <w:spacing w:line="240" w:lineRule="auto" w:before="0" w:after="160"/>
        <w:ind w:firstLine="0"/>
        <w:jc w:val="left"/>
      </w:pPr>
      <w:r>
        <w:rPr>
          <w:rFonts w:ascii="Times New Roman" w:hAnsi="Times New Roman"/>
          <w:sz w:val="22"/>
        </w:rPr>
        <w:t xml:space="preserve">BRASIL. Lei Complementar n.</w:t>
      </w:r>
      <w:r>
        <w:rPr>
          <w:rFonts w:ascii="Times New Roman" w:hAnsi="Times New Roman"/>
          <w:sz w:val="22"/>
          <w:vertAlign w:val="superscript"/>
        </w:rPr>
        <w:t xml:space="preserve">o</w:t>
      </w:r>
      <w:r>
        <w:rPr>
          <w:rFonts w:ascii="Times New Roman" w:hAnsi="Times New Roman"/>
          <w:sz w:val="22"/>
        </w:rPr>
        <w:t xml:space="preserve"> </w:t>
      </w:r>
      <w:r>
        <w:rPr>
          <w:rFonts w:ascii="Times New Roman" w:hAnsi="Times New Roman"/>
          <w:sz w:val="22"/>
        </w:rPr>
        <w:t xml:space="preserve">214, de 16 de janeiro de 2025. Institui o Imposto sobre Bens e Serviços, a Contribuição Social sobre Bens e Serviços e o Imposto Seletivo. Brasília, DF: Presidência da República, 2025. Disponível em:</w:t>
      </w:r>
      <w:r>
        <w:rPr>
          <w:rFonts w:ascii="Times New Roman" w:hAnsi="Times New Roman"/>
          <w:sz w:val="22"/>
        </w:rPr>
        <w:t xml:space="preserve"> </w:t>
      </w:r>
      <w:hyperlink r:id="rId44">
        <w:r>
          <w:rPr>
            <w:rStyle w:val="Hyperlink"/>
          </w:rPr>
          <w:t xml:space="preserve">https://www.planalto.gov.br/ccivil_03/leis/lcp/lcp214.htm</w:t>
        </w:r>
      </w:hyperlink>
      <w:r>
        <w:rPr>
          <w:rFonts w:ascii="Times New Roman" w:hAnsi="Times New Roman"/>
          <w:sz w:val="22"/>
        </w:rPr>
        <w:t xml:space="preserve">. Acesso em: 8 ago. 2026.</w:t>
      </w:r>
    </w:p>
    <w:p>
      <w:pPr>
        <w:pStyle w:val="BodyText"/>
        <w:spacing w:line="240" w:lineRule="auto" w:before="0" w:after="160"/>
        <w:ind w:firstLine="0"/>
        <w:jc w:val="left"/>
      </w:pPr>
      <w:r>
        <w:rPr>
          <w:rFonts w:ascii="Times New Roman" w:hAnsi="Times New Roman"/>
          <w:sz w:val="22"/>
        </w:rPr>
        <w:t xml:space="preserve">BRASIL. Lei Complementar n.</w:t>
      </w:r>
      <w:r>
        <w:rPr>
          <w:rFonts w:ascii="Times New Roman" w:hAnsi="Times New Roman"/>
          <w:sz w:val="22"/>
          <w:vertAlign w:val="superscript"/>
        </w:rPr>
        <w:t xml:space="preserve">o</w:t>
      </w:r>
      <w:r>
        <w:rPr>
          <w:rFonts w:ascii="Times New Roman" w:hAnsi="Times New Roman"/>
          <w:sz w:val="22"/>
        </w:rPr>
        <w:t xml:space="preserve"> </w:t>
      </w:r>
      <w:r>
        <w:rPr>
          <w:rFonts w:ascii="Times New Roman" w:hAnsi="Times New Roman"/>
          <w:sz w:val="22"/>
        </w:rPr>
        <w:t xml:space="preserve">227, de 13 de janeiro de 2026. Institui o Comitê Gestor do Imposto sobre Bens e Serviços e dispõe sobre a distribuição do produto da arrecadação do IBS. Brasília, DF: Presidência da República, 2026. Disponível em:</w:t>
      </w:r>
      <w:r>
        <w:rPr>
          <w:rFonts w:ascii="Times New Roman" w:hAnsi="Times New Roman"/>
          <w:sz w:val="22"/>
        </w:rPr>
        <w:t xml:space="preserve"> </w:t>
      </w:r>
      <w:hyperlink r:id="rId45">
        <w:r>
          <w:rPr>
            <w:rStyle w:val="Hyperlink"/>
          </w:rPr>
          <w:t xml:space="preserve">https://www.planalto.gov.br/ccivil_03/leis/lcp/lcp227.htm</w:t>
        </w:r>
      </w:hyperlink>
      <w:r>
        <w:rPr>
          <w:rFonts w:ascii="Times New Roman" w:hAnsi="Times New Roman"/>
          <w:sz w:val="22"/>
        </w:rPr>
        <w:t xml:space="preserve">. Acesso em: 8 ago. 2026.</w:t>
      </w:r>
    </w:p>
    <w:p>
      <w:pPr>
        <w:pStyle w:val="BodyText"/>
        <w:spacing w:line="240" w:lineRule="auto" w:before="0" w:after="160"/>
        <w:ind w:firstLine="0"/>
        <w:jc w:val="left"/>
      </w:pPr>
      <w:r>
        <w:rPr>
          <w:rFonts w:ascii="Times New Roman" w:hAnsi="Times New Roman"/>
          <w:sz w:val="22"/>
        </w:rPr>
        <w:t xml:space="preserve">EBRILL, Liam; KEEN, Michael; BODIN, Jean-Paul; SUMMERS, Victoria (org.).</w:t>
      </w:r>
      <w:r>
        <w:rPr>
          <w:rFonts w:ascii="Times New Roman" w:hAnsi="Times New Roman"/>
          <w:sz w:val="22"/>
        </w:rPr>
        <w:t xml:space="preserve"> </w:t>
      </w:r>
      <w:r>
        <w:rPr>
          <w:rFonts w:ascii="Times New Roman" w:hAnsi="Times New Roman"/>
          <w:i/>
          <w:iCs/>
          <w:sz w:val="22"/>
        </w:rPr>
        <w:t xml:space="preserve">The modern VAT</w:t>
      </w:r>
      <w:r>
        <w:rPr>
          <w:rFonts w:ascii="Times New Roman" w:hAnsi="Times New Roman"/>
          <w:sz w:val="22"/>
        </w:rPr>
        <w:t xml:space="preserve">. Washington, DC: International Monetary Fund, 2001. Disponível em:</w:t>
      </w:r>
      <w:r>
        <w:rPr>
          <w:rFonts w:ascii="Times New Roman" w:hAnsi="Times New Roman"/>
          <w:sz w:val="22"/>
        </w:rPr>
        <w:t xml:space="preserve"> </w:t>
      </w:r>
      <w:hyperlink r:id="rId46">
        <w:r>
          <w:rPr>
            <w:rStyle w:val="Hyperlink"/>
          </w:rPr>
          <w:t xml:space="preserve">https://www.imf.org/external/pubs/nft/2001/VAT/</w:t>
        </w:r>
      </w:hyperlink>
      <w:r>
        <w:rPr>
          <w:rFonts w:ascii="Times New Roman" w:hAnsi="Times New Roman"/>
          <w:sz w:val="22"/>
        </w:rPr>
        <w:t xml:space="preserve">. Acesso em: 29 jun. 2026.</w:t>
      </w:r>
    </w:p>
    <w:p>
      <w:pPr>
        <w:pStyle w:val="BodyText"/>
        <w:spacing w:line="240" w:lineRule="auto" w:before="0" w:after="160"/>
        <w:ind w:firstLine="0"/>
        <w:jc w:val="left"/>
      </w:pPr>
      <w:r>
        <w:rPr>
          <w:rFonts w:ascii="Times New Roman" w:hAnsi="Times New Roman"/>
          <w:sz w:val="22"/>
        </w:rPr>
        <w:t xml:space="preserve">GOBETTI, Sérgio Wulff; MONTEIRO, Priscila Kaiser. Impactos redistributivos da reforma tributária: estimativas atualizadas.</w:t>
      </w:r>
      <w:r>
        <w:rPr>
          <w:rFonts w:ascii="Times New Roman" w:hAnsi="Times New Roman"/>
          <w:sz w:val="22"/>
        </w:rPr>
        <w:t xml:space="preserve"> </w:t>
      </w:r>
      <w:r>
        <w:rPr>
          <w:rFonts w:ascii="Times New Roman" w:hAnsi="Times New Roman"/>
          <w:i/>
          <w:iCs/>
          <w:sz w:val="22"/>
        </w:rPr>
        <w:t xml:space="preserve">Carta de Conjuntura</w:t>
      </w:r>
      <w:r>
        <w:rPr>
          <w:rFonts w:ascii="Times New Roman" w:hAnsi="Times New Roman"/>
          <w:sz w:val="22"/>
        </w:rPr>
        <w:t xml:space="preserve">, Brasília, DF: Ipea, n. 60, nota 18, 3. trim. 2023. Disponível em:</w:t>
      </w:r>
      <w:r>
        <w:rPr>
          <w:rFonts w:ascii="Times New Roman" w:hAnsi="Times New Roman"/>
          <w:sz w:val="22"/>
        </w:rPr>
        <w:t xml:space="preserve"> </w:t>
      </w:r>
      <w:hyperlink r:id="rId47">
        <w:r>
          <w:rPr>
            <w:rStyle w:val="Hyperlink"/>
          </w:rPr>
          <w:t xml:space="preserve">https://www.ipea.gov.br/cartadeconjuntura/wp-content/uploads/2023/08/230828_reforma_tributaria_cc_60_nota_18.pdf</w:t>
        </w:r>
      </w:hyperlink>
      <w:r>
        <w:rPr>
          <w:rFonts w:ascii="Times New Roman" w:hAnsi="Times New Roman"/>
          <w:sz w:val="22"/>
        </w:rPr>
        <w:t xml:space="preserve">. Acesso em: 14 ago. 2026.</w:t>
      </w:r>
    </w:p>
    <w:p>
      <w:pPr>
        <w:pStyle w:val="BodyText"/>
        <w:spacing w:line="240" w:lineRule="auto" w:before="0" w:after="160"/>
        <w:ind w:firstLine="0"/>
        <w:jc w:val="left"/>
      </w:pPr>
      <w:r>
        <w:rPr>
          <w:rFonts w:ascii="Times New Roman" w:hAnsi="Times New Roman"/>
          <w:sz w:val="22"/>
        </w:rPr>
        <w:t xml:space="preserve">INSTITUTO BRASILEIRO DE GEOGRAFIA E ESTATÍSTICA (IBGE).</w:t>
      </w:r>
      <w:r>
        <w:rPr>
          <w:rFonts w:ascii="Times New Roman" w:hAnsi="Times New Roman"/>
          <w:sz w:val="22"/>
        </w:rPr>
        <w:t xml:space="preserve"> </w:t>
      </w:r>
      <w:r>
        <w:rPr>
          <w:rFonts w:ascii="Times New Roman" w:hAnsi="Times New Roman"/>
          <w:i/>
          <w:iCs/>
          <w:sz w:val="22"/>
        </w:rPr>
        <w:t xml:space="preserve">Censo Demográfico 2022: população e domicílios: primeiros resultados</w:t>
      </w:r>
      <w:r>
        <w:rPr>
          <w:rFonts w:ascii="Times New Roman" w:hAnsi="Times New Roman"/>
          <w:sz w:val="22"/>
        </w:rPr>
        <w:t xml:space="preserve">. Rio de Janeiro: IBGE, 2023. Disponível em:</w:t>
      </w:r>
      <w:r>
        <w:rPr>
          <w:rFonts w:ascii="Times New Roman" w:hAnsi="Times New Roman"/>
          <w:sz w:val="22"/>
        </w:rPr>
        <w:t xml:space="preserve"> </w:t>
      </w:r>
      <w:hyperlink r:id="rId48">
        <w:r>
          <w:rPr>
            <w:rStyle w:val="Hyperlink"/>
          </w:rPr>
          <w:t xml:space="preserve">https://www.ibge.gov.br/estatisticas/sociais/populacao/22827-censo-demografico-2022.html</w:t>
        </w:r>
      </w:hyperlink>
      <w:r>
        <w:rPr>
          <w:rFonts w:ascii="Times New Roman" w:hAnsi="Times New Roman"/>
          <w:sz w:val="22"/>
        </w:rPr>
        <w:t xml:space="preserve">. Acesso em: 14 ago. 2026.</w:t>
      </w:r>
    </w:p>
    <w:p>
      <w:pPr>
        <w:pStyle w:val="BodyText"/>
        <w:spacing w:line="240" w:lineRule="auto" w:before="0" w:after="160"/>
        <w:ind w:firstLine="0"/>
        <w:jc w:val="left"/>
      </w:pPr>
      <w:r>
        <w:rPr>
          <w:rFonts w:ascii="Times New Roman" w:hAnsi="Times New Roman"/>
          <w:sz w:val="22"/>
        </w:rPr>
        <w:t xml:space="preserve">INSTITUTO BRASILEIRO DE GEOGRAFIA E ESTATÍSTICA (IBGE).</w:t>
      </w:r>
      <w:r>
        <w:rPr>
          <w:rFonts w:ascii="Times New Roman" w:hAnsi="Times New Roman"/>
          <w:sz w:val="22"/>
        </w:rPr>
        <w:t xml:space="preserve"> </w:t>
      </w:r>
      <w:r>
        <w:rPr>
          <w:rFonts w:ascii="Times New Roman" w:hAnsi="Times New Roman"/>
          <w:i/>
          <w:iCs/>
          <w:sz w:val="22"/>
        </w:rPr>
        <w:t xml:space="preserve">Estimativas da população residente nos municípios e nas unidades da Federação: 2019, 2020, 2021, 2024 e 2025</w:t>
      </w:r>
      <w:r>
        <w:rPr>
          <w:rFonts w:ascii="Times New Roman" w:hAnsi="Times New Roman"/>
          <w:sz w:val="22"/>
        </w:rPr>
        <w:t xml:space="preserve">. Rio de Janeiro: IBGE, 2025. Disponível em:</w:t>
      </w:r>
      <w:r>
        <w:rPr>
          <w:rFonts w:ascii="Times New Roman" w:hAnsi="Times New Roman"/>
          <w:sz w:val="22"/>
        </w:rPr>
        <w:t xml:space="preserve"> </w:t>
      </w:r>
      <w:hyperlink r:id="rId49">
        <w:r>
          <w:rPr>
            <w:rStyle w:val="Hyperlink"/>
          </w:rPr>
          <w:t xml:space="preserve">https://ftp.ibge.gov.br/Estimativas_de_Populacao/</w:t>
        </w:r>
      </w:hyperlink>
      <w:r>
        <w:rPr>
          <w:rFonts w:ascii="Times New Roman" w:hAnsi="Times New Roman"/>
          <w:sz w:val="22"/>
        </w:rPr>
        <w:t xml:space="preserve">. Acesso em: 14 ago. 2026.</w:t>
      </w:r>
    </w:p>
    <w:p>
      <w:pPr>
        <w:pStyle w:val="BodyText"/>
        <w:spacing w:line="240" w:lineRule="auto" w:before="0" w:after="160"/>
        <w:ind w:firstLine="0"/>
        <w:jc w:val="left"/>
      </w:pPr>
      <w:r>
        <w:rPr>
          <w:rFonts w:ascii="Times New Roman" w:hAnsi="Times New Roman"/>
          <w:sz w:val="22"/>
        </w:rPr>
        <w:t xml:space="preserve">INSTITUTO BRASILEIRO DE GEOGRAFIA E ESTATÍSTICA (IBGE).</w:t>
      </w:r>
      <w:r>
        <w:rPr>
          <w:rFonts w:ascii="Times New Roman" w:hAnsi="Times New Roman"/>
          <w:sz w:val="22"/>
        </w:rPr>
        <w:t xml:space="preserve"> </w:t>
      </w:r>
      <w:r>
        <w:rPr>
          <w:rFonts w:ascii="Times New Roman" w:hAnsi="Times New Roman"/>
          <w:i/>
          <w:iCs/>
          <w:sz w:val="22"/>
        </w:rPr>
        <w:t xml:space="preserve">Pesquisa de Orçamentos Familiares 2017/2018: primeiros resultados</w:t>
      </w:r>
      <w:r>
        <w:rPr>
          <w:rFonts w:ascii="Times New Roman" w:hAnsi="Times New Roman"/>
          <w:sz w:val="22"/>
        </w:rPr>
        <w:t xml:space="preserve">. Rio de Janeiro: IBGE, 2019. Disponível em:</w:t>
      </w:r>
      <w:r>
        <w:rPr>
          <w:rFonts w:ascii="Times New Roman" w:hAnsi="Times New Roman"/>
          <w:sz w:val="22"/>
        </w:rPr>
        <w:t xml:space="preserve"> </w:t>
      </w:r>
      <w:hyperlink r:id="rId50">
        <w:r>
          <w:rPr>
            <w:rStyle w:val="Hyperlink"/>
          </w:rPr>
          <w:t xml:space="preserve">https://www.ibge.gov.br/estatisticas/sociais/populacao/24786-pesquisa-de-orcamentos-familiares-2.html</w:t>
        </w:r>
      </w:hyperlink>
      <w:r>
        <w:rPr>
          <w:rFonts w:ascii="Times New Roman" w:hAnsi="Times New Roman"/>
          <w:sz w:val="22"/>
        </w:rPr>
        <w:t xml:space="preserve">. Acesso em: 14 ago. 2026.</w:t>
      </w:r>
    </w:p>
    <w:p>
      <w:pPr>
        <w:pStyle w:val="BodyText"/>
        <w:spacing w:line="240" w:lineRule="auto" w:before="0" w:after="160"/>
        <w:ind w:firstLine="0"/>
        <w:jc w:val="left"/>
      </w:pPr>
      <w:r>
        <w:rPr>
          <w:rFonts w:ascii="Times New Roman" w:hAnsi="Times New Roman"/>
          <w:sz w:val="22"/>
        </w:rPr>
        <w:t>INSTITUTO BRASILEIRO DE GEOGRAFIA E ESTATÍSTICA (IBGE). Pesquisa Nacional por Amostra de Domicílios Contínua: rendimento médio mensal domiciliar per capita, 2018 a 2022. Rio de Janeiro: IBGE, 2026. Disponível em: https://sidra.ibge.gov.br/tabela/7395. Acesso em: 5 out. 2026.</w:t>
      </w:r>
      <w:r>
        <w:rPr>
          <w:rFonts w:ascii="Times New Roman" w:hAnsi="Times New Roman"/>
          <w:sz w:val="22"/>
        </w:rPr>
      </w:r>
      <w:r>
        <w:rPr>
          <w:rFonts w:ascii="Times New Roman" w:hAnsi="Times New Roman"/>
          <w:i/>
          <w:iCs/>
          <w:sz w:val="22"/>
        </w:rPr>
      </w:r>
      <w:r>
        <w:rPr>
          <w:rFonts w:ascii="Times New Roman" w:hAnsi="Times New Roman"/>
          <w:sz w:val="22"/>
        </w:rPr>
      </w:r>
      <w:r>
        <w:rPr>
          <w:rFonts w:ascii="Times New Roman" w:hAnsi="Times New Roman"/>
          <w:sz w:val="22"/>
        </w:rPr>
      </w:r>
      <w:hyperlink r:id="rId50">
        <w:r>
          <w:rPr>
            <w:rStyle w:val="Hyperlink"/>
          </w:rPr>
          <w:t xml:space="preserve">https://www.ibge.gov.br/estatisticas/sociais/populacao/24786-pesquisa-de-orcamentos-familiares-2.html</w:t>
        </w:r>
      </w:hyperlink>
      <w:r>
        <w:rPr>
          <w:rFonts w:ascii="Times New Roman" w:hAnsi="Times New Roman"/>
          <w:sz w:val="22"/>
        </w:rPr>
      </w:r>
    </w:p>
    <w:p>
      <w:pPr>
        <w:pStyle w:val="BodyText"/>
        <w:spacing w:line="240" w:lineRule="auto" w:before="0" w:after="160"/>
        <w:ind w:firstLine="0"/>
        <w:jc w:val="left"/>
      </w:pPr>
      <w:r>
        <w:rPr>
          <w:rFonts w:ascii="Times New Roman" w:hAnsi="Times New Roman"/>
          <w:sz w:val="22"/>
        </w:rPr>
        <w:t xml:space="preserve">INSTITUTO BRASILEIRO DE GEOGRAFIA E ESTATÍSTICA (IBGE).</w:t>
      </w:r>
      <w:r>
        <w:rPr>
          <w:rFonts w:ascii="Times New Roman" w:hAnsi="Times New Roman"/>
          <w:sz w:val="22"/>
        </w:rPr>
        <w:t xml:space="preserve"> </w:t>
      </w:r>
      <w:r>
        <w:rPr>
          <w:rFonts w:ascii="Times New Roman" w:hAnsi="Times New Roman"/>
          <w:i/>
          <w:iCs/>
          <w:sz w:val="22"/>
        </w:rPr>
        <w:t xml:space="preserve">Censo Demográfico 2022: trabalho e rendimento: resultados preliminares da amostra</w:t>
      </w:r>
      <w:r>
        <w:rPr>
          <w:rFonts w:ascii="Times New Roman" w:hAnsi="Times New Roman"/>
          <w:sz w:val="22"/>
        </w:rPr>
        <w:t xml:space="preserve">. Rio de Janeiro: IBGE, 2026. Disponível em:</w:t>
      </w:r>
      <w:r>
        <w:rPr>
          <w:rFonts w:ascii="Times New Roman" w:hAnsi="Times New Roman"/>
          <w:sz w:val="22"/>
        </w:rPr>
        <w:t xml:space="preserve"> </w:t>
      </w:r>
      <w:hyperlink r:id="rId51">
        <w:r>
          <w:rPr>
            <w:rStyle w:val="Hyperlink"/>
          </w:rPr>
          <w:t xml:space="preserve">https://www.ibge.gov.br/estatisticas/sociais/trabalho/22827-censo-demografico-2022.html</w:t>
        </w:r>
      </w:hyperlink>
      <w:r>
        <w:rPr>
          <w:rFonts w:ascii="Times New Roman" w:hAnsi="Times New Roman"/>
          <w:sz w:val="22"/>
        </w:rPr>
        <w:t xml:space="preserve">. Acesso em: 14 ago. 2026.</w:t>
      </w:r>
    </w:p>
    <w:p>
      <w:pPr>
        <w:pStyle w:val="BodyText"/>
        <w:spacing w:line="240" w:lineRule="auto" w:before="0" w:after="160"/>
        <w:ind w:firstLine="0"/>
        <w:jc w:val="left"/>
      </w:pPr>
      <w:r>
        <w:rPr>
          <w:rFonts w:ascii="Times New Roman" w:hAnsi="Times New Roman"/>
          <w:sz w:val="22"/>
        </w:rPr>
        <w:t xml:space="preserve">INSTITUIÇÃO FISCAL INDEPENDENTE (IFI).</w:t>
      </w:r>
      <w:r>
        <w:rPr>
          <w:rFonts w:ascii="Times New Roman" w:hAnsi="Times New Roman"/>
          <w:sz w:val="22"/>
        </w:rPr>
        <w:t xml:space="preserve"> </w:t>
      </w:r>
      <w:r>
        <w:rPr>
          <w:rFonts w:ascii="Times New Roman" w:hAnsi="Times New Roman"/>
          <w:i/>
          <w:iCs/>
          <w:sz w:val="22"/>
        </w:rPr>
        <w:t xml:space="preserve">Relatório de Acompanhamento Fiscal n.</w:t>
      </w:r>
      <w:r>
        <w:rPr>
          <w:rFonts w:ascii="Times New Roman" w:hAnsi="Times New Roman"/>
          <w:i/>
          <w:iCs/>
          <w:sz w:val="22"/>
          <w:vertAlign w:val="superscript"/>
        </w:rPr>
        <w:t xml:space="preserve">o</w:t>
      </w:r>
      <w:r>
        <w:rPr>
          <w:rFonts w:ascii="Times New Roman" w:hAnsi="Times New Roman"/>
          <w:i/>
          <w:iCs/>
          <w:sz w:val="22"/>
        </w:rPr>
        <w:t xml:space="preserve"> </w:t>
      </w:r>
      <w:r>
        <w:rPr>
          <w:rFonts w:ascii="Times New Roman" w:hAnsi="Times New Roman"/>
          <w:i/>
          <w:iCs/>
          <w:sz w:val="22"/>
        </w:rPr>
        <w:t xml:space="preserve">107</w:t>
      </w:r>
      <w:r>
        <w:rPr>
          <w:rFonts w:ascii="Times New Roman" w:hAnsi="Times New Roman"/>
          <w:sz w:val="22"/>
        </w:rPr>
        <w:t xml:space="preserve">. Brasília, DF: Senado Federal, dez. 2025. Disponível em:</w:t>
      </w:r>
      <w:r>
        <w:rPr>
          <w:rFonts w:ascii="Times New Roman" w:hAnsi="Times New Roman"/>
          <w:sz w:val="22"/>
        </w:rPr>
        <w:t xml:space="preserve"> </w:t>
      </w:r>
      <w:hyperlink r:id="rId52">
        <w:r>
          <w:rPr>
            <w:rStyle w:val="Hyperlink"/>
          </w:rPr>
          <w:t xml:space="preserve">https://www2.senado.leg.br/bdsf/bitstream/handle/id/816727/RAF107_DEZ2025.pdf</w:t>
        </w:r>
      </w:hyperlink>
      <w:r>
        <w:rPr>
          <w:rFonts w:ascii="Times New Roman" w:hAnsi="Times New Roman"/>
          <w:sz w:val="22"/>
        </w:rPr>
        <w:t xml:space="preserve">. Acesso em: 8 ago. 2026.</w:t>
      </w:r>
    </w:p>
    <w:p>
      <w:pPr>
        <w:pStyle w:val="BodyText"/>
        <w:spacing w:line="240" w:lineRule="auto" w:before="0" w:after="160"/>
        <w:ind w:firstLine="0"/>
        <w:jc w:val="left"/>
      </w:pPr>
      <w:r>
        <w:rPr>
          <w:rFonts w:ascii="Times New Roman" w:hAnsi="Times New Roman"/>
          <w:sz w:val="22"/>
        </w:rPr>
        <w:t xml:space="preserve">KEEN, Michael. The anatomy of the VAT.</w:t>
      </w:r>
      <w:r>
        <w:rPr>
          <w:rFonts w:ascii="Times New Roman" w:hAnsi="Times New Roman"/>
          <w:sz w:val="22"/>
        </w:rPr>
        <w:t xml:space="preserve"> </w:t>
      </w:r>
      <w:r>
        <w:rPr>
          <w:rFonts w:ascii="Times New Roman" w:hAnsi="Times New Roman"/>
          <w:i/>
          <w:iCs/>
          <w:sz w:val="22"/>
        </w:rPr>
        <w:t xml:space="preserve">National Tax Journal</w:t>
      </w:r>
      <w:r>
        <w:rPr>
          <w:rFonts w:ascii="Times New Roman" w:hAnsi="Times New Roman"/>
          <w:sz w:val="22"/>
        </w:rPr>
        <w:t xml:space="preserve">, v. 66, n. 2, p. 423-446, 2013.</w:t>
      </w:r>
    </w:p>
    <w:p>
      <w:pPr>
        <w:pStyle w:val="BodyText"/>
        <w:spacing w:line="240" w:lineRule="auto" w:before="0" w:after="160"/>
        <w:ind w:firstLine="0"/>
        <w:jc w:val="left"/>
      </w:pPr>
      <w:r>
        <w:rPr>
          <w:rFonts w:ascii="Times New Roman" w:hAnsi="Times New Roman"/>
          <w:sz w:val="22"/>
        </w:rPr>
        <w:t xml:space="preserve">MUSGRAVE, Richard A.</w:t>
      </w:r>
      <w:r>
        <w:rPr>
          <w:rFonts w:ascii="Times New Roman" w:hAnsi="Times New Roman"/>
          <w:sz w:val="22"/>
        </w:rPr>
        <w:t xml:space="preserve"> </w:t>
      </w:r>
      <w:r>
        <w:rPr>
          <w:rFonts w:ascii="Times New Roman" w:hAnsi="Times New Roman"/>
          <w:i/>
          <w:iCs/>
          <w:sz w:val="22"/>
        </w:rPr>
        <w:t xml:space="preserve">The theory of public finance: a study in public economy</w:t>
      </w:r>
      <w:r>
        <w:rPr>
          <w:rFonts w:ascii="Times New Roman" w:hAnsi="Times New Roman"/>
          <w:sz w:val="22"/>
        </w:rPr>
        <w:t xml:space="preserve">. New York: McGraw-Hill, 1959.</w:t>
      </w:r>
    </w:p>
    <w:p>
      <w:pPr>
        <w:pStyle w:val="BodyText"/>
        <w:spacing w:line="240" w:lineRule="auto" w:before="0" w:after="160"/>
        <w:ind w:firstLine="0"/>
        <w:jc w:val="left"/>
      </w:pPr>
      <w:r>
        <w:rPr>
          <w:rFonts w:ascii="Times New Roman" w:hAnsi="Times New Roman"/>
          <w:sz w:val="22"/>
        </w:rPr>
        <w:t xml:space="preserve">NASCIMENTO, Sidnei Pereira do. Lei de responsabilidade fiscal, reforma tributária e impactos na guerra fiscal: uma análise empírica para o estado do Paraná.</w:t>
      </w:r>
      <w:r>
        <w:rPr>
          <w:rFonts w:ascii="Times New Roman" w:hAnsi="Times New Roman"/>
          <w:sz w:val="22"/>
        </w:rPr>
        <w:t xml:space="preserve"> </w:t>
      </w:r>
      <w:r>
        <w:rPr>
          <w:rFonts w:ascii="Times New Roman" w:hAnsi="Times New Roman"/>
          <w:i/>
          <w:iCs/>
          <w:sz w:val="22"/>
        </w:rPr>
        <w:t xml:space="preserve">Revista Paranaense de Desenvolvimento</w:t>
      </w:r>
      <w:r>
        <w:rPr>
          <w:rFonts w:ascii="Times New Roman" w:hAnsi="Times New Roman"/>
          <w:sz w:val="22"/>
        </w:rPr>
        <w:t xml:space="preserve">, Curitiba, n. 103, p. 61-77, jul./dez. 2002. Disponível em:</w:t>
      </w:r>
      <w:r>
        <w:rPr>
          <w:rFonts w:ascii="Times New Roman" w:hAnsi="Times New Roman"/>
          <w:sz w:val="22"/>
        </w:rPr>
        <w:t xml:space="preserve"> </w:t>
      </w:r>
      <w:hyperlink r:id="rId53">
        <w:r>
          <w:rPr>
            <w:rStyle w:val="Hyperlink"/>
          </w:rPr>
          <w:t xml:space="preserve">https://ipardes.emnuvens.com.br/revistaparanaense/article/view/203</w:t>
        </w:r>
      </w:hyperlink>
      <w:r>
        <w:rPr>
          <w:rFonts w:ascii="Times New Roman" w:hAnsi="Times New Roman"/>
          <w:sz w:val="22"/>
        </w:rPr>
        <w:t xml:space="preserve">. Acesso em: 30 set. 2026.</w:t>
      </w:r>
    </w:p>
    <w:p>
      <w:pPr>
        <w:pStyle w:val="BodyText"/>
        <w:spacing w:line="240" w:lineRule="auto" w:before="0" w:after="160"/>
        <w:ind w:firstLine="0"/>
        <w:jc w:val="left"/>
      </w:pPr>
      <w:r>
        <w:rPr>
          <w:rFonts w:ascii="Times New Roman" w:hAnsi="Times New Roman"/>
          <w:sz w:val="22"/>
        </w:rPr>
        <w:t xml:space="preserve">OATES, Wallace E.</w:t>
      </w:r>
      <w:r>
        <w:rPr>
          <w:rFonts w:ascii="Times New Roman" w:hAnsi="Times New Roman"/>
          <w:sz w:val="22"/>
        </w:rPr>
        <w:t xml:space="preserve"> </w:t>
      </w:r>
      <w:r>
        <w:rPr>
          <w:rFonts w:ascii="Times New Roman" w:hAnsi="Times New Roman"/>
          <w:i/>
          <w:iCs/>
          <w:sz w:val="22"/>
        </w:rPr>
        <w:t xml:space="preserve">Fiscal federalism</w:t>
      </w:r>
      <w:r>
        <w:rPr>
          <w:rFonts w:ascii="Times New Roman" w:hAnsi="Times New Roman"/>
          <w:sz w:val="22"/>
        </w:rPr>
        <w:t xml:space="preserve">. New York: Harcourt Brace Jovanovich, 1972.</w:t>
      </w:r>
    </w:p>
    <w:p>
      <w:pPr>
        <w:pStyle w:val="BodyText"/>
        <w:spacing w:line="240" w:lineRule="auto" w:before="0" w:after="160"/>
        <w:ind w:firstLine="0"/>
        <w:jc w:val="left"/>
      </w:pPr>
      <w:r>
        <w:rPr>
          <w:rFonts w:ascii="Times New Roman" w:hAnsi="Times New Roman"/>
          <w:sz w:val="22"/>
        </w:rPr>
        <w:t xml:space="preserve">OATES, Wallace E. An essay on fiscal federalism.</w:t>
      </w:r>
      <w:r>
        <w:rPr>
          <w:rFonts w:ascii="Times New Roman" w:hAnsi="Times New Roman"/>
          <w:sz w:val="22"/>
        </w:rPr>
        <w:t xml:space="preserve"> </w:t>
      </w:r>
      <w:r>
        <w:rPr>
          <w:rFonts w:ascii="Times New Roman" w:hAnsi="Times New Roman"/>
          <w:i/>
          <w:iCs/>
          <w:sz w:val="22"/>
        </w:rPr>
        <w:t xml:space="preserve">Journal of Economic Literature</w:t>
      </w:r>
      <w:r>
        <w:rPr>
          <w:rFonts w:ascii="Times New Roman" w:hAnsi="Times New Roman"/>
          <w:sz w:val="22"/>
        </w:rPr>
        <w:t xml:space="preserve">, v. 37, n. 3, p. 1120-1149, 1999.</w:t>
      </w:r>
    </w:p>
    <w:p>
      <w:pPr>
        <w:pStyle w:val="BodyText"/>
        <w:spacing w:line="240" w:lineRule="auto" w:before="0" w:after="160"/>
        <w:ind w:firstLine="0"/>
        <w:jc w:val="left"/>
      </w:pPr>
      <w:r>
        <w:rPr>
          <w:rFonts w:ascii="Times New Roman" w:hAnsi="Times New Roman"/>
          <w:sz w:val="22"/>
        </w:rPr>
        <w:t xml:space="preserve">PARANÁ. Governo do Estado.</w:t>
      </w:r>
      <w:r>
        <w:rPr>
          <w:rFonts w:ascii="Times New Roman" w:hAnsi="Times New Roman"/>
          <w:sz w:val="22"/>
        </w:rPr>
        <w:t xml:space="preserve"> </w:t>
      </w:r>
      <w:r>
        <w:rPr>
          <w:rFonts w:ascii="Times New Roman" w:hAnsi="Times New Roman"/>
          <w:i/>
          <w:iCs/>
          <w:sz w:val="22"/>
        </w:rPr>
        <w:t xml:space="preserve">Portal da Transparência: repasses do Governo Estadual aos municípios</w:t>
      </w:r>
      <w:r>
        <w:rPr>
          <w:rFonts w:ascii="Times New Roman" w:hAnsi="Times New Roman"/>
          <w:sz w:val="22"/>
        </w:rPr>
        <w:t xml:space="preserve">. Curitiba: Governo do Estado do Paraná, 2026. Disponível em:</w:t>
      </w:r>
      <w:r>
        <w:rPr>
          <w:rFonts w:ascii="Times New Roman" w:hAnsi="Times New Roman"/>
          <w:sz w:val="22"/>
        </w:rPr>
        <w:t xml:space="preserve"> </w:t>
      </w:r>
      <w:hyperlink r:id="rId54">
        <w:r>
          <w:rPr>
            <w:rStyle w:val="Hyperlink"/>
          </w:rPr>
          <w:t xml:space="preserve">https://www.transparencia.pr.gov.br/</w:t>
        </w:r>
      </w:hyperlink>
      <w:r>
        <w:rPr>
          <w:rFonts w:ascii="Times New Roman" w:hAnsi="Times New Roman"/>
          <w:sz w:val="22"/>
        </w:rPr>
        <w:t xml:space="preserve">. Acesso em: 30 set. 2026.</w:t>
      </w:r>
    </w:p>
    <w:p>
      <w:pPr>
        <w:pStyle w:val="BodyText"/>
        <w:spacing w:line="240" w:lineRule="auto" w:before="0" w:after="160"/>
        <w:ind w:firstLine="0"/>
        <w:jc w:val="left"/>
      </w:pPr>
      <w:r>
        <w:rPr>
          <w:rFonts w:ascii="Times New Roman" w:hAnsi="Times New Roman"/>
          <w:sz w:val="22"/>
        </w:rPr>
        <w:t xml:space="preserve">PRADO, Sérgio.</w:t>
      </w:r>
      <w:r>
        <w:rPr>
          <w:rFonts w:ascii="Times New Roman" w:hAnsi="Times New Roman"/>
          <w:sz w:val="22"/>
        </w:rPr>
        <w:t xml:space="preserve"> </w:t>
      </w:r>
      <w:r>
        <w:rPr>
          <w:rFonts w:ascii="Times New Roman" w:hAnsi="Times New Roman"/>
          <w:i/>
          <w:iCs/>
          <w:sz w:val="22"/>
        </w:rPr>
        <w:t xml:space="preserve">A dimensão federativa da reforma tributária: uma síntese didática e vários pontos críticos</w:t>
      </w:r>
      <w:r>
        <w:rPr>
          <w:rFonts w:ascii="Times New Roman" w:hAnsi="Times New Roman"/>
          <w:sz w:val="22"/>
        </w:rPr>
        <w:t xml:space="preserve">. Redação final. [S. l.]: [s. n.], jun. 2025. Disponível em:</w:t>
      </w:r>
      <w:r>
        <w:rPr>
          <w:rFonts w:ascii="Times New Roman" w:hAnsi="Times New Roman"/>
          <w:sz w:val="22"/>
        </w:rPr>
        <w:t xml:space="preserve"> </w:t>
      </w:r>
      <w:hyperlink r:id="rId55">
        <w:r>
          <w:rPr>
            <w:rStyle w:val="Hyperlink"/>
          </w:rPr>
          <w:t xml:space="preserve">https://www.joserobertoafonso.com.br/wp-content/uploads/2025/08/A_DIMENSAO_FEDERATIVA_DA_REFORMA_TRIBUTARIA.pdf</w:t>
        </w:r>
      </w:hyperlink>
      <w:r>
        <w:rPr>
          <w:rFonts w:ascii="Times New Roman" w:hAnsi="Times New Roman"/>
          <w:sz w:val="22"/>
        </w:rPr>
        <w:t xml:space="preserve">. Acesso em: 10 jun. 2026.</w:t>
      </w:r>
    </w:p>
    <w:p>
      <w:pPr>
        <w:pStyle w:val="BodyText"/>
        <w:spacing w:line="240" w:lineRule="auto" w:before="0" w:after="160"/>
        <w:ind w:firstLine="0"/>
        <w:jc w:val="left"/>
      </w:pPr>
      <w:r>
        <w:rPr>
          <w:rFonts w:ascii="Times New Roman" w:hAnsi="Times New Roman"/>
          <w:sz w:val="22"/>
        </w:rPr>
        <w:t xml:space="preserve">ROSEN, Harvey S.; GAYER, Ted.</w:t>
      </w:r>
      <w:r>
        <w:rPr>
          <w:rFonts w:ascii="Times New Roman" w:hAnsi="Times New Roman"/>
          <w:sz w:val="22"/>
        </w:rPr>
        <w:t xml:space="preserve"> </w:t>
      </w:r>
      <w:r>
        <w:rPr>
          <w:rFonts w:ascii="Times New Roman" w:hAnsi="Times New Roman"/>
          <w:i/>
          <w:iCs/>
          <w:sz w:val="22"/>
        </w:rPr>
        <w:t xml:space="preserve">Public finance</w:t>
      </w:r>
      <w:r>
        <w:rPr>
          <w:rFonts w:ascii="Times New Roman" w:hAnsi="Times New Roman"/>
          <w:sz w:val="22"/>
        </w:rPr>
        <w:t xml:space="preserve">. 10. ed. New York: McGraw-Hill, 2014.</w:t>
      </w:r>
    </w:p>
    <w:p>
      <w:pPr>
        <w:pStyle w:val="BodyText"/>
        <w:spacing w:line="240" w:lineRule="auto" w:before="0" w:after="160"/>
        <w:ind w:firstLine="0"/>
        <w:jc w:val="left"/>
      </w:pPr>
      <w:r>
        <w:rPr>
          <w:rFonts w:ascii="Times New Roman" w:hAnsi="Times New Roman"/>
          <w:sz w:val="22"/>
        </w:rPr>
        <w:t xml:space="preserve">SECRETARIA DO TESOURO NACIONAL (STN).</w:t>
      </w:r>
      <w:r>
        <w:rPr>
          <w:rFonts w:ascii="Times New Roman" w:hAnsi="Times New Roman"/>
          <w:sz w:val="22"/>
        </w:rPr>
        <w:t xml:space="preserve"> </w:t>
      </w:r>
      <w:r>
        <w:rPr>
          <w:rFonts w:ascii="Times New Roman" w:hAnsi="Times New Roman"/>
          <w:i/>
          <w:iCs/>
          <w:sz w:val="22"/>
        </w:rPr>
        <w:t xml:space="preserve">Siconfi: Sistema de Informações Contábeis e Fiscais do Setor Público Brasileiro</w:t>
      </w:r>
      <w:r>
        <w:rPr>
          <w:rFonts w:ascii="Times New Roman" w:hAnsi="Times New Roman"/>
          <w:sz w:val="22"/>
        </w:rPr>
        <w:t xml:space="preserve">. Declaração de Contas Anuais, </w:t>
      </w:r>
      <w:r>
        <w:rPr>
          <w:rFonts w:ascii="Times New Roman" w:hAnsi="Times New Roman"/>
          <w:sz w:val="22"/>
        </w:rPr>
        <w:t>Anexo I-C, 2019 a 2025, e Relatório Resumido da Execução Orçamentária (RREO), 2026.</w:t>
      </w:r>
      <w:r>
        <w:rPr>
          <w:rFonts w:ascii="Times New Roman" w:hAnsi="Times New Roman"/>
          <w:sz w:val="22"/>
        </w:rPr>
        <w:t xml:space="preserve"> Brasília, DF: STN, 2026. Disponível em:</w:t>
      </w:r>
      <w:r>
        <w:rPr>
          <w:rFonts w:ascii="Times New Roman" w:hAnsi="Times New Roman"/>
          <w:sz w:val="22"/>
        </w:rPr>
        <w:t xml:space="preserve"> </w:t>
      </w:r>
      <w:hyperlink r:id="rId56">
        <w:r>
          <w:rPr>
            <w:rStyle w:val="Hyperlink"/>
          </w:rPr>
          <w:t xml:space="preserve">https://siconfi.tesouro.gov.br/</w:t>
        </w:r>
      </w:hyperlink>
      <w:r>
        <w:rPr>
          <w:rFonts w:ascii="Times New Roman" w:hAnsi="Times New Roman"/>
          <w:sz w:val="22"/>
        </w:rPr>
        <w:t xml:space="preserve">. Acesso em: 8 ago. 2026.</w:t>
      </w:r>
    </w:p>
    <w:p>
      <w:pPr>
        <w:pStyle w:val="BodyText"/>
        <w:spacing w:line="240" w:lineRule="auto" w:before="0" w:after="160"/>
        <w:ind w:firstLine="0"/>
        <w:jc w:val="left"/>
      </w:pPr>
      <w:r>
        <w:rPr>
          <w:rFonts w:ascii="Times New Roman" w:hAnsi="Times New Roman"/>
          <w:sz w:val="22"/>
        </w:rPr>
        <w:t xml:space="preserve">TER-MINASSIAN, Teresa (org.).</w:t>
      </w:r>
      <w:r>
        <w:rPr>
          <w:rFonts w:ascii="Times New Roman" w:hAnsi="Times New Roman"/>
          <w:sz w:val="22"/>
        </w:rPr>
        <w:t xml:space="preserve"> </w:t>
      </w:r>
      <w:r>
        <w:rPr>
          <w:rFonts w:ascii="Times New Roman" w:hAnsi="Times New Roman"/>
          <w:i/>
          <w:iCs/>
          <w:sz w:val="22"/>
        </w:rPr>
        <w:t xml:space="preserve">Fiscal federalism in theory and practice</w:t>
      </w:r>
      <w:r>
        <w:rPr>
          <w:rFonts w:ascii="Times New Roman" w:hAnsi="Times New Roman"/>
          <w:sz w:val="22"/>
        </w:rPr>
        <w:t xml:space="preserve">. Washington, DC: International Monetary Fund, 1997.</w:t>
      </w:r>
    </w:p>
    <w:p>
      <w:pPr>
        <w:pStyle w:val="BodyText"/>
        <w:spacing w:line="240" w:lineRule="auto" w:before="0" w:after="160"/>
        <w:ind w:firstLine="0"/>
        <w:jc w:val="left"/>
      </w:pPr>
      <w:r>
        <w:rPr>
          <w:rFonts w:ascii="Times New Roman" w:hAnsi="Times New Roman"/>
          <w:sz w:val="22"/>
        </w:rPr>
        <w:t xml:space="preserve">TRIBUNAL DE CONTAS DO ESTADO DO PARANÁ (TCE-PR).</w:t>
      </w:r>
      <w:r>
        <w:rPr>
          <w:rFonts w:ascii="Times New Roman" w:hAnsi="Times New Roman"/>
          <w:sz w:val="22"/>
        </w:rPr>
        <w:t xml:space="preserve"> </w:t>
      </w:r>
      <w:r>
        <w:rPr>
          <w:rFonts w:ascii="Times New Roman" w:hAnsi="Times New Roman"/>
          <w:i/>
          <w:iCs/>
          <w:sz w:val="22"/>
        </w:rPr>
        <w:t xml:space="preserve">Portal de Informação para Todos (PIT): relatório de receitas e repasses; Sistema de Informações Municipais: Acompanhamento Mensal (SIM-AM)</w:t>
      </w:r>
      <w:r>
        <w:rPr>
          <w:rFonts w:ascii="Times New Roman" w:hAnsi="Times New Roman"/>
          <w:sz w:val="22"/>
        </w:rPr>
        <w:t xml:space="preserve">. Curitiba: TCE-PR, 2026. Disponível em:</w:t>
      </w:r>
      <w:r>
        <w:rPr>
          <w:rFonts w:ascii="Times New Roman" w:hAnsi="Times New Roman"/>
          <w:sz w:val="22"/>
        </w:rPr>
        <w:t xml:space="preserve"> </w:t>
      </w:r>
      <w:hyperlink r:id="rId57">
        <w:r>
          <w:rPr>
            <w:rStyle w:val="Hyperlink"/>
          </w:rPr>
          <w:t xml:space="preserve">https://pit.tce.pr.gov.br/Arquivos/Repasses-Receitas.html</w:t>
        </w:r>
      </w:hyperlink>
      <w:r>
        <w:rPr>
          <w:rFonts w:ascii="Times New Roman" w:hAnsi="Times New Roman"/>
          <w:sz w:val="22"/>
        </w:rPr>
        <w:t xml:space="preserve">. Acesso em: 30 set. 2026.</w:t>
      </w:r>
    </w:p>
    <w:p>
      <w:pPr>
        <w:pStyle w:val="BodyText"/>
        <w:spacing w:line="240" w:lineRule="auto" w:before="0" w:after="160"/>
        <w:ind w:firstLine="0"/>
        <w:jc w:val="left"/>
      </w:pPr>
      <w:r>
        <w:rPr>
          <w:rFonts w:ascii="Times New Roman" w:hAnsi="Times New Roman"/>
          <w:sz w:val="22"/>
        </w:rPr>
        <w:t xml:space="preserve">VARSANO, Ricardo. A guerra fiscal do ICMS: quem ganha e quem perde.</w:t>
      </w:r>
      <w:r>
        <w:rPr>
          <w:rFonts w:ascii="Times New Roman" w:hAnsi="Times New Roman"/>
          <w:sz w:val="22"/>
        </w:rPr>
        <w:t xml:space="preserve"> </w:t>
      </w:r>
      <w:r>
        <w:rPr>
          <w:rFonts w:ascii="Times New Roman" w:hAnsi="Times New Roman"/>
          <w:i/>
          <w:iCs/>
          <w:sz w:val="22"/>
        </w:rPr>
        <w:t xml:space="preserve">Planejamento e Políticas Públicas</w:t>
      </w:r>
      <w:r>
        <w:rPr>
          <w:rFonts w:ascii="Times New Roman" w:hAnsi="Times New Roman"/>
          <w:sz w:val="22"/>
        </w:rPr>
        <w:t xml:space="preserve">, Brasília, DF: Instituto de Pesquisa Econômica Aplicada, n. 15, p. 13-18, 1997.</w:t>
      </w:r>
    </w:p>
    <w:bookmarkEnd w:id="58"/>
    <w:bookmarkStart w:id="71" w:name="X5d2fd5eb702254664b89843c7b0355101eeb182"/>
    <w:p>
      <w:pPr>
        <w:pStyle w:val="Heading1"/>
        <w:pageBreakBefore/>
      </w:pPr>
      <w:r>
        <w:t xml:space="preserve">Anexo A: Validação externa e memórias de cálculo</w:t>
      </w:r>
    </w:p>
    <w:p>
      <w:pPr>
        <w:pStyle w:val="FirstParagraph"/>
      </w:pPr>
      <w:r>
        <w:t>Este anexo reúne sete conjuntos de resultados complementares. O primeiro confronta diretamente as projeções estaduais deste estudo com as apresentadas pelo Ipea ao Confaz, tanto na base de 2025 quanto em 2033. O segundo apresenta a memória de cálculo do coeficiente de participação do governo estadual do Paraná na transição federativa. O terceiro apresenta a associação entre os coeficientes de repartição e a variação da receita estadual em 2033. O quarto destrincha, como exemplo, o cálculo da receita estadual do Paraná em 2033. O quinto compara Curitiba com as demais capitais brasileiras no mesmo ano. O sexto reúne os símbolos e as definições utilizados no modelo de projeção, e o sétimo apresenta a sensibilidade do resultado de 2033 ao ano-base do contrafactual e ao coeficiente de destino.</w:t>
      </w:r>
    </w:p>
    <w:bookmarkStart w:id="59" w:name="tab:anexo_validacao"/>
    <w:p>
      <w:pPr>
        <w:pStyle w:val="TableCaption"/>
      </w:pPr>
      <w:r>
        <w:rPr>
          <w:b/>
          <w:bCs/>
        </w:rPr>
        <w:t xml:space="preserve">Tabela A.1:</w:t>
      </w:r>
      <w:r>
        <w:t xml:space="preserve"> Validação externa das projeções estaduais: este estudo e Ipea, base de 2025 e projeção de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0" w:lastRow="0" w:firstColumn="0" w:lastColumn="0" w:noHBand="0" w:noVBand="0" w:val="0000"/>
        <w:tblCaption w:val="Tabela A.1: Validação externa das projeções estaduais: este estudo e Ipea, base de 2025 e projeção de 2033"/>
      </w:tblPr>
      <w:tblGrid>
        <w:gridCol w:w="590"/>
        <w:gridCol w:w="1696"/>
        <w:gridCol w:w="1327"/>
        <w:gridCol w:w="958"/>
        <w:gridCol w:w="1106"/>
        <w:gridCol w:w="1327"/>
        <w:gridCol w:w="958"/>
        <w:gridCol w:w="1106"/>
      </w:tblGrid>
      <w:tr>
        <w:trPr>
          <w:cantSplit/>
          <w:tblHeader/>
        </w:trPr>
        <w:tc>
          <w:tcPr>
            <w:tcW w:type="dxa" w:w="590"/>
            <w:tcBorders>
              <w:top w:val="single" w:sz="12" w:space="0" w:color="000000"/>
              <w:bottom w:val="single" w:sz="6" w:space="0" w:color="000000"/>
            </w:tcBorders>
          </w:tcPr>
          <w:p>
            <w:pPr>
              <w:pStyle w:val="Compact"/>
              <w:spacing w:line="240" w:lineRule="auto" w:before="20" w:after="20"/>
              <w:ind w:firstLine="0"/>
              <w:jc w:val="center"/>
            </w:pPr>
          </w:p>
        </w:tc>
        <w:tc>
          <w:tcPr>
            <w:tcW w:type="dxa" w:w="1696"/>
            <w:tcBorders>
              <w:top w:val="single" w:sz="12" w:space="0" w:color="000000"/>
              <w:bottom w:val="single" w:sz="6" w:space="0" w:color="000000"/>
            </w:tcBorders>
          </w:tcPr>
          <w:p>
            <w:pPr>
              <w:pStyle w:val="Compact"/>
              <w:spacing w:line="240" w:lineRule="auto" w:before="20" w:after="20"/>
              <w:ind w:firstLine="0"/>
              <w:jc w:val="center"/>
            </w:pPr>
          </w:p>
        </w:tc>
        <w:tc>
          <w:tcPr>
            <w:tcW w:type="dxa" w:w="3392"/>
            <w:gridSpan w:val="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Base 2025</w:t>
            </w:r>
          </w:p>
        </w:tc>
        <w:tc>
          <w:tcPr>
            <w:tcW w:type="dxa" w:w="3392"/>
            <w:gridSpan w:val="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Projeção 2033</w:t>
            </w:r>
          </w:p>
        </w:tc>
      </w:tr>
      <w:tr>
        <w:trPr>
          <w:cantSplit/>
        </w:trPr>
        <w:tc>
          <w:tcPr>
            <w:tcW w:type="dxa" w:w="590"/>
          </w:tcPr>
          <w:p>
            <w:pPr>
              <w:pStyle w:val="Compact"/>
              <w:spacing w:line="240" w:lineRule="auto" w:before="20" w:after="20"/>
              <w:ind w:firstLine="0"/>
              <w:jc w:val="left"/>
            </w:pPr>
            <w:r>
              <w:rPr>
                <w:rFonts w:ascii="Times New Roman" w:hAnsi="Times New Roman"/>
                <w:b/>
                <w:bCs/>
                <w:sz w:val="16"/>
              </w:rPr>
              <w:t xml:space="preserve">UF</w:t>
            </w:r>
          </w:p>
        </w:tc>
        <w:tc>
          <w:tcPr>
            <w:tcW w:type="dxa" w:w="1696"/>
          </w:tcPr>
          <w:p>
            <w:pPr>
              <w:pStyle w:val="Compact"/>
              <w:spacing w:line="240" w:lineRule="auto" w:before="20" w:after="20"/>
              <w:ind w:firstLine="0"/>
              <w:jc w:val="left"/>
            </w:pPr>
            <w:r>
              <w:rPr>
                <w:rFonts w:ascii="Times New Roman" w:hAnsi="Times New Roman"/>
                <w:b/>
                <w:bCs/>
                <w:sz w:val="16"/>
              </w:rPr>
              <w:t xml:space="preserve">Estado</w:t>
            </w:r>
          </w:p>
        </w:tc>
        <w:tc>
          <w:tcPr>
            <w:tcW w:type="dxa" w:w="1327"/>
          </w:tcPr>
          <w:p>
            <w:pPr>
              <w:pStyle w:val="Compact"/>
              <w:spacing w:line="240" w:lineRule="auto" w:before="20" w:after="20"/>
              <w:ind w:firstLine="0"/>
              <w:jc w:val="right"/>
            </w:pPr>
            <w:r>
              <w:rPr>
                <w:rFonts w:ascii="Times New Roman" w:hAnsi="Times New Roman"/>
                <w:b/>
                <w:bCs/>
                <w:sz w:val="16"/>
              </w:rPr>
              <w:t xml:space="preserve">Este estudo</w:t>
            </w:r>
            <w:r>
              <w:rPr>
                <w:rFonts w:ascii="Times New Roman" w:hAnsi="Times New Roman"/>
                <w:sz w:val="16"/>
              </w:rPr>
              <w:br/>
            </w:r>
            <w:r>
              <w:rPr>
                <w:rFonts w:ascii="Times New Roman" w:hAnsi="Times New Roman"/>
                <w:b/>
                <w:bCs/>
                <w:sz w:val="16"/>
              </w:rPr>
              <w:t xml:space="preserve">R$ bi</w:t>
            </w:r>
          </w:p>
        </w:tc>
        <w:tc>
          <w:tcPr>
            <w:tcW w:type="dxa" w:w="958"/>
          </w:tcPr>
          <w:p>
            <w:pPr>
              <w:pStyle w:val="Compact"/>
              <w:spacing w:line="240" w:lineRule="auto" w:before="20" w:after="20"/>
              <w:ind w:firstLine="0"/>
              <w:jc w:val="right"/>
            </w:pPr>
            <w:r>
              <w:rPr>
                <w:rFonts w:ascii="Times New Roman" w:hAnsi="Times New Roman"/>
                <w:b/>
                <w:bCs/>
                <w:sz w:val="16"/>
              </w:rPr>
              <w:t xml:space="preserve">Ipea</w:t>
            </w:r>
            <w:r>
              <w:rPr>
                <w:rFonts w:ascii="Times New Roman" w:hAnsi="Times New Roman"/>
                <w:sz w:val="16"/>
              </w:rPr>
              <w:br/>
            </w:r>
            <w:r>
              <w:rPr>
                <w:rFonts w:ascii="Times New Roman" w:hAnsi="Times New Roman"/>
                <w:b/>
                <w:bCs/>
                <w:sz w:val="16"/>
              </w:rPr>
              <w:t xml:space="preserve">R$ bi</w:t>
            </w:r>
          </w:p>
        </w:tc>
        <w:tc>
          <w:tcPr>
            <w:tcW w:type="dxa" w:w="1106"/>
          </w:tcPr>
          <w:p>
            <w:pPr>
              <w:pStyle w:val="Compact"/>
              <w:spacing w:line="240" w:lineRule="auto" w:before="20" w:after="20"/>
              <w:ind w:firstLine="0"/>
              <w:jc w:val="right"/>
            </w:pPr>
            <m:oMath>
              <m:r>
                <m:rPr>
                  <m:sty m:val="p"/>
                </m:rPr>
                <m:t>Δ</m:t>
              </m:r>
            </m:oMath>
            <w:r>
              <w:rPr>
                <w:rFonts w:ascii="Times New Roman" w:hAnsi="Times New Roman"/>
                <w:b/>
                <w:bCs/>
                <w:sz w:val="16"/>
              </w:rPr>
              <w:t xml:space="preserve"> </w:t>
            </w:r>
            <w:r>
              <w:rPr>
                <w:rFonts w:ascii="Times New Roman" w:hAnsi="Times New Roman"/>
                <w:b/>
                <w:bCs/>
                <w:sz w:val="16"/>
              </w:rPr>
              <w:t xml:space="preserve">base</w:t>
            </w:r>
            <w:r>
              <w:rPr>
                <w:rFonts w:ascii="Times New Roman" w:hAnsi="Times New Roman"/>
                <w:sz w:val="16"/>
              </w:rPr>
              <w:br/>
            </w:r>
            <w:r>
              <w:rPr>
                <w:rFonts w:ascii="Times New Roman" w:hAnsi="Times New Roman"/>
                <w:b/>
                <w:bCs/>
                <w:sz w:val="16"/>
              </w:rPr>
              <w:t xml:space="preserve">(%)</w:t>
            </w:r>
          </w:p>
        </w:tc>
        <w:tc>
          <w:tcPr>
            <w:tcW w:type="dxa" w:w="1327"/>
          </w:tcPr>
          <w:p>
            <w:pPr>
              <w:pStyle w:val="Compact"/>
              <w:spacing w:line="240" w:lineRule="auto" w:before="20" w:after="20"/>
              <w:ind w:firstLine="0"/>
              <w:jc w:val="right"/>
            </w:pPr>
            <w:r>
              <w:rPr>
                <w:rFonts w:ascii="Times New Roman" w:hAnsi="Times New Roman"/>
                <w:b/>
                <w:bCs/>
                <w:sz w:val="16"/>
              </w:rPr>
              <w:t xml:space="preserve">Este estudo</w:t>
            </w:r>
            <w:r>
              <w:rPr>
                <w:rFonts w:ascii="Times New Roman" w:hAnsi="Times New Roman"/>
                <w:sz w:val="16"/>
              </w:rPr>
              <w:br/>
            </w:r>
            <w:r>
              <w:rPr>
                <w:rFonts w:ascii="Times New Roman" w:hAnsi="Times New Roman"/>
                <w:b/>
                <w:bCs/>
                <w:sz w:val="16"/>
              </w:rPr>
              <w:t xml:space="preserve">R$ bi</w:t>
            </w:r>
          </w:p>
        </w:tc>
        <w:tc>
          <w:tcPr>
            <w:tcW w:type="dxa" w:w="958"/>
          </w:tcPr>
          <w:p>
            <w:pPr>
              <w:pStyle w:val="Compact"/>
              <w:spacing w:line="240" w:lineRule="auto" w:before="20" w:after="20"/>
              <w:ind w:firstLine="0"/>
              <w:jc w:val="right"/>
            </w:pPr>
            <w:r>
              <w:rPr>
                <w:rFonts w:ascii="Times New Roman" w:hAnsi="Times New Roman"/>
                <w:b/>
                <w:bCs/>
                <w:sz w:val="16"/>
              </w:rPr>
              <w:t xml:space="preserve">Ipea</w:t>
            </w:r>
            <w:r>
              <w:rPr>
                <w:rFonts w:ascii="Times New Roman" w:hAnsi="Times New Roman"/>
                <w:sz w:val="16"/>
              </w:rPr>
              <w:br/>
            </w:r>
            <w:r>
              <w:rPr>
                <w:rFonts w:ascii="Times New Roman" w:hAnsi="Times New Roman"/>
                <w:b/>
                <w:bCs/>
                <w:sz w:val="16"/>
              </w:rPr>
              <w:t xml:space="preserve">R$ bi</w:t>
            </w:r>
          </w:p>
        </w:tc>
        <w:tc>
          <w:tcPr>
            <w:tcW w:type="dxa" w:w="1106"/>
          </w:tcPr>
          <w:p>
            <w:pPr>
              <w:pStyle w:val="Compact"/>
              <w:spacing w:line="240" w:lineRule="auto" w:before="20" w:after="20"/>
              <w:ind w:firstLine="0"/>
              <w:jc w:val="right"/>
            </w:pPr>
            <m:oMath>
              <m:r>
                <m:rPr>
                  <m:sty m:val="p"/>
                </m:rPr>
                <m:t>Δ</m:t>
              </m:r>
            </m:oMath>
            <w:r>
              <w:rPr>
                <w:rFonts w:ascii="Times New Roman" w:hAnsi="Times New Roman"/>
                <w:b/>
                <w:bCs/>
                <w:sz w:val="16"/>
              </w:rPr>
              <w:t xml:space="preserve"> </w:t>
            </w:r>
            <w:r>
              <w:rPr>
                <w:rFonts w:ascii="Times New Roman" w:hAnsi="Times New Roman"/>
                <w:b/>
                <w:bCs/>
                <w:sz w:val="16"/>
              </w:rPr>
              <w:t xml:space="preserve">2033</w:t>
            </w:r>
            <w:r>
              <w:rPr>
                <w:rFonts w:ascii="Times New Roman" w:hAnsi="Times New Roman"/>
                <w:sz w:val="16"/>
              </w:rPr>
              <w:br/>
            </w:r>
            <w:r>
              <w:rPr>
                <w:rFonts w:ascii="Times New Roman" w:hAnsi="Times New Roman"/>
                <w:b/>
                <w:bCs/>
                <w:sz w:val="16"/>
              </w:rPr>
              <w:t xml:space="preserve">(%)</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AM</w:t>
            </w:r>
          </w:p>
        </w:tc>
        <w:tc>
          <w:tcPr>
            <w:tcW w:type="dxa" w:w="1696"/>
          </w:tcPr>
          <w:p>
            <w:pPr>
              <w:pStyle w:val="Compact"/>
              <w:spacing w:line="240" w:lineRule="auto" w:before="20" w:after="20"/>
              <w:ind w:firstLine="0"/>
              <w:jc w:val="left"/>
            </w:pPr>
            <w:r>
              <w:rPr>
                <w:rFonts w:ascii="Times New Roman" w:hAnsi="Times New Roman"/>
                <w:sz w:val="16"/>
              </w:rPr>
              <w:t xml:space="preserve">Amazonas</w:t>
            </w:r>
          </w:p>
        </w:tc>
        <w:tc>
          <w:tcPr>
            <w:tcW w:type="dxa" w:w="1327"/>
          </w:tcPr>
          <w:p>
            <w:pPr>
              <w:pStyle w:val="Compact"/>
              <w:spacing w:line="240" w:lineRule="auto" w:before="20" w:after="20"/>
              <w:ind w:firstLine="0"/>
              <w:jc w:val="right"/>
            </w:pPr>
            <w:r>
              <w:rPr>
                <w:rFonts w:ascii="Times New Roman" w:hAnsi="Times New Roman"/>
                <w:sz w:val="16"/>
              </w:rPr>
              <w:t>15,9</w:t>
            </w:r>
          </w:p>
        </w:tc>
        <w:tc>
          <w:tcPr>
            <w:tcW w:type="dxa" w:w="958"/>
          </w:tcPr>
          <w:p>
            <w:pPr>
              <w:pStyle w:val="Compact"/>
              <w:spacing w:line="240" w:lineRule="auto" w:before="20" w:after="20"/>
              <w:ind w:firstLine="0"/>
              <w:jc w:val="right"/>
            </w:pPr>
            <w:r>
              <w:rPr>
                <w:rFonts w:ascii="Times New Roman" w:hAnsi="Times New Roman"/>
                <w:sz w:val="16"/>
              </w:rPr>
              <w:t xml:space="preserve">16,2</w:t>
            </w:r>
          </w:p>
        </w:tc>
        <w:tc>
          <w:tcPr>
            <w:tcW w:type="dxa" w:w="1106"/>
          </w:tcPr>
          <w:p>
            <w:pPr>
              <w:pStyle w:val="Compact"/>
              <w:spacing w:line="240" w:lineRule="auto" w:before="20" w:after="20"/>
              <w:ind w:firstLine="0"/>
              <w:jc w:val="right"/>
            </w:pPr>
            <w:r>
              <w:rPr>
                <w:rFonts w:ascii="Times New Roman" w:hAnsi="Times New Roman"/>
                <w:sz w:val="16"/>
              </w:rPr>
              <w:t>+2,4%</w:t>
            </w:r>
          </w:p>
        </w:tc>
        <w:tc>
          <w:tcPr>
            <w:tcW w:type="dxa" w:w="1327"/>
          </w:tcPr>
          <w:p>
            <w:pPr>
              <w:pStyle w:val="Compact"/>
              <w:spacing w:line="240" w:lineRule="auto" w:before="20" w:after="20"/>
              <w:ind w:firstLine="0"/>
              <w:jc w:val="right"/>
            </w:pPr>
            <w:r>
              <w:rPr>
                <w:rFonts w:ascii="Times New Roman" w:hAnsi="Times New Roman"/>
                <w:sz w:val="16"/>
              </w:rPr>
              <w:t>20,3</w:t>
            </w:r>
          </w:p>
        </w:tc>
        <w:tc>
          <w:tcPr>
            <w:tcW w:type="dxa" w:w="958"/>
          </w:tcPr>
          <w:p>
            <w:pPr>
              <w:pStyle w:val="Compact"/>
              <w:spacing w:line="240" w:lineRule="auto" w:before="20" w:after="20"/>
              <w:ind w:firstLine="0"/>
              <w:jc w:val="right"/>
            </w:pPr>
            <w:r>
              <w:rPr>
                <w:rFonts w:ascii="Times New Roman" w:hAnsi="Times New Roman"/>
                <w:sz w:val="16"/>
              </w:rPr>
              <w:t xml:space="preserve">18,9</w:t>
            </w:r>
          </w:p>
        </w:tc>
        <w:tc>
          <w:tcPr>
            <w:tcW w:type="dxa" w:w="1106"/>
          </w:tcPr>
          <w:p>
            <w:pPr>
              <w:pStyle w:val="Compact"/>
              <w:spacing w:line="240" w:lineRule="auto" w:before="20" w:after="20"/>
              <w:ind w:firstLine="0"/>
              <w:jc w:val="right"/>
            </w:pPr>
            <w:r>
              <w:rPr>
                <w:rFonts w:ascii="Times New Roman" w:hAnsi="Times New Roman"/>
                <w:sz w:val="16"/>
              </w:rPr>
              <w:t>−7,2%</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GO</w:t>
            </w:r>
          </w:p>
        </w:tc>
        <w:tc>
          <w:tcPr>
            <w:tcW w:type="dxa" w:w="1696"/>
          </w:tcPr>
          <w:p>
            <w:pPr>
              <w:pStyle w:val="Compact"/>
              <w:spacing w:line="240" w:lineRule="auto" w:before="20" w:after="20"/>
              <w:ind w:firstLine="0"/>
              <w:jc w:val="left"/>
            </w:pPr>
            <w:r>
              <w:rPr>
                <w:rFonts w:ascii="Times New Roman" w:hAnsi="Times New Roman"/>
                <w:sz w:val="16"/>
              </w:rPr>
              <w:t xml:space="preserve">Goiás</w:t>
            </w:r>
          </w:p>
        </w:tc>
        <w:tc>
          <w:tcPr>
            <w:tcW w:type="dxa" w:w="1327"/>
          </w:tcPr>
          <w:p>
            <w:pPr>
              <w:pStyle w:val="Compact"/>
              <w:spacing w:line="240" w:lineRule="auto" w:before="20" w:after="20"/>
              <w:ind w:firstLine="0"/>
              <w:jc w:val="right"/>
            </w:pPr>
            <w:r>
              <w:rPr>
                <w:rFonts w:ascii="Times New Roman" w:hAnsi="Times New Roman"/>
                <w:sz w:val="16"/>
              </w:rPr>
              <w:t xml:space="preserve">23,0</w:t>
            </w:r>
          </w:p>
        </w:tc>
        <w:tc>
          <w:tcPr>
            <w:tcW w:type="dxa" w:w="958"/>
          </w:tcPr>
          <w:p>
            <w:pPr>
              <w:pStyle w:val="Compact"/>
              <w:spacing w:line="240" w:lineRule="auto" w:before="20" w:after="20"/>
              <w:ind w:firstLine="0"/>
              <w:jc w:val="right"/>
            </w:pPr>
            <w:r>
              <w:rPr>
                <w:rFonts w:ascii="Times New Roman" w:hAnsi="Times New Roman"/>
                <w:sz w:val="16"/>
              </w:rPr>
              <w:t xml:space="preserve">25,2</w:t>
            </w:r>
          </w:p>
        </w:tc>
        <w:tc>
          <w:tcPr>
            <w:tcW w:type="dxa" w:w="1106"/>
          </w:tcPr>
          <w:p>
            <w:pPr>
              <w:pStyle w:val="Compact"/>
              <w:spacing w:line="240" w:lineRule="auto" w:before="20" w:after="20"/>
              <w:ind w:firstLine="0"/>
              <w:jc w:val="right"/>
            </w:pPr>
            <w:r>
              <w:rPr>
                <w:rFonts w:ascii="Times New Roman" w:hAnsi="Times New Roman"/>
                <w:sz w:val="16"/>
              </w:rPr>
              <w:t xml:space="preserve">+9,5%</w:t>
            </w:r>
          </w:p>
        </w:tc>
        <w:tc>
          <w:tcPr>
            <w:tcW w:type="dxa" w:w="1327"/>
          </w:tcPr>
          <w:p>
            <w:pPr>
              <w:pStyle w:val="Compact"/>
              <w:spacing w:line="240" w:lineRule="auto" w:before="20" w:after="20"/>
              <w:ind w:firstLine="0"/>
              <w:jc w:val="right"/>
            </w:pPr>
            <w:r>
              <w:rPr>
                <w:rFonts w:ascii="Times New Roman" w:hAnsi="Times New Roman"/>
                <w:sz w:val="16"/>
              </w:rPr>
              <w:t>27,6</w:t>
            </w:r>
          </w:p>
        </w:tc>
        <w:tc>
          <w:tcPr>
            <w:tcW w:type="dxa" w:w="958"/>
          </w:tcPr>
          <w:p>
            <w:pPr>
              <w:pStyle w:val="Compact"/>
              <w:spacing w:line="240" w:lineRule="auto" w:before="20" w:after="20"/>
              <w:ind w:firstLine="0"/>
              <w:jc w:val="right"/>
            </w:pPr>
            <w:r>
              <w:rPr>
                <w:rFonts w:ascii="Times New Roman" w:hAnsi="Times New Roman"/>
                <w:sz w:val="16"/>
              </w:rPr>
              <w:t xml:space="preserve">29,5</w:t>
            </w:r>
          </w:p>
        </w:tc>
        <w:tc>
          <w:tcPr>
            <w:tcW w:type="dxa" w:w="1106"/>
          </w:tcPr>
          <w:p>
            <w:pPr>
              <w:pStyle w:val="Compact"/>
              <w:spacing w:line="240" w:lineRule="auto" w:before="20" w:after="20"/>
              <w:ind w:firstLine="0"/>
              <w:jc w:val="right"/>
            </w:pPr>
            <w:r>
              <w:rPr>
                <w:rFonts w:ascii="Times New Roman" w:hAnsi="Times New Roman"/>
                <w:sz w:val="16"/>
              </w:rPr>
              <w:t>+7,1%</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RN</w:t>
            </w:r>
          </w:p>
        </w:tc>
        <w:tc>
          <w:tcPr>
            <w:tcW w:type="dxa" w:w="1696"/>
          </w:tcPr>
          <w:p>
            <w:pPr>
              <w:pStyle w:val="Compact"/>
              <w:spacing w:line="240" w:lineRule="auto" w:before="20" w:after="20"/>
              <w:ind w:firstLine="0"/>
              <w:jc w:val="left"/>
            </w:pPr>
            <w:r>
              <w:rPr>
                <w:rFonts w:ascii="Times New Roman" w:hAnsi="Times New Roman"/>
                <w:sz w:val="16"/>
              </w:rPr>
              <w:t xml:space="preserve">Rio Grande do Norte</w:t>
            </w:r>
          </w:p>
        </w:tc>
        <w:tc>
          <w:tcPr>
            <w:tcW w:type="dxa" w:w="1327"/>
          </w:tcPr>
          <w:p>
            <w:pPr>
              <w:pStyle w:val="Compact"/>
              <w:spacing w:line="240" w:lineRule="auto" w:before="20" w:after="20"/>
              <w:ind w:firstLine="0"/>
              <w:jc w:val="right"/>
            </w:pPr>
            <w:r>
              <w:rPr>
                <w:rFonts w:ascii="Times New Roman" w:hAnsi="Times New Roman"/>
                <w:sz w:val="16"/>
              </w:rPr>
              <w:t xml:space="preserve">7,1</w:t>
            </w:r>
          </w:p>
        </w:tc>
        <w:tc>
          <w:tcPr>
            <w:tcW w:type="dxa" w:w="958"/>
          </w:tcPr>
          <w:p>
            <w:pPr>
              <w:pStyle w:val="Compact"/>
              <w:spacing w:line="240" w:lineRule="auto" w:before="20" w:after="20"/>
              <w:ind w:firstLine="0"/>
              <w:jc w:val="right"/>
            </w:pPr>
            <w:r>
              <w:rPr>
                <w:rFonts w:ascii="Times New Roman" w:hAnsi="Times New Roman"/>
                <w:sz w:val="16"/>
              </w:rPr>
              <w:t xml:space="preserve">7,2</w:t>
            </w:r>
          </w:p>
        </w:tc>
        <w:tc>
          <w:tcPr>
            <w:tcW w:type="dxa" w:w="1106"/>
          </w:tcPr>
          <w:p>
            <w:pPr>
              <w:pStyle w:val="Compact"/>
              <w:spacing w:line="240" w:lineRule="auto" w:before="20" w:after="20"/>
              <w:ind w:firstLine="0"/>
              <w:jc w:val="right"/>
            </w:pPr>
            <w:r>
              <w:rPr>
                <w:rFonts w:ascii="Times New Roman" w:hAnsi="Times New Roman"/>
                <w:sz w:val="16"/>
              </w:rPr>
              <w:t xml:space="preserve">+1,0%</w:t>
            </w:r>
          </w:p>
        </w:tc>
        <w:tc>
          <w:tcPr>
            <w:tcW w:type="dxa" w:w="1327"/>
          </w:tcPr>
          <w:p>
            <w:pPr>
              <w:pStyle w:val="Compact"/>
              <w:spacing w:line="240" w:lineRule="auto" w:before="20" w:after="20"/>
              <w:ind w:firstLine="0"/>
              <w:jc w:val="right"/>
            </w:pPr>
            <w:r>
              <w:rPr>
                <w:rFonts w:ascii="Times New Roman" w:hAnsi="Times New Roman"/>
                <w:sz w:val="16"/>
              </w:rPr>
              <w:t xml:space="preserve">8,6</w:t>
            </w:r>
          </w:p>
        </w:tc>
        <w:tc>
          <w:tcPr>
            <w:tcW w:type="dxa" w:w="958"/>
          </w:tcPr>
          <w:p>
            <w:pPr>
              <w:pStyle w:val="Compact"/>
              <w:spacing w:line="240" w:lineRule="auto" w:before="20" w:after="20"/>
              <w:ind w:firstLine="0"/>
              <w:jc w:val="right"/>
            </w:pPr>
            <w:r>
              <w:rPr>
                <w:rFonts w:ascii="Times New Roman" w:hAnsi="Times New Roman"/>
                <w:sz w:val="16"/>
              </w:rPr>
              <w:t xml:space="preserve">8,6</w:t>
            </w:r>
          </w:p>
        </w:tc>
        <w:tc>
          <w:tcPr>
            <w:tcW w:type="dxa" w:w="1106"/>
          </w:tcPr>
          <w:p>
            <w:pPr>
              <w:pStyle w:val="Compact"/>
              <w:spacing w:line="240" w:lineRule="auto" w:before="20" w:after="20"/>
              <w:ind w:firstLine="0"/>
              <w:jc w:val="right"/>
            </w:pPr>
            <w:r>
              <w:rPr>
                <w:rFonts w:ascii="Times New Roman" w:hAnsi="Times New Roman"/>
                <w:sz w:val="16"/>
              </w:rPr>
              <w:t>−0,1%</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MT</w:t>
            </w:r>
          </w:p>
        </w:tc>
        <w:tc>
          <w:tcPr>
            <w:tcW w:type="dxa" w:w="1696"/>
          </w:tcPr>
          <w:p>
            <w:pPr>
              <w:pStyle w:val="Compact"/>
              <w:spacing w:line="240" w:lineRule="auto" w:before="20" w:after="20"/>
              <w:ind w:firstLine="0"/>
              <w:jc w:val="left"/>
            </w:pPr>
            <w:r>
              <w:rPr>
                <w:rFonts w:ascii="Times New Roman" w:hAnsi="Times New Roman"/>
                <w:sz w:val="16"/>
              </w:rPr>
              <w:t xml:space="preserve">Mato Grosso</w:t>
            </w:r>
          </w:p>
        </w:tc>
        <w:tc>
          <w:tcPr>
            <w:tcW w:type="dxa" w:w="1327"/>
          </w:tcPr>
          <w:p>
            <w:pPr>
              <w:pStyle w:val="Compact"/>
              <w:spacing w:line="240" w:lineRule="auto" w:before="20" w:after="20"/>
              <w:ind w:firstLine="0"/>
              <w:jc w:val="right"/>
            </w:pPr>
            <w:r>
              <w:rPr>
                <w:rFonts w:ascii="Times New Roman" w:hAnsi="Times New Roman"/>
                <w:sz w:val="16"/>
              </w:rPr>
              <w:t xml:space="preserve">19,5</w:t>
            </w:r>
          </w:p>
        </w:tc>
        <w:tc>
          <w:tcPr>
            <w:tcW w:type="dxa" w:w="958"/>
          </w:tcPr>
          <w:p>
            <w:pPr>
              <w:pStyle w:val="Compact"/>
              <w:spacing w:line="240" w:lineRule="auto" w:before="20" w:after="20"/>
              <w:ind w:firstLine="0"/>
              <w:jc w:val="right"/>
            </w:pPr>
            <w:r>
              <w:rPr>
                <w:rFonts w:ascii="Times New Roman" w:hAnsi="Times New Roman"/>
                <w:sz w:val="16"/>
              </w:rPr>
              <w:t xml:space="preserve">19,7</w:t>
            </w:r>
          </w:p>
        </w:tc>
        <w:tc>
          <w:tcPr>
            <w:tcW w:type="dxa" w:w="1106"/>
          </w:tcPr>
          <w:p>
            <w:pPr>
              <w:pStyle w:val="Compact"/>
              <w:spacing w:line="240" w:lineRule="auto" w:before="20" w:after="20"/>
              <w:ind w:firstLine="0"/>
              <w:jc w:val="right"/>
            </w:pPr>
            <w:r>
              <w:rPr>
                <w:rFonts w:ascii="Times New Roman" w:hAnsi="Times New Roman"/>
                <w:sz w:val="16"/>
              </w:rPr>
              <w:t xml:space="preserve">+1,0%</w:t>
            </w:r>
          </w:p>
        </w:tc>
        <w:tc>
          <w:tcPr>
            <w:tcW w:type="dxa" w:w="1327"/>
          </w:tcPr>
          <w:p>
            <w:pPr>
              <w:pStyle w:val="Compact"/>
              <w:spacing w:line="240" w:lineRule="auto" w:before="20" w:after="20"/>
              <w:ind w:firstLine="0"/>
              <w:jc w:val="right"/>
            </w:pPr>
            <w:r>
              <w:rPr>
                <w:rFonts w:ascii="Times New Roman" w:hAnsi="Times New Roman"/>
                <w:sz w:val="16"/>
              </w:rPr>
              <w:t>20,8</w:t>
            </w:r>
          </w:p>
        </w:tc>
        <w:tc>
          <w:tcPr>
            <w:tcW w:type="dxa" w:w="958"/>
          </w:tcPr>
          <w:p>
            <w:pPr>
              <w:pStyle w:val="Compact"/>
              <w:spacing w:line="240" w:lineRule="auto" w:before="20" w:after="20"/>
              <w:ind w:firstLine="0"/>
              <w:jc w:val="right"/>
            </w:pPr>
            <w:r>
              <w:rPr>
                <w:rFonts w:ascii="Times New Roman" w:hAnsi="Times New Roman"/>
                <w:sz w:val="16"/>
              </w:rPr>
              <w:t xml:space="preserve">21,1</w:t>
            </w:r>
          </w:p>
        </w:tc>
        <w:tc>
          <w:tcPr>
            <w:tcW w:type="dxa" w:w="1106"/>
          </w:tcPr>
          <w:p>
            <w:pPr>
              <w:pStyle w:val="Compact"/>
              <w:spacing w:line="240" w:lineRule="auto" w:before="20" w:after="20"/>
              <w:ind w:firstLine="0"/>
              <w:jc w:val="right"/>
            </w:pPr>
            <w:r>
              <w:rPr>
                <w:rFonts w:ascii="Times New Roman" w:hAnsi="Times New Roman"/>
                <w:sz w:val="16"/>
              </w:rPr>
              <w:t>+1,3%</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BA</w:t>
            </w:r>
          </w:p>
        </w:tc>
        <w:tc>
          <w:tcPr>
            <w:tcW w:type="dxa" w:w="1696"/>
          </w:tcPr>
          <w:p>
            <w:pPr>
              <w:pStyle w:val="Compact"/>
              <w:spacing w:line="240" w:lineRule="auto" w:before="20" w:after="20"/>
              <w:ind w:firstLine="0"/>
              <w:jc w:val="left"/>
            </w:pPr>
            <w:r>
              <w:rPr>
                <w:rFonts w:ascii="Times New Roman" w:hAnsi="Times New Roman"/>
                <w:sz w:val="16"/>
              </w:rPr>
              <w:t xml:space="preserve">Bahia</w:t>
            </w:r>
          </w:p>
        </w:tc>
        <w:tc>
          <w:tcPr>
            <w:tcW w:type="dxa" w:w="1327"/>
          </w:tcPr>
          <w:p>
            <w:pPr>
              <w:pStyle w:val="Compact"/>
              <w:spacing w:line="240" w:lineRule="auto" w:before="20" w:after="20"/>
              <w:ind w:firstLine="0"/>
              <w:jc w:val="right"/>
            </w:pPr>
            <w:r>
              <w:rPr>
                <w:rFonts w:ascii="Times New Roman" w:hAnsi="Times New Roman"/>
                <w:sz w:val="16"/>
              </w:rPr>
              <w:t xml:space="preserve">31,6</w:t>
            </w:r>
          </w:p>
        </w:tc>
        <w:tc>
          <w:tcPr>
            <w:tcW w:type="dxa" w:w="958"/>
          </w:tcPr>
          <w:p>
            <w:pPr>
              <w:pStyle w:val="Compact"/>
              <w:spacing w:line="240" w:lineRule="auto" w:before="20" w:after="20"/>
              <w:ind w:firstLine="0"/>
              <w:jc w:val="right"/>
            </w:pPr>
            <w:r>
              <w:rPr>
                <w:rFonts w:ascii="Times New Roman" w:hAnsi="Times New Roman"/>
                <w:sz w:val="16"/>
              </w:rPr>
              <w:t xml:space="preserve">31,4</w:t>
            </w:r>
          </w:p>
        </w:tc>
        <w:tc>
          <w:tcPr>
            <w:tcW w:type="dxa" w:w="1106"/>
          </w:tcPr>
          <w:p>
            <w:pPr>
              <w:pStyle w:val="Compact"/>
              <w:spacing w:line="240" w:lineRule="auto" w:before="20" w:after="20"/>
              <w:ind w:firstLine="0"/>
              <w:jc w:val="right"/>
            </w:pPr>
            <w:r>
              <w:rPr>
                <w:rFonts w:ascii="Times New Roman" w:hAnsi="Times New Roman"/>
                <w:sz w:val="16"/>
              </w:rPr>
              <w:t xml:space="preserve">−0,8%</w:t>
            </w:r>
          </w:p>
        </w:tc>
        <w:tc>
          <w:tcPr>
            <w:tcW w:type="dxa" w:w="1327"/>
          </w:tcPr>
          <w:p>
            <w:pPr>
              <w:pStyle w:val="Compact"/>
              <w:spacing w:line="240" w:lineRule="auto" w:before="20" w:after="20"/>
              <w:ind w:firstLine="0"/>
              <w:jc w:val="right"/>
            </w:pPr>
            <w:r>
              <w:rPr>
                <w:rFonts w:ascii="Times New Roman" w:hAnsi="Times New Roman"/>
                <w:sz w:val="16"/>
              </w:rPr>
              <w:t>37,5</w:t>
            </w:r>
          </w:p>
        </w:tc>
        <w:tc>
          <w:tcPr>
            <w:tcW w:type="dxa" w:w="958"/>
          </w:tcPr>
          <w:p>
            <w:pPr>
              <w:pStyle w:val="Compact"/>
              <w:spacing w:line="240" w:lineRule="auto" w:before="20" w:after="20"/>
              <w:ind w:firstLine="0"/>
              <w:jc w:val="right"/>
            </w:pPr>
            <w:r>
              <w:rPr>
                <w:rFonts w:ascii="Times New Roman" w:hAnsi="Times New Roman"/>
                <w:sz w:val="16"/>
              </w:rPr>
              <w:t xml:space="preserve">37,5</w:t>
            </w:r>
          </w:p>
        </w:tc>
        <w:tc>
          <w:tcPr>
            <w:tcW w:type="dxa" w:w="1106"/>
          </w:tcPr>
          <w:p>
            <w:pPr>
              <w:pStyle w:val="Compact"/>
              <w:spacing w:line="240" w:lineRule="auto" w:before="20" w:after="20"/>
              <w:ind w:firstLine="0"/>
              <w:jc w:val="right"/>
            </w:pPr>
            <w:r>
              <w:rPr>
                <w:rFonts w:ascii="Times New Roman" w:hAnsi="Times New Roman"/>
                <w:sz w:val="16"/>
              </w:rPr>
              <w:t>+0,1%</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RJ</w:t>
            </w:r>
          </w:p>
        </w:tc>
        <w:tc>
          <w:tcPr>
            <w:tcW w:type="dxa" w:w="1696"/>
          </w:tcPr>
          <w:p>
            <w:pPr>
              <w:pStyle w:val="Compact"/>
              <w:spacing w:line="240" w:lineRule="auto" w:before="20" w:after="20"/>
              <w:ind w:firstLine="0"/>
              <w:jc w:val="left"/>
            </w:pPr>
            <w:r>
              <w:rPr>
                <w:rFonts w:ascii="Times New Roman" w:hAnsi="Times New Roman"/>
                <w:sz w:val="16"/>
              </w:rPr>
              <w:t xml:space="preserve">Rio de Janeiro</w:t>
            </w:r>
          </w:p>
        </w:tc>
        <w:tc>
          <w:tcPr>
            <w:tcW w:type="dxa" w:w="1327"/>
          </w:tcPr>
          <w:p>
            <w:pPr>
              <w:pStyle w:val="Compact"/>
              <w:spacing w:line="240" w:lineRule="auto" w:before="20" w:after="20"/>
              <w:ind w:firstLine="0"/>
              <w:jc w:val="right"/>
            </w:pPr>
            <w:r>
              <w:rPr>
                <w:rFonts w:ascii="Times New Roman" w:hAnsi="Times New Roman"/>
                <w:sz w:val="16"/>
              </w:rPr>
              <w:t xml:space="preserve">48,5</w:t>
            </w:r>
          </w:p>
        </w:tc>
        <w:tc>
          <w:tcPr>
            <w:tcW w:type="dxa" w:w="958"/>
          </w:tcPr>
          <w:p>
            <w:pPr>
              <w:pStyle w:val="Compact"/>
              <w:spacing w:line="240" w:lineRule="auto" w:before="20" w:after="20"/>
              <w:ind w:firstLine="0"/>
              <w:jc w:val="right"/>
            </w:pPr>
            <w:r>
              <w:rPr>
                <w:rFonts w:ascii="Times New Roman" w:hAnsi="Times New Roman"/>
                <w:sz w:val="16"/>
              </w:rPr>
              <w:t xml:space="preserve">48,2</w:t>
            </w:r>
          </w:p>
        </w:tc>
        <w:tc>
          <w:tcPr>
            <w:tcW w:type="dxa" w:w="1106"/>
          </w:tcPr>
          <w:p>
            <w:pPr>
              <w:pStyle w:val="Compact"/>
              <w:spacing w:line="240" w:lineRule="auto" w:before="20" w:after="20"/>
              <w:ind w:firstLine="0"/>
              <w:jc w:val="right"/>
            </w:pPr>
            <w:r>
              <w:rPr>
                <w:rFonts w:ascii="Times New Roman" w:hAnsi="Times New Roman"/>
                <w:sz w:val="16"/>
              </w:rPr>
              <w:t xml:space="preserve">−0,6%</w:t>
            </w:r>
          </w:p>
        </w:tc>
        <w:tc>
          <w:tcPr>
            <w:tcW w:type="dxa" w:w="1327"/>
          </w:tcPr>
          <w:p>
            <w:pPr>
              <w:pStyle w:val="Compact"/>
              <w:spacing w:line="240" w:lineRule="auto" w:before="20" w:after="20"/>
              <w:ind w:firstLine="0"/>
              <w:jc w:val="right"/>
            </w:pPr>
            <w:r>
              <w:rPr>
                <w:rFonts w:ascii="Times New Roman" w:hAnsi="Times New Roman"/>
                <w:sz w:val="16"/>
              </w:rPr>
              <w:t>60,6</w:t>
            </w:r>
          </w:p>
        </w:tc>
        <w:tc>
          <w:tcPr>
            <w:tcW w:type="dxa" w:w="958"/>
          </w:tcPr>
          <w:p>
            <w:pPr>
              <w:pStyle w:val="Compact"/>
              <w:spacing w:line="240" w:lineRule="auto" w:before="20" w:after="20"/>
              <w:ind w:firstLine="0"/>
              <w:jc w:val="right"/>
            </w:pPr>
            <w:r>
              <w:rPr>
                <w:rFonts w:ascii="Times New Roman" w:hAnsi="Times New Roman"/>
                <w:sz w:val="16"/>
              </w:rPr>
              <w:t xml:space="preserve">60,4</w:t>
            </w:r>
          </w:p>
        </w:tc>
        <w:tc>
          <w:tcPr>
            <w:tcW w:type="dxa" w:w="1106"/>
          </w:tcPr>
          <w:p>
            <w:pPr>
              <w:pStyle w:val="Compact"/>
              <w:spacing w:line="240" w:lineRule="auto" w:before="20" w:after="20"/>
              <w:ind w:firstLine="0"/>
              <w:jc w:val="right"/>
            </w:pPr>
            <w:r>
              <w:rPr>
                <w:rFonts w:ascii="Times New Roman" w:hAnsi="Times New Roman"/>
                <w:sz w:val="16"/>
              </w:rPr>
              <w:t>−0,3%</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AL</w:t>
            </w:r>
          </w:p>
        </w:tc>
        <w:tc>
          <w:tcPr>
            <w:tcW w:type="dxa" w:w="1696"/>
          </w:tcPr>
          <w:p>
            <w:pPr>
              <w:pStyle w:val="Compact"/>
              <w:spacing w:line="240" w:lineRule="auto" w:before="20" w:after="20"/>
              <w:ind w:firstLine="0"/>
              <w:jc w:val="left"/>
            </w:pPr>
            <w:r>
              <w:rPr>
                <w:rFonts w:ascii="Times New Roman" w:hAnsi="Times New Roman"/>
                <w:sz w:val="16"/>
              </w:rPr>
              <w:t xml:space="preserve">Alagoas</w:t>
            </w:r>
          </w:p>
        </w:tc>
        <w:tc>
          <w:tcPr>
            <w:tcW w:type="dxa" w:w="1327"/>
          </w:tcPr>
          <w:p>
            <w:pPr>
              <w:pStyle w:val="Compact"/>
              <w:spacing w:line="240" w:lineRule="auto" w:before="20" w:after="20"/>
              <w:ind w:firstLine="0"/>
              <w:jc w:val="right"/>
            </w:pPr>
            <w:r>
              <w:rPr>
                <w:rFonts w:ascii="Times New Roman" w:hAnsi="Times New Roman"/>
                <w:sz w:val="16"/>
              </w:rPr>
              <w:t xml:space="preserve">6,9</w:t>
            </w:r>
          </w:p>
        </w:tc>
        <w:tc>
          <w:tcPr>
            <w:tcW w:type="dxa" w:w="958"/>
          </w:tcPr>
          <w:p>
            <w:pPr>
              <w:pStyle w:val="Compact"/>
              <w:spacing w:line="240" w:lineRule="auto" w:before="20" w:after="20"/>
              <w:ind w:firstLine="0"/>
              <w:jc w:val="right"/>
            </w:pPr>
            <w:r>
              <w:rPr>
                <w:rFonts w:ascii="Times New Roman" w:hAnsi="Times New Roman"/>
                <w:sz w:val="16"/>
              </w:rPr>
              <w:t xml:space="preserve">6,9</w:t>
            </w:r>
          </w:p>
        </w:tc>
        <w:tc>
          <w:tcPr>
            <w:tcW w:type="dxa" w:w="1106"/>
          </w:tcPr>
          <w:p>
            <w:pPr>
              <w:pStyle w:val="Compact"/>
              <w:spacing w:line="240" w:lineRule="auto" w:before="20" w:after="20"/>
              <w:ind w:firstLine="0"/>
              <w:jc w:val="right"/>
            </w:pPr>
            <w:r>
              <w:rPr>
                <w:rFonts w:ascii="Times New Roman" w:hAnsi="Times New Roman"/>
                <w:sz w:val="16"/>
              </w:rPr>
              <w:t xml:space="preserve">+0,4%</w:t>
            </w:r>
          </w:p>
        </w:tc>
        <w:tc>
          <w:tcPr>
            <w:tcW w:type="dxa" w:w="1327"/>
          </w:tcPr>
          <w:p>
            <w:pPr>
              <w:pStyle w:val="Compact"/>
              <w:spacing w:line="240" w:lineRule="auto" w:before="20" w:after="20"/>
              <w:ind w:firstLine="0"/>
              <w:jc w:val="right"/>
            </w:pPr>
            <w:r>
              <w:rPr>
                <w:rFonts w:ascii="Times New Roman" w:hAnsi="Times New Roman"/>
                <w:sz w:val="16"/>
              </w:rPr>
              <w:t>7,5</w:t>
            </w:r>
          </w:p>
        </w:tc>
        <w:tc>
          <w:tcPr>
            <w:tcW w:type="dxa" w:w="958"/>
          </w:tcPr>
          <w:p>
            <w:pPr>
              <w:pStyle w:val="Compact"/>
              <w:spacing w:line="240" w:lineRule="auto" w:before="20" w:after="20"/>
              <w:ind w:firstLine="0"/>
              <w:jc w:val="right"/>
            </w:pPr>
            <w:r>
              <w:rPr>
                <w:rFonts w:ascii="Times New Roman" w:hAnsi="Times New Roman"/>
                <w:sz w:val="16"/>
              </w:rPr>
              <w:t xml:space="preserve">7,7</w:t>
            </w:r>
          </w:p>
        </w:tc>
        <w:tc>
          <w:tcPr>
            <w:tcW w:type="dxa" w:w="1106"/>
          </w:tcPr>
          <w:p>
            <w:pPr>
              <w:pStyle w:val="Compact"/>
              <w:spacing w:line="240" w:lineRule="auto" w:before="20" w:after="20"/>
              <w:ind w:firstLine="0"/>
              <w:jc w:val="right"/>
            </w:pPr>
            <w:r>
              <w:rPr>
                <w:rFonts w:ascii="Times New Roman" w:hAnsi="Times New Roman"/>
                <w:sz w:val="16"/>
              </w:rPr>
              <w:t>+2,0%</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PA</w:t>
            </w:r>
          </w:p>
        </w:tc>
        <w:tc>
          <w:tcPr>
            <w:tcW w:type="dxa" w:w="1696"/>
          </w:tcPr>
          <w:p>
            <w:pPr>
              <w:pStyle w:val="Compact"/>
              <w:spacing w:line="240" w:lineRule="auto" w:before="20" w:after="20"/>
              <w:ind w:firstLine="0"/>
              <w:jc w:val="left"/>
            </w:pPr>
            <w:r>
              <w:rPr>
                <w:rFonts w:ascii="Times New Roman" w:hAnsi="Times New Roman"/>
                <w:sz w:val="16"/>
              </w:rPr>
              <w:t xml:space="preserve">Pará</w:t>
            </w:r>
          </w:p>
        </w:tc>
        <w:tc>
          <w:tcPr>
            <w:tcW w:type="dxa" w:w="1327"/>
          </w:tcPr>
          <w:p>
            <w:pPr>
              <w:pStyle w:val="Compact"/>
              <w:spacing w:line="240" w:lineRule="auto" w:before="20" w:after="20"/>
              <w:ind w:firstLine="0"/>
              <w:jc w:val="right"/>
            </w:pPr>
            <w:r>
              <w:rPr>
                <w:rFonts w:ascii="Times New Roman" w:hAnsi="Times New Roman"/>
                <w:sz w:val="16"/>
              </w:rPr>
              <w:t xml:space="preserve">18,8</w:t>
            </w:r>
          </w:p>
        </w:tc>
        <w:tc>
          <w:tcPr>
            <w:tcW w:type="dxa" w:w="958"/>
          </w:tcPr>
          <w:p>
            <w:pPr>
              <w:pStyle w:val="Compact"/>
              <w:spacing w:line="240" w:lineRule="auto" w:before="20" w:after="20"/>
              <w:ind w:firstLine="0"/>
              <w:jc w:val="right"/>
            </w:pPr>
            <w:r>
              <w:rPr>
                <w:rFonts w:ascii="Times New Roman" w:hAnsi="Times New Roman"/>
                <w:sz w:val="16"/>
              </w:rPr>
              <w:t xml:space="preserve">18,8</w:t>
            </w:r>
          </w:p>
        </w:tc>
        <w:tc>
          <w:tcPr>
            <w:tcW w:type="dxa" w:w="1106"/>
          </w:tcPr>
          <w:p>
            <w:pPr>
              <w:pStyle w:val="Compact"/>
              <w:spacing w:line="240" w:lineRule="auto" w:before="20" w:after="20"/>
              <w:ind w:firstLine="0"/>
              <w:jc w:val="right"/>
            </w:pPr>
            <w:r>
              <w:rPr>
                <w:rFonts w:ascii="Times New Roman" w:hAnsi="Times New Roman"/>
                <w:sz w:val="16"/>
              </w:rPr>
              <w:t xml:space="preserve">+0,3%</w:t>
            </w:r>
          </w:p>
        </w:tc>
        <w:tc>
          <w:tcPr>
            <w:tcW w:type="dxa" w:w="1327"/>
          </w:tcPr>
          <w:p>
            <w:pPr>
              <w:pStyle w:val="Compact"/>
              <w:spacing w:line="240" w:lineRule="auto" w:before="20" w:after="20"/>
              <w:ind w:firstLine="0"/>
              <w:jc w:val="right"/>
            </w:pPr>
            <w:r>
              <w:rPr>
                <w:rFonts w:ascii="Times New Roman" w:hAnsi="Times New Roman"/>
                <w:sz w:val="16"/>
              </w:rPr>
              <w:t>21,1</w:t>
            </w:r>
          </w:p>
        </w:tc>
        <w:tc>
          <w:tcPr>
            <w:tcW w:type="dxa" w:w="958"/>
          </w:tcPr>
          <w:p>
            <w:pPr>
              <w:pStyle w:val="Compact"/>
              <w:spacing w:line="240" w:lineRule="auto" w:before="20" w:after="20"/>
              <w:ind w:firstLine="0"/>
              <w:jc w:val="right"/>
            </w:pPr>
            <w:r>
              <w:rPr>
                <w:rFonts w:ascii="Times New Roman" w:hAnsi="Times New Roman"/>
                <w:sz w:val="16"/>
              </w:rPr>
              <w:t xml:space="preserve">21,5</w:t>
            </w:r>
          </w:p>
        </w:tc>
        <w:tc>
          <w:tcPr>
            <w:tcW w:type="dxa" w:w="1106"/>
          </w:tcPr>
          <w:p>
            <w:pPr>
              <w:pStyle w:val="Compact"/>
              <w:spacing w:line="240" w:lineRule="auto" w:before="20" w:after="20"/>
              <w:ind w:firstLine="0"/>
              <w:jc w:val="right"/>
            </w:pPr>
            <w:r>
              <w:rPr>
                <w:rFonts w:ascii="Times New Roman" w:hAnsi="Times New Roman"/>
                <w:sz w:val="16"/>
              </w:rPr>
              <w:t>+2,0%</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AP</w:t>
            </w:r>
          </w:p>
        </w:tc>
        <w:tc>
          <w:tcPr>
            <w:tcW w:type="dxa" w:w="1696"/>
          </w:tcPr>
          <w:p>
            <w:pPr>
              <w:pStyle w:val="Compact"/>
              <w:spacing w:line="240" w:lineRule="auto" w:before="20" w:after="20"/>
              <w:ind w:firstLine="0"/>
              <w:jc w:val="left"/>
            </w:pPr>
            <w:r>
              <w:rPr>
                <w:rFonts w:ascii="Times New Roman" w:hAnsi="Times New Roman"/>
                <w:sz w:val="16"/>
              </w:rPr>
              <w:t xml:space="preserve">Amapá</w:t>
            </w:r>
          </w:p>
        </w:tc>
        <w:tc>
          <w:tcPr>
            <w:tcW w:type="dxa" w:w="1327"/>
          </w:tcPr>
          <w:p>
            <w:pPr>
              <w:pStyle w:val="Compact"/>
              <w:spacing w:line="240" w:lineRule="auto" w:before="20" w:after="20"/>
              <w:ind w:firstLine="0"/>
              <w:jc w:val="right"/>
            </w:pPr>
            <w:r>
              <w:rPr>
                <w:rFonts w:ascii="Times New Roman" w:hAnsi="Times New Roman"/>
                <w:sz w:val="16"/>
              </w:rPr>
              <w:t xml:space="preserve">1,3</w:t>
            </w:r>
          </w:p>
        </w:tc>
        <w:tc>
          <w:tcPr>
            <w:tcW w:type="dxa" w:w="958"/>
          </w:tcPr>
          <w:p>
            <w:pPr>
              <w:pStyle w:val="Compact"/>
              <w:spacing w:line="240" w:lineRule="auto" w:before="20" w:after="20"/>
              <w:ind w:firstLine="0"/>
              <w:jc w:val="right"/>
            </w:pPr>
            <w:r>
              <w:rPr>
                <w:rFonts w:ascii="Times New Roman" w:hAnsi="Times New Roman"/>
                <w:sz w:val="16"/>
              </w:rPr>
              <w:t xml:space="preserve">1,3</w:t>
            </w:r>
          </w:p>
        </w:tc>
        <w:tc>
          <w:tcPr>
            <w:tcW w:type="dxa" w:w="1106"/>
          </w:tcPr>
          <w:p>
            <w:pPr>
              <w:pStyle w:val="Compact"/>
              <w:spacing w:line="240" w:lineRule="auto" w:before="20" w:after="20"/>
              <w:ind w:firstLine="0"/>
              <w:jc w:val="right"/>
            </w:pPr>
            <w:r>
              <w:rPr>
                <w:rFonts w:ascii="Times New Roman" w:hAnsi="Times New Roman"/>
                <w:sz w:val="16"/>
              </w:rPr>
              <w:t xml:space="preserve">−0,3%</w:t>
            </w:r>
          </w:p>
        </w:tc>
        <w:tc>
          <w:tcPr>
            <w:tcW w:type="dxa" w:w="1327"/>
          </w:tcPr>
          <w:p>
            <w:pPr>
              <w:pStyle w:val="Compact"/>
              <w:spacing w:line="240" w:lineRule="auto" w:before="20" w:after="20"/>
              <w:ind w:firstLine="0"/>
              <w:jc w:val="right"/>
            </w:pPr>
            <w:r>
              <w:rPr>
                <w:rFonts w:ascii="Times New Roman" w:hAnsi="Times New Roman"/>
                <w:sz w:val="16"/>
              </w:rPr>
              <w:t>1,6</w:t>
            </w:r>
          </w:p>
        </w:tc>
        <w:tc>
          <w:tcPr>
            <w:tcW w:type="dxa" w:w="958"/>
          </w:tcPr>
          <w:p>
            <w:pPr>
              <w:pStyle w:val="Compact"/>
              <w:spacing w:line="240" w:lineRule="auto" w:before="20" w:after="20"/>
              <w:ind w:firstLine="0"/>
              <w:jc w:val="right"/>
            </w:pPr>
            <w:r>
              <w:rPr>
                <w:rFonts w:ascii="Times New Roman" w:hAnsi="Times New Roman"/>
                <w:sz w:val="16"/>
              </w:rPr>
              <w:t xml:space="preserve">1,6</w:t>
            </w:r>
          </w:p>
        </w:tc>
        <w:tc>
          <w:tcPr>
            <w:tcW w:type="dxa" w:w="1106"/>
          </w:tcPr>
          <w:p>
            <w:pPr>
              <w:pStyle w:val="Compact"/>
              <w:spacing w:line="240" w:lineRule="auto" w:before="20" w:after="20"/>
              <w:ind w:firstLine="0"/>
              <w:jc w:val="right"/>
            </w:pPr>
            <w:r>
              <w:rPr>
                <w:rFonts w:ascii="Times New Roman" w:hAnsi="Times New Roman"/>
                <w:sz w:val="16"/>
              </w:rPr>
              <w:t>−0,2%</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ES</w:t>
            </w:r>
          </w:p>
        </w:tc>
        <w:tc>
          <w:tcPr>
            <w:tcW w:type="dxa" w:w="1696"/>
          </w:tcPr>
          <w:p>
            <w:pPr>
              <w:pStyle w:val="Compact"/>
              <w:spacing w:line="240" w:lineRule="auto" w:before="20" w:after="20"/>
              <w:ind w:firstLine="0"/>
              <w:jc w:val="left"/>
            </w:pPr>
            <w:r>
              <w:rPr>
                <w:rFonts w:ascii="Times New Roman" w:hAnsi="Times New Roman"/>
                <w:sz w:val="16"/>
              </w:rPr>
              <w:t xml:space="preserve">Espírito Santo</w:t>
            </w:r>
          </w:p>
        </w:tc>
        <w:tc>
          <w:tcPr>
            <w:tcW w:type="dxa" w:w="1327"/>
          </w:tcPr>
          <w:p>
            <w:pPr>
              <w:pStyle w:val="Compact"/>
              <w:spacing w:line="240" w:lineRule="auto" w:before="20" w:after="20"/>
              <w:ind w:firstLine="0"/>
              <w:jc w:val="right"/>
            </w:pPr>
            <w:r>
              <w:rPr>
                <w:rFonts w:ascii="Times New Roman" w:hAnsi="Times New Roman"/>
                <w:sz w:val="16"/>
              </w:rPr>
              <w:t xml:space="preserve">17,0</w:t>
            </w:r>
          </w:p>
        </w:tc>
        <w:tc>
          <w:tcPr>
            <w:tcW w:type="dxa" w:w="958"/>
          </w:tcPr>
          <w:p>
            <w:pPr>
              <w:pStyle w:val="Compact"/>
              <w:spacing w:line="240" w:lineRule="auto" w:before="20" w:after="20"/>
              <w:ind w:firstLine="0"/>
              <w:jc w:val="right"/>
            </w:pPr>
            <w:r>
              <w:rPr>
                <w:rFonts w:ascii="Times New Roman" w:hAnsi="Times New Roman"/>
                <w:sz w:val="16"/>
              </w:rPr>
              <w:t xml:space="preserve">16,9</w:t>
            </w:r>
          </w:p>
        </w:tc>
        <w:tc>
          <w:tcPr>
            <w:tcW w:type="dxa" w:w="1106"/>
          </w:tcPr>
          <w:p>
            <w:pPr>
              <w:pStyle w:val="Compact"/>
              <w:spacing w:line="240" w:lineRule="auto" w:before="20" w:after="20"/>
              <w:ind w:firstLine="0"/>
              <w:jc w:val="right"/>
            </w:pPr>
            <w:r>
              <w:rPr>
                <w:rFonts w:ascii="Times New Roman" w:hAnsi="Times New Roman"/>
                <w:sz w:val="16"/>
              </w:rPr>
              <w:t xml:space="preserve">−0,3%</w:t>
            </w:r>
          </w:p>
        </w:tc>
        <w:tc>
          <w:tcPr>
            <w:tcW w:type="dxa" w:w="1327"/>
          </w:tcPr>
          <w:p>
            <w:pPr>
              <w:pStyle w:val="Compact"/>
              <w:spacing w:line="240" w:lineRule="auto" w:before="20" w:after="20"/>
              <w:ind w:firstLine="0"/>
              <w:jc w:val="right"/>
            </w:pPr>
            <w:r>
              <w:rPr>
                <w:rFonts w:ascii="Times New Roman" w:hAnsi="Times New Roman"/>
                <w:sz w:val="16"/>
              </w:rPr>
              <w:t>18,4</w:t>
            </w:r>
          </w:p>
        </w:tc>
        <w:tc>
          <w:tcPr>
            <w:tcW w:type="dxa" w:w="958"/>
          </w:tcPr>
          <w:p>
            <w:pPr>
              <w:pStyle w:val="Compact"/>
              <w:spacing w:line="240" w:lineRule="auto" w:before="20" w:after="20"/>
              <w:ind w:firstLine="0"/>
              <w:jc w:val="right"/>
            </w:pPr>
            <w:r>
              <w:rPr>
                <w:rFonts w:ascii="Times New Roman" w:hAnsi="Times New Roman"/>
                <w:sz w:val="16"/>
              </w:rPr>
              <w:t xml:space="preserve">18,5</w:t>
            </w:r>
          </w:p>
        </w:tc>
        <w:tc>
          <w:tcPr>
            <w:tcW w:type="dxa" w:w="1106"/>
          </w:tcPr>
          <w:p>
            <w:pPr>
              <w:pStyle w:val="Compact"/>
              <w:spacing w:line="240" w:lineRule="auto" w:before="20" w:after="20"/>
              <w:ind w:firstLine="0"/>
              <w:jc w:val="right"/>
            </w:pPr>
            <w:r>
              <w:rPr>
                <w:rFonts w:ascii="Times New Roman" w:hAnsi="Times New Roman"/>
                <w:sz w:val="16"/>
              </w:rPr>
              <w:t>+0,2%</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SP</w:t>
            </w:r>
          </w:p>
        </w:tc>
        <w:tc>
          <w:tcPr>
            <w:tcW w:type="dxa" w:w="1696"/>
          </w:tcPr>
          <w:p>
            <w:pPr>
              <w:pStyle w:val="Compact"/>
              <w:spacing w:line="240" w:lineRule="auto" w:before="20" w:after="20"/>
              <w:ind w:firstLine="0"/>
              <w:jc w:val="left"/>
            </w:pPr>
            <w:r>
              <w:rPr>
                <w:rFonts w:ascii="Times New Roman" w:hAnsi="Times New Roman"/>
                <w:sz w:val="16"/>
              </w:rPr>
              <w:t xml:space="preserve">São Paulo</w:t>
            </w:r>
          </w:p>
        </w:tc>
        <w:tc>
          <w:tcPr>
            <w:tcW w:type="dxa" w:w="1327"/>
          </w:tcPr>
          <w:p>
            <w:pPr>
              <w:pStyle w:val="Compact"/>
              <w:spacing w:line="240" w:lineRule="auto" w:before="20" w:after="20"/>
              <w:ind w:firstLine="0"/>
              <w:jc w:val="right"/>
            </w:pPr>
            <w:r>
              <w:rPr>
                <w:rFonts w:ascii="Times New Roman" w:hAnsi="Times New Roman"/>
                <w:sz w:val="16"/>
              </w:rPr>
              <w:t xml:space="preserve">178,8</w:t>
            </w:r>
          </w:p>
        </w:tc>
        <w:tc>
          <w:tcPr>
            <w:tcW w:type="dxa" w:w="958"/>
          </w:tcPr>
          <w:p>
            <w:pPr>
              <w:pStyle w:val="Compact"/>
              <w:spacing w:line="240" w:lineRule="auto" w:before="20" w:after="20"/>
              <w:ind w:firstLine="0"/>
              <w:jc w:val="right"/>
            </w:pPr>
            <w:r>
              <w:rPr>
                <w:rFonts w:ascii="Times New Roman" w:hAnsi="Times New Roman"/>
                <w:sz w:val="16"/>
              </w:rPr>
              <w:t xml:space="preserve">179,3</w:t>
            </w:r>
          </w:p>
        </w:tc>
        <w:tc>
          <w:tcPr>
            <w:tcW w:type="dxa" w:w="1106"/>
          </w:tcPr>
          <w:p>
            <w:pPr>
              <w:pStyle w:val="Compact"/>
              <w:spacing w:line="240" w:lineRule="auto" w:before="20" w:after="20"/>
              <w:ind w:firstLine="0"/>
              <w:jc w:val="right"/>
            </w:pPr>
            <w:r>
              <w:rPr>
                <w:rFonts w:ascii="Times New Roman" w:hAnsi="Times New Roman"/>
                <w:sz w:val="16"/>
              </w:rPr>
              <w:t xml:space="preserve">+0,3%</w:t>
            </w:r>
          </w:p>
        </w:tc>
        <w:tc>
          <w:tcPr>
            <w:tcW w:type="dxa" w:w="1327"/>
          </w:tcPr>
          <w:p>
            <w:pPr>
              <w:pStyle w:val="Compact"/>
              <w:spacing w:line="240" w:lineRule="auto" w:before="20" w:after="20"/>
              <w:ind w:firstLine="0"/>
              <w:jc w:val="right"/>
            </w:pPr>
            <w:r>
              <w:rPr>
                <w:rFonts w:ascii="Times New Roman" w:hAnsi="Times New Roman"/>
                <w:sz w:val="16"/>
              </w:rPr>
              <w:t>217,0</w:t>
            </w:r>
          </w:p>
        </w:tc>
        <w:tc>
          <w:tcPr>
            <w:tcW w:type="dxa" w:w="958"/>
          </w:tcPr>
          <w:p>
            <w:pPr>
              <w:pStyle w:val="Compact"/>
              <w:spacing w:line="240" w:lineRule="auto" w:before="20" w:after="20"/>
              <w:ind w:firstLine="0"/>
              <w:jc w:val="right"/>
            </w:pPr>
            <w:r>
              <w:rPr>
                <w:rFonts w:ascii="Times New Roman" w:hAnsi="Times New Roman"/>
                <w:sz w:val="16"/>
              </w:rPr>
              <w:t xml:space="preserve">217,7</w:t>
            </w:r>
          </w:p>
        </w:tc>
        <w:tc>
          <w:tcPr>
            <w:tcW w:type="dxa" w:w="1106"/>
          </w:tcPr>
          <w:p>
            <w:pPr>
              <w:pStyle w:val="Compact"/>
              <w:spacing w:line="240" w:lineRule="auto" w:before="20" w:after="20"/>
              <w:ind w:firstLine="0"/>
              <w:jc w:val="right"/>
            </w:pPr>
            <w:r>
              <w:rPr>
                <w:rFonts w:ascii="Times New Roman" w:hAnsi="Times New Roman"/>
                <w:sz w:val="16"/>
              </w:rPr>
              <w:t>+0,3%</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SC</w:t>
            </w:r>
          </w:p>
        </w:tc>
        <w:tc>
          <w:tcPr>
            <w:tcW w:type="dxa" w:w="1696"/>
          </w:tcPr>
          <w:p>
            <w:pPr>
              <w:pStyle w:val="Compact"/>
              <w:spacing w:line="240" w:lineRule="auto" w:before="20" w:after="20"/>
              <w:ind w:firstLine="0"/>
              <w:jc w:val="left"/>
            </w:pPr>
            <w:r>
              <w:rPr>
                <w:rFonts w:ascii="Times New Roman" w:hAnsi="Times New Roman"/>
                <w:sz w:val="16"/>
              </w:rPr>
              <w:t xml:space="preserve">Santa Catarina</w:t>
            </w:r>
          </w:p>
        </w:tc>
        <w:tc>
          <w:tcPr>
            <w:tcW w:type="dxa" w:w="1327"/>
          </w:tcPr>
          <w:p>
            <w:pPr>
              <w:pStyle w:val="Compact"/>
              <w:spacing w:line="240" w:lineRule="auto" w:before="20" w:after="20"/>
              <w:ind w:firstLine="0"/>
              <w:jc w:val="right"/>
            </w:pPr>
            <w:r>
              <w:rPr>
                <w:rFonts w:ascii="Times New Roman" w:hAnsi="Times New Roman"/>
                <w:sz w:val="16"/>
              </w:rPr>
              <w:t xml:space="preserve">33,8</w:t>
            </w:r>
          </w:p>
        </w:tc>
        <w:tc>
          <w:tcPr>
            <w:tcW w:type="dxa" w:w="958"/>
          </w:tcPr>
          <w:p>
            <w:pPr>
              <w:pStyle w:val="Compact"/>
              <w:spacing w:line="240" w:lineRule="auto" w:before="20" w:after="20"/>
              <w:ind w:firstLine="0"/>
              <w:jc w:val="right"/>
            </w:pPr>
            <w:r>
              <w:rPr>
                <w:rFonts w:ascii="Times New Roman" w:hAnsi="Times New Roman"/>
                <w:sz w:val="16"/>
              </w:rPr>
              <w:t xml:space="preserve">33,7</w:t>
            </w:r>
          </w:p>
        </w:tc>
        <w:tc>
          <w:tcPr>
            <w:tcW w:type="dxa" w:w="1106"/>
          </w:tcPr>
          <w:p>
            <w:pPr>
              <w:pStyle w:val="Compact"/>
              <w:spacing w:line="240" w:lineRule="auto" w:before="20" w:after="20"/>
              <w:ind w:firstLine="0"/>
              <w:jc w:val="right"/>
            </w:pPr>
            <w:r>
              <w:rPr>
                <w:rFonts w:ascii="Times New Roman" w:hAnsi="Times New Roman"/>
                <w:sz w:val="16"/>
              </w:rPr>
              <w:t xml:space="preserve">−0,2%</w:t>
            </w:r>
          </w:p>
        </w:tc>
        <w:tc>
          <w:tcPr>
            <w:tcW w:type="dxa" w:w="1327"/>
          </w:tcPr>
          <w:p>
            <w:pPr>
              <w:pStyle w:val="Compact"/>
              <w:spacing w:line="240" w:lineRule="auto" w:before="20" w:after="20"/>
              <w:ind w:firstLine="0"/>
              <w:jc w:val="right"/>
            </w:pPr>
            <w:r>
              <w:rPr>
                <w:rFonts w:ascii="Times New Roman" w:hAnsi="Times New Roman"/>
                <w:sz w:val="16"/>
              </w:rPr>
              <w:t>37,6</w:t>
            </w:r>
          </w:p>
        </w:tc>
        <w:tc>
          <w:tcPr>
            <w:tcW w:type="dxa" w:w="958"/>
          </w:tcPr>
          <w:p>
            <w:pPr>
              <w:pStyle w:val="Compact"/>
              <w:spacing w:line="240" w:lineRule="auto" w:before="20" w:after="20"/>
              <w:ind w:firstLine="0"/>
              <w:jc w:val="right"/>
            </w:pPr>
            <w:r>
              <w:rPr>
                <w:rFonts w:ascii="Times New Roman" w:hAnsi="Times New Roman"/>
                <w:sz w:val="16"/>
              </w:rPr>
              <w:t xml:space="preserve">38,2</w:t>
            </w:r>
          </w:p>
        </w:tc>
        <w:tc>
          <w:tcPr>
            <w:tcW w:type="dxa" w:w="1106"/>
          </w:tcPr>
          <w:p>
            <w:pPr>
              <w:pStyle w:val="Compact"/>
              <w:spacing w:line="240" w:lineRule="auto" w:before="20" w:after="20"/>
              <w:ind w:firstLine="0"/>
              <w:jc w:val="right"/>
            </w:pPr>
            <w:r>
              <w:rPr>
                <w:rFonts w:ascii="Times New Roman" w:hAnsi="Times New Roman"/>
                <w:sz w:val="16"/>
              </w:rPr>
              <w:t>+1,6%</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RO</w:t>
            </w:r>
          </w:p>
        </w:tc>
        <w:tc>
          <w:tcPr>
            <w:tcW w:type="dxa" w:w="1696"/>
          </w:tcPr>
          <w:p>
            <w:pPr>
              <w:pStyle w:val="Compact"/>
              <w:spacing w:line="240" w:lineRule="auto" w:before="20" w:after="20"/>
              <w:ind w:firstLine="0"/>
              <w:jc w:val="left"/>
            </w:pPr>
            <w:r>
              <w:rPr>
                <w:rFonts w:ascii="Times New Roman" w:hAnsi="Times New Roman"/>
                <w:sz w:val="16"/>
              </w:rPr>
              <w:t xml:space="preserve">Rondônia</w:t>
            </w:r>
          </w:p>
        </w:tc>
        <w:tc>
          <w:tcPr>
            <w:tcW w:type="dxa" w:w="1327"/>
          </w:tcPr>
          <w:p>
            <w:pPr>
              <w:pStyle w:val="Compact"/>
              <w:spacing w:line="240" w:lineRule="auto" w:before="20" w:after="20"/>
              <w:ind w:firstLine="0"/>
              <w:jc w:val="right"/>
            </w:pPr>
            <w:r>
              <w:rPr>
                <w:rFonts w:ascii="Times New Roman" w:hAnsi="Times New Roman"/>
                <w:sz w:val="16"/>
              </w:rPr>
              <w:t xml:space="preserve">6,1</w:t>
            </w:r>
          </w:p>
        </w:tc>
        <w:tc>
          <w:tcPr>
            <w:tcW w:type="dxa" w:w="958"/>
          </w:tcPr>
          <w:p>
            <w:pPr>
              <w:pStyle w:val="Compact"/>
              <w:spacing w:line="240" w:lineRule="auto" w:before="20" w:after="20"/>
              <w:ind w:firstLine="0"/>
              <w:jc w:val="right"/>
            </w:pPr>
            <w:r>
              <w:rPr>
                <w:rFonts w:ascii="Times New Roman" w:hAnsi="Times New Roman"/>
                <w:sz w:val="16"/>
              </w:rPr>
              <w:t xml:space="preserve">6,1</w:t>
            </w:r>
          </w:p>
        </w:tc>
        <w:tc>
          <w:tcPr>
            <w:tcW w:type="dxa" w:w="1106"/>
          </w:tcPr>
          <w:p>
            <w:pPr>
              <w:pStyle w:val="Compact"/>
              <w:spacing w:line="240" w:lineRule="auto" w:before="20" w:after="20"/>
              <w:ind w:firstLine="0"/>
              <w:jc w:val="right"/>
            </w:pPr>
            <w:r>
              <w:rPr>
                <w:rFonts w:ascii="Times New Roman" w:hAnsi="Times New Roman"/>
                <w:sz w:val="16"/>
              </w:rPr>
              <w:t xml:space="preserve">+0,2%</w:t>
            </w:r>
          </w:p>
        </w:tc>
        <w:tc>
          <w:tcPr>
            <w:tcW w:type="dxa" w:w="1327"/>
          </w:tcPr>
          <w:p>
            <w:pPr>
              <w:pStyle w:val="Compact"/>
              <w:spacing w:line="240" w:lineRule="auto" w:before="20" w:after="20"/>
              <w:ind w:firstLine="0"/>
              <w:jc w:val="right"/>
            </w:pPr>
            <w:r>
              <w:rPr>
                <w:rFonts w:ascii="Times New Roman" w:hAnsi="Times New Roman"/>
                <w:sz w:val="16"/>
              </w:rPr>
              <w:t>6,7</w:t>
            </w:r>
          </w:p>
        </w:tc>
        <w:tc>
          <w:tcPr>
            <w:tcW w:type="dxa" w:w="958"/>
          </w:tcPr>
          <w:p>
            <w:pPr>
              <w:pStyle w:val="Compact"/>
              <w:spacing w:line="240" w:lineRule="auto" w:before="20" w:after="20"/>
              <w:ind w:firstLine="0"/>
              <w:jc w:val="right"/>
            </w:pPr>
            <w:r>
              <w:rPr>
                <w:rFonts w:ascii="Times New Roman" w:hAnsi="Times New Roman"/>
                <w:sz w:val="16"/>
              </w:rPr>
              <w:t xml:space="preserve">6,7</w:t>
            </w:r>
          </w:p>
        </w:tc>
        <w:tc>
          <w:tcPr>
            <w:tcW w:type="dxa" w:w="1106"/>
          </w:tcPr>
          <w:p>
            <w:pPr>
              <w:pStyle w:val="Compact"/>
              <w:spacing w:line="240" w:lineRule="auto" w:before="20" w:after="20"/>
              <w:ind w:firstLine="0"/>
              <w:jc w:val="right"/>
            </w:pPr>
            <w:r>
              <w:rPr>
                <w:rFonts w:ascii="Times New Roman" w:hAnsi="Times New Roman"/>
                <w:sz w:val="16"/>
              </w:rPr>
              <w:t>+0,4%</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RS</w:t>
            </w:r>
          </w:p>
        </w:tc>
        <w:tc>
          <w:tcPr>
            <w:tcW w:type="dxa" w:w="1696"/>
          </w:tcPr>
          <w:p>
            <w:pPr>
              <w:pStyle w:val="Compact"/>
              <w:spacing w:line="240" w:lineRule="auto" w:before="20" w:after="20"/>
              <w:ind w:firstLine="0"/>
              <w:jc w:val="left"/>
            </w:pPr>
            <w:r>
              <w:rPr>
                <w:rFonts w:ascii="Times New Roman" w:hAnsi="Times New Roman"/>
                <w:sz w:val="16"/>
              </w:rPr>
              <w:t xml:space="preserve">Rio Grande do Sul</w:t>
            </w:r>
          </w:p>
        </w:tc>
        <w:tc>
          <w:tcPr>
            <w:tcW w:type="dxa" w:w="1327"/>
          </w:tcPr>
          <w:p>
            <w:pPr>
              <w:pStyle w:val="Compact"/>
              <w:spacing w:line="240" w:lineRule="auto" w:before="20" w:after="20"/>
              <w:ind w:firstLine="0"/>
              <w:jc w:val="right"/>
            </w:pPr>
            <w:r>
              <w:rPr>
                <w:rFonts w:ascii="Times New Roman" w:hAnsi="Times New Roman"/>
                <w:sz w:val="16"/>
              </w:rPr>
              <w:t xml:space="preserve">40,5</w:t>
            </w:r>
          </w:p>
        </w:tc>
        <w:tc>
          <w:tcPr>
            <w:tcW w:type="dxa" w:w="958"/>
          </w:tcPr>
          <w:p>
            <w:pPr>
              <w:pStyle w:val="Compact"/>
              <w:spacing w:line="240" w:lineRule="auto" w:before="20" w:after="20"/>
              <w:ind w:firstLine="0"/>
              <w:jc w:val="right"/>
            </w:pPr>
            <w:r>
              <w:rPr>
                <w:rFonts w:ascii="Times New Roman" w:hAnsi="Times New Roman"/>
                <w:sz w:val="16"/>
              </w:rPr>
              <w:t xml:space="preserve">40,6</w:t>
            </w:r>
          </w:p>
        </w:tc>
        <w:tc>
          <w:tcPr>
            <w:tcW w:type="dxa" w:w="1106"/>
          </w:tcPr>
          <w:p>
            <w:pPr>
              <w:pStyle w:val="Compact"/>
              <w:spacing w:line="240" w:lineRule="auto" w:before="20" w:after="20"/>
              <w:ind w:firstLine="0"/>
              <w:jc w:val="right"/>
            </w:pPr>
            <w:r>
              <w:rPr>
                <w:rFonts w:ascii="Times New Roman" w:hAnsi="Times New Roman"/>
                <w:sz w:val="16"/>
              </w:rPr>
              <w:t xml:space="preserve">+0,2%</w:t>
            </w:r>
          </w:p>
        </w:tc>
        <w:tc>
          <w:tcPr>
            <w:tcW w:type="dxa" w:w="1327"/>
          </w:tcPr>
          <w:p>
            <w:pPr>
              <w:pStyle w:val="Compact"/>
              <w:spacing w:line="240" w:lineRule="auto" w:before="20" w:after="20"/>
              <w:ind w:firstLine="0"/>
              <w:jc w:val="right"/>
            </w:pPr>
            <w:r>
              <w:rPr>
                <w:rFonts w:ascii="Times New Roman" w:hAnsi="Times New Roman"/>
                <w:sz w:val="16"/>
              </w:rPr>
              <w:t>50,5</w:t>
            </w:r>
          </w:p>
        </w:tc>
        <w:tc>
          <w:tcPr>
            <w:tcW w:type="dxa" w:w="958"/>
          </w:tcPr>
          <w:p>
            <w:pPr>
              <w:pStyle w:val="Compact"/>
              <w:spacing w:line="240" w:lineRule="auto" w:before="20" w:after="20"/>
              <w:ind w:firstLine="0"/>
              <w:jc w:val="right"/>
            </w:pPr>
            <w:r>
              <w:rPr>
                <w:rFonts w:ascii="Times New Roman" w:hAnsi="Times New Roman"/>
                <w:sz w:val="16"/>
              </w:rPr>
              <w:t xml:space="preserve">51,1</w:t>
            </w:r>
          </w:p>
        </w:tc>
        <w:tc>
          <w:tcPr>
            <w:tcW w:type="dxa" w:w="1106"/>
          </w:tcPr>
          <w:p>
            <w:pPr>
              <w:pStyle w:val="Compact"/>
              <w:spacing w:line="240" w:lineRule="auto" w:before="20" w:after="20"/>
              <w:ind w:firstLine="0"/>
              <w:jc w:val="right"/>
            </w:pPr>
            <w:r>
              <w:rPr>
                <w:rFonts w:ascii="Times New Roman" w:hAnsi="Times New Roman"/>
                <w:sz w:val="16"/>
              </w:rPr>
              <w:t>+1,3%</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PE</w:t>
            </w:r>
          </w:p>
        </w:tc>
        <w:tc>
          <w:tcPr>
            <w:tcW w:type="dxa" w:w="1696"/>
          </w:tcPr>
          <w:p>
            <w:pPr>
              <w:pStyle w:val="Compact"/>
              <w:spacing w:line="240" w:lineRule="auto" w:before="20" w:after="20"/>
              <w:ind w:firstLine="0"/>
              <w:jc w:val="left"/>
            </w:pPr>
            <w:r>
              <w:rPr>
                <w:rFonts w:ascii="Times New Roman" w:hAnsi="Times New Roman"/>
                <w:sz w:val="16"/>
              </w:rPr>
              <w:t xml:space="preserve">Pernambuco</w:t>
            </w:r>
          </w:p>
        </w:tc>
        <w:tc>
          <w:tcPr>
            <w:tcW w:type="dxa" w:w="1327"/>
          </w:tcPr>
          <w:p>
            <w:pPr>
              <w:pStyle w:val="Compact"/>
              <w:spacing w:line="240" w:lineRule="auto" w:before="20" w:after="20"/>
              <w:ind w:firstLine="0"/>
              <w:jc w:val="right"/>
            </w:pPr>
            <w:r>
              <w:rPr>
                <w:rFonts w:ascii="Times New Roman" w:hAnsi="Times New Roman"/>
                <w:sz w:val="16"/>
              </w:rPr>
              <w:t xml:space="preserve">20,8</w:t>
            </w:r>
          </w:p>
        </w:tc>
        <w:tc>
          <w:tcPr>
            <w:tcW w:type="dxa" w:w="958"/>
          </w:tcPr>
          <w:p>
            <w:pPr>
              <w:pStyle w:val="Compact"/>
              <w:spacing w:line="240" w:lineRule="auto" w:before="20" w:after="20"/>
              <w:ind w:firstLine="0"/>
              <w:jc w:val="right"/>
            </w:pPr>
            <w:r>
              <w:rPr>
                <w:rFonts w:ascii="Times New Roman" w:hAnsi="Times New Roman"/>
                <w:sz w:val="16"/>
              </w:rPr>
              <w:t xml:space="preserve">20,9</w:t>
            </w:r>
          </w:p>
        </w:tc>
        <w:tc>
          <w:tcPr>
            <w:tcW w:type="dxa" w:w="1106"/>
          </w:tcPr>
          <w:p>
            <w:pPr>
              <w:pStyle w:val="Compact"/>
              <w:spacing w:line="240" w:lineRule="auto" w:before="20" w:after="20"/>
              <w:ind w:firstLine="0"/>
              <w:jc w:val="right"/>
            </w:pPr>
            <w:r>
              <w:rPr>
                <w:rFonts w:ascii="Times New Roman" w:hAnsi="Times New Roman"/>
                <w:sz w:val="16"/>
              </w:rPr>
              <w:t xml:space="preserve">+0,2%</w:t>
            </w:r>
          </w:p>
        </w:tc>
        <w:tc>
          <w:tcPr>
            <w:tcW w:type="dxa" w:w="1327"/>
          </w:tcPr>
          <w:p>
            <w:pPr>
              <w:pStyle w:val="Compact"/>
              <w:spacing w:line="240" w:lineRule="auto" w:before="20" w:after="20"/>
              <w:ind w:firstLine="0"/>
              <w:jc w:val="right"/>
            </w:pPr>
            <w:r>
              <w:rPr>
                <w:rFonts w:ascii="Times New Roman" w:hAnsi="Times New Roman"/>
                <w:sz w:val="16"/>
              </w:rPr>
              <w:t>24,8</w:t>
            </w:r>
          </w:p>
        </w:tc>
        <w:tc>
          <w:tcPr>
            <w:tcW w:type="dxa" w:w="958"/>
          </w:tcPr>
          <w:p>
            <w:pPr>
              <w:pStyle w:val="Compact"/>
              <w:spacing w:line="240" w:lineRule="auto" w:before="20" w:after="20"/>
              <w:ind w:firstLine="0"/>
              <w:jc w:val="right"/>
            </w:pPr>
            <w:r>
              <w:rPr>
                <w:rFonts w:ascii="Times New Roman" w:hAnsi="Times New Roman"/>
                <w:sz w:val="16"/>
              </w:rPr>
              <w:t xml:space="preserve">24,7</w:t>
            </w:r>
          </w:p>
        </w:tc>
        <w:tc>
          <w:tcPr>
            <w:tcW w:type="dxa" w:w="1106"/>
          </w:tcPr>
          <w:p>
            <w:pPr>
              <w:pStyle w:val="Compact"/>
              <w:spacing w:line="240" w:lineRule="auto" w:before="20" w:after="20"/>
              <w:ind w:firstLine="0"/>
              <w:jc w:val="right"/>
            </w:pPr>
            <w:r>
              <w:rPr>
                <w:rFonts w:ascii="Times New Roman" w:hAnsi="Times New Roman"/>
                <w:sz w:val="16"/>
              </w:rPr>
              <w:t>−0,3%</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PI</w:t>
            </w:r>
          </w:p>
        </w:tc>
        <w:tc>
          <w:tcPr>
            <w:tcW w:type="dxa" w:w="1696"/>
          </w:tcPr>
          <w:p>
            <w:pPr>
              <w:pStyle w:val="Compact"/>
              <w:spacing w:line="240" w:lineRule="auto" w:before="20" w:after="20"/>
              <w:ind w:firstLine="0"/>
              <w:jc w:val="left"/>
            </w:pPr>
            <w:r>
              <w:rPr>
                <w:rFonts w:ascii="Times New Roman" w:hAnsi="Times New Roman"/>
                <w:sz w:val="16"/>
              </w:rPr>
              <w:t xml:space="preserve">Piauí</w:t>
            </w:r>
          </w:p>
        </w:tc>
        <w:tc>
          <w:tcPr>
            <w:tcW w:type="dxa" w:w="1327"/>
          </w:tcPr>
          <w:p>
            <w:pPr>
              <w:pStyle w:val="Compact"/>
              <w:spacing w:line="240" w:lineRule="auto" w:before="20" w:after="20"/>
              <w:ind w:firstLine="0"/>
              <w:jc w:val="right"/>
            </w:pPr>
            <w:r>
              <w:rPr>
                <w:rFonts w:ascii="Times New Roman" w:hAnsi="Times New Roman"/>
                <w:sz w:val="16"/>
              </w:rPr>
              <w:t xml:space="preserve">6,4</w:t>
            </w:r>
          </w:p>
        </w:tc>
        <w:tc>
          <w:tcPr>
            <w:tcW w:type="dxa" w:w="958"/>
          </w:tcPr>
          <w:p>
            <w:pPr>
              <w:pStyle w:val="Compact"/>
              <w:spacing w:line="240" w:lineRule="auto" w:before="20" w:after="20"/>
              <w:ind w:firstLine="0"/>
              <w:jc w:val="right"/>
            </w:pPr>
            <w:r>
              <w:rPr>
                <w:rFonts w:ascii="Times New Roman" w:hAnsi="Times New Roman"/>
                <w:sz w:val="16"/>
              </w:rPr>
              <w:t xml:space="preserve">6,4</w:t>
            </w:r>
          </w:p>
        </w:tc>
        <w:tc>
          <w:tcPr>
            <w:tcW w:type="dxa" w:w="1106"/>
          </w:tcPr>
          <w:p>
            <w:pPr>
              <w:pStyle w:val="Compact"/>
              <w:spacing w:line="240" w:lineRule="auto" w:before="20" w:after="20"/>
              <w:ind w:firstLine="0"/>
              <w:jc w:val="right"/>
            </w:pPr>
            <w:r>
              <w:rPr>
                <w:rFonts w:ascii="Times New Roman" w:hAnsi="Times New Roman"/>
                <w:sz w:val="16"/>
              </w:rPr>
              <w:t xml:space="preserve">+0,1%</w:t>
            </w:r>
          </w:p>
        </w:tc>
        <w:tc>
          <w:tcPr>
            <w:tcW w:type="dxa" w:w="1327"/>
          </w:tcPr>
          <w:p>
            <w:pPr>
              <w:pStyle w:val="Compact"/>
              <w:spacing w:line="240" w:lineRule="auto" w:before="20" w:after="20"/>
              <w:ind w:firstLine="0"/>
              <w:jc w:val="right"/>
            </w:pPr>
            <w:r>
              <w:rPr>
                <w:rFonts w:ascii="Times New Roman" w:hAnsi="Times New Roman"/>
                <w:sz w:val="16"/>
              </w:rPr>
              <w:t>7,3</w:t>
            </w:r>
          </w:p>
        </w:tc>
        <w:tc>
          <w:tcPr>
            <w:tcW w:type="dxa" w:w="958"/>
          </w:tcPr>
          <w:p>
            <w:pPr>
              <w:pStyle w:val="Compact"/>
              <w:spacing w:line="240" w:lineRule="auto" w:before="20" w:after="20"/>
              <w:ind w:firstLine="0"/>
              <w:jc w:val="right"/>
            </w:pPr>
            <w:r>
              <w:rPr>
                <w:rFonts w:ascii="Times New Roman" w:hAnsi="Times New Roman"/>
                <w:sz w:val="16"/>
              </w:rPr>
              <w:t xml:space="preserve">7,3</w:t>
            </w:r>
          </w:p>
        </w:tc>
        <w:tc>
          <w:tcPr>
            <w:tcW w:type="dxa" w:w="1106"/>
          </w:tcPr>
          <w:p>
            <w:pPr>
              <w:pStyle w:val="Compact"/>
              <w:spacing w:line="240" w:lineRule="auto" w:before="20" w:after="20"/>
              <w:ind w:firstLine="0"/>
              <w:jc w:val="right"/>
            </w:pPr>
            <w:r>
              <w:rPr>
                <w:rFonts w:ascii="Times New Roman" w:hAnsi="Times New Roman"/>
                <w:sz w:val="16"/>
              </w:rPr>
              <w:t>−0,1%</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PB</w:t>
            </w:r>
          </w:p>
        </w:tc>
        <w:tc>
          <w:tcPr>
            <w:tcW w:type="dxa" w:w="1696"/>
          </w:tcPr>
          <w:p>
            <w:pPr>
              <w:pStyle w:val="Compact"/>
              <w:spacing w:line="240" w:lineRule="auto" w:before="20" w:after="20"/>
              <w:ind w:firstLine="0"/>
              <w:jc w:val="left"/>
            </w:pPr>
            <w:r>
              <w:rPr>
                <w:rFonts w:ascii="Times New Roman" w:hAnsi="Times New Roman"/>
                <w:sz w:val="16"/>
              </w:rPr>
              <w:t xml:space="preserve">Paraíba</w:t>
            </w:r>
          </w:p>
        </w:tc>
        <w:tc>
          <w:tcPr>
            <w:tcW w:type="dxa" w:w="1327"/>
          </w:tcPr>
          <w:p>
            <w:pPr>
              <w:pStyle w:val="Compact"/>
              <w:spacing w:line="240" w:lineRule="auto" w:before="20" w:after="20"/>
              <w:ind w:firstLine="0"/>
              <w:jc w:val="right"/>
            </w:pPr>
            <w:r>
              <w:rPr>
                <w:rFonts w:ascii="Times New Roman" w:hAnsi="Times New Roman"/>
                <w:sz w:val="16"/>
              </w:rPr>
              <w:t xml:space="preserve">8,0</w:t>
            </w:r>
          </w:p>
        </w:tc>
        <w:tc>
          <w:tcPr>
            <w:tcW w:type="dxa" w:w="958"/>
          </w:tcPr>
          <w:p>
            <w:pPr>
              <w:pStyle w:val="Compact"/>
              <w:spacing w:line="240" w:lineRule="auto" w:before="20" w:after="20"/>
              <w:ind w:firstLine="0"/>
              <w:jc w:val="right"/>
            </w:pPr>
            <w:r>
              <w:rPr>
                <w:rFonts w:ascii="Times New Roman" w:hAnsi="Times New Roman"/>
                <w:sz w:val="16"/>
              </w:rPr>
              <w:t xml:space="preserve">8,0</w:t>
            </w:r>
          </w:p>
        </w:tc>
        <w:tc>
          <w:tcPr>
            <w:tcW w:type="dxa" w:w="1106"/>
          </w:tcPr>
          <w:p>
            <w:pPr>
              <w:pStyle w:val="Compact"/>
              <w:spacing w:line="240" w:lineRule="auto" w:before="20" w:after="20"/>
              <w:ind w:firstLine="0"/>
              <w:jc w:val="right"/>
            </w:pPr>
            <w:r>
              <w:rPr>
                <w:rFonts w:ascii="Times New Roman" w:hAnsi="Times New Roman"/>
                <w:sz w:val="16"/>
              </w:rPr>
              <w:t xml:space="preserve">+0,1%</w:t>
            </w:r>
          </w:p>
        </w:tc>
        <w:tc>
          <w:tcPr>
            <w:tcW w:type="dxa" w:w="1327"/>
          </w:tcPr>
          <w:p>
            <w:pPr>
              <w:pStyle w:val="Compact"/>
              <w:spacing w:line="240" w:lineRule="auto" w:before="20" w:after="20"/>
              <w:ind w:firstLine="0"/>
              <w:jc w:val="right"/>
            </w:pPr>
            <w:r>
              <w:rPr>
                <w:rFonts w:ascii="Times New Roman" w:hAnsi="Times New Roman"/>
                <w:sz w:val="16"/>
              </w:rPr>
              <w:t>9,1</w:t>
            </w:r>
          </w:p>
        </w:tc>
        <w:tc>
          <w:tcPr>
            <w:tcW w:type="dxa" w:w="958"/>
          </w:tcPr>
          <w:p>
            <w:pPr>
              <w:pStyle w:val="Compact"/>
              <w:spacing w:line="240" w:lineRule="auto" w:before="20" w:after="20"/>
              <w:ind w:firstLine="0"/>
              <w:jc w:val="right"/>
            </w:pPr>
            <w:r>
              <w:rPr>
                <w:rFonts w:ascii="Times New Roman" w:hAnsi="Times New Roman"/>
                <w:sz w:val="16"/>
              </w:rPr>
              <w:t xml:space="preserve">9,1</w:t>
            </w:r>
          </w:p>
        </w:tc>
        <w:tc>
          <w:tcPr>
            <w:tcW w:type="dxa" w:w="1106"/>
          </w:tcPr>
          <w:p>
            <w:pPr>
              <w:pStyle w:val="Compact"/>
              <w:spacing w:line="240" w:lineRule="auto" w:before="20" w:after="20"/>
              <w:ind w:firstLine="0"/>
              <w:jc w:val="right"/>
            </w:pPr>
            <w:r>
              <w:rPr>
                <w:rFonts w:ascii="Times New Roman" w:hAnsi="Times New Roman"/>
                <w:sz w:val="16"/>
              </w:rPr>
              <w:t>+0,0%</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SE</w:t>
            </w:r>
          </w:p>
        </w:tc>
        <w:tc>
          <w:tcPr>
            <w:tcW w:type="dxa" w:w="1696"/>
          </w:tcPr>
          <w:p>
            <w:pPr>
              <w:pStyle w:val="Compact"/>
              <w:spacing w:line="240" w:lineRule="auto" w:before="20" w:after="20"/>
              <w:ind w:firstLine="0"/>
              <w:jc w:val="left"/>
            </w:pPr>
            <w:r>
              <w:rPr>
                <w:rFonts w:ascii="Times New Roman" w:hAnsi="Times New Roman"/>
                <w:sz w:val="16"/>
              </w:rPr>
              <w:t xml:space="preserve">Sergipe</w:t>
            </w:r>
          </w:p>
        </w:tc>
        <w:tc>
          <w:tcPr>
            <w:tcW w:type="dxa" w:w="1327"/>
          </w:tcPr>
          <w:p>
            <w:pPr>
              <w:pStyle w:val="Compact"/>
              <w:spacing w:line="240" w:lineRule="auto" w:before="20" w:after="20"/>
              <w:ind w:firstLine="0"/>
              <w:jc w:val="right"/>
            </w:pPr>
            <w:r>
              <w:rPr>
                <w:rFonts w:ascii="Times New Roman" w:hAnsi="Times New Roman"/>
                <w:sz w:val="16"/>
              </w:rPr>
              <w:t xml:space="preserve">4,6</w:t>
            </w:r>
          </w:p>
        </w:tc>
        <w:tc>
          <w:tcPr>
            <w:tcW w:type="dxa" w:w="958"/>
          </w:tcPr>
          <w:p>
            <w:pPr>
              <w:pStyle w:val="Compact"/>
              <w:spacing w:line="240" w:lineRule="auto" w:before="20" w:after="20"/>
              <w:ind w:firstLine="0"/>
              <w:jc w:val="right"/>
            </w:pPr>
            <w:r>
              <w:rPr>
                <w:rFonts w:ascii="Times New Roman" w:hAnsi="Times New Roman"/>
                <w:sz w:val="16"/>
              </w:rPr>
              <w:t xml:space="preserve">4,6</w:t>
            </w:r>
          </w:p>
        </w:tc>
        <w:tc>
          <w:tcPr>
            <w:tcW w:type="dxa" w:w="1106"/>
          </w:tcPr>
          <w:p>
            <w:pPr>
              <w:pStyle w:val="Compact"/>
              <w:spacing w:line="240" w:lineRule="auto" w:before="20" w:after="20"/>
              <w:ind w:firstLine="0"/>
              <w:jc w:val="right"/>
            </w:pPr>
            <w:r>
              <w:rPr>
                <w:rFonts w:ascii="Times New Roman" w:hAnsi="Times New Roman"/>
                <w:sz w:val="16"/>
              </w:rPr>
              <w:t xml:space="preserve">−0,1%</w:t>
            </w:r>
          </w:p>
        </w:tc>
        <w:tc>
          <w:tcPr>
            <w:tcW w:type="dxa" w:w="1327"/>
          </w:tcPr>
          <w:p>
            <w:pPr>
              <w:pStyle w:val="Compact"/>
              <w:spacing w:line="240" w:lineRule="auto" w:before="20" w:after="20"/>
              <w:ind w:firstLine="0"/>
              <w:jc w:val="right"/>
            </w:pPr>
            <w:r>
              <w:rPr>
                <w:rFonts w:ascii="Times New Roman" w:hAnsi="Times New Roman"/>
                <w:sz w:val="16"/>
              </w:rPr>
              <w:t xml:space="preserve">5,5</w:t>
            </w:r>
          </w:p>
        </w:tc>
        <w:tc>
          <w:tcPr>
            <w:tcW w:type="dxa" w:w="958"/>
          </w:tcPr>
          <w:p>
            <w:pPr>
              <w:pStyle w:val="Compact"/>
              <w:spacing w:line="240" w:lineRule="auto" w:before="20" w:after="20"/>
              <w:ind w:firstLine="0"/>
              <w:jc w:val="right"/>
            </w:pPr>
            <w:r>
              <w:rPr>
                <w:rFonts w:ascii="Times New Roman" w:hAnsi="Times New Roman"/>
                <w:sz w:val="16"/>
              </w:rPr>
              <w:t xml:space="preserve">5,4</w:t>
            </w:r>
          </w:p>
        </w:tc>
        <w:tc>
          <w:tcPr>
            <w:tcW w:type="dxa" w:w="1106"/>
          </w:tcPr>
          <w:p>
            <w:pPr>
              <w:pStyle w:val="Compact"/>
              <w:spacing w:line="240" w:lineRule="auto" w:before="20" w:after="20"/>
              <w:ind w:firstLine="0"/>
              <w:jc w:val="right"/>
            </w:pPr>
            <w:r>
              <w:rPr>
                <w:rFonts w:ascii="Times New Roman" w:hAnsi="Times New Roman"/>
                <w:sz w:val="16"/>
              </w:rPr>
              <w:t>−1,6%</w:t>
            </w:r>
          </w:p>
        </w:tc>
      </w:tr>
      <w:tr>
        <w:trPr>
          <w:cantSplit/>
        </w:trPr>
        <w:tc>
          <w:tcPr>
            <w:tcW w:type="dxa" w:w="590"/>
            <w:shd w:val="clear" w:color="auto" w:fill="E7E6E6"/>
          </w:tcPr>
          <w:p>
            <w:pPr>
              <w:pStyle w:val="Compact"/>
              <w:spacing w:line="240" w:lineRule="auto" w:before="20" w:after="20"/>
              <w:ind w:firstLine="0"/>
              <w:jc w:val="left"/>
            </w:pPr>
            <w:r>
              <w:rPr>
                <w:rFonts w:ascii="Times New Roman" w:hAnsi="Times New Roman"/>
                <w:sz w:val="16"/>
              </w:rPr>
            </w:r>
            <w:r>
              <w:rPr>
                <w:rFonts w:ascii="Times New Roman" w:hAnsi="Times New Roman"/>
                <w:b/>
                <w:bCs/>
                <w:sz w:val="16"/>
              </w:rPr>
              <w:t xml:space="preserve">PR</w:t>
            </w:r>
          </w:p>
        </w:tc>
        <w:tc>
          <w:tcPr>
            <w:tcW w:type="dxa" w:w="1696"/>
            <w:shd w:val="clear" w:color="auto" w:fill="E7E6E6"/>
          </w:tcPr>
          <w:p>
            <w:pPr>
              <w:pStyle w:val="Compact"/>
              <w:spacing w:line="240" w:lineRule="auto" w:before="20" w:after="20"/>
              <w:ind w:firstLine="0"/>
              <w:jc w:val="left"/>
            </w:pPr>
            <w:r>
              <w:rPr>
                <w:rFonts w:ascii="Times New Roman" w:hAnsi="Times New Roman"/>
                <w:b/>
                <w:bCs/>
                <w:sz w:val="16"/>
              </w:rPr>
              <w:t xml:space="preserve">Paraná</w:t>
            </w:r>
          </w:p>
        </w:tc>
        <w:tc>
          <w:tcPr>
            <w:tcW w:type="dxa" w:w="1327"/>
            <w:shd w:val="clear" w:color="auto" w:fill="E7E6E6"/>
          </w:tcPr>
          <w:p>
            <w:pPr>
              <w:pStyle w:val="Compact"/>
              <w:spacing w:line="240" w:lineRule="auto" w:before="20" w:after="20"/>
              <w:ind w:firstLine="0"/>
              <w:jc w:val="right"/>
            </w:pPr>
            <w:r>
              <w:rPr>
                <w:rFonts w:ascii="Times New Roman" w:hAnsi="Times New Roman"/>
                <w:b/>
                <w:bCs/>
                <w:sz w:val="16"/>
              </w:rPr>
              <w:t xml:space="preserve">40,1</w:t>
            </w:r>
          </w:p>
        </w:tc>
        <w:tc>
          <w:tcPr>
            <w:tcW w:type="dxa" w:w="958"/>
            <w:shd w:val="clear" w:color="auto" w:fill="E7E6E6"/>
          </w:tcPr>
          <w:p>
            <w:pPr>
              <w:pStyle w:val="Compact"/>
              <w:spacing w:line="240" w:lineRule="auto" w:before="20" w:after="20"/>
              <w:ind w:firstLine="0"/>
              <w:jc w:val="right"/>
            </w:pPr>
            <w:r>
              <w:rPr>
                <w:rFonts w:ascii="Times New Roman" w:hAnsi="Times New Roman"/>
                <w:b/>
                <w:bCs/>
                <w:sz w:val="16"/>
              </w:rPr>
              <w:t xml:space="preserve">40,2</w:t>
            </w:r>
          </w:p>
        </w:tc>
        <w:tc>
          <w:tcPr>
            <w:tcW w:type="dxa" w:w="1106"/>
            <w:shd w:val="clear" w:color="auto" w:fill="E7E6E6"/>
          </w:tcPr>
          <w:p>
            <w:pPr>
              <w:pStyle w:val="Compact"/>
              <w:spacing w:line="240" w:lineRule="auto" w:before="20" w:after="20"/>
              <w:ind w:firstLine="0"/>
              <w:jc w:val="right"/>
            </w:pPr>
            <w:r>
              <w:rPr>
                <w:rFonts w:ascii="Times New Roman" w:hAnsi="Times New Roman"/>
                <w:b/>
                <w:bCs/>
                <w:sz w:val="16"/>
              </w:rPr>
              <w:t xml:space="preserve">+0,1%</w:t>
            </w:r>
          </w:p>
        </w:tc>
        <w:tc>
          <w:tcPr>
            <w:tcW w:type="dxa" w:w="1327"/>
            <w:shd w:val="clear" w:color="auto" w:fill="E7E6E6"/>
          </w:tcPr>
          <w:p>
            <w:pPr>
              <w:pStyle w:val="Compact"/>
              <w:spacing w:line="240" w:lineRule="auto" w:before="20" w:after="20"/>
              <w:ind w:firstLine="0"/>
              <w:jc w:val="right"/>
            </w:pPr>
            <w:r>
              <w:rPr>
                <w:rFonts w:ascii="Times New Roman" w:hAnsi="Times New Roman"/>
                <w:b/>
                <w:bCs/>
                <w:sz w:val="16"/>
              </w:rPr>
              <w:t>47,5</w:t>
            </w:r>
          </w:p>
        </w:tc>
        <w:tc>
          <w:tcPr>
            <w:tcW w:type="dxa" w:w="958"/>
            <w:shd w:val="clear" w:color="auto" w:fill="E7E6E6"/>
          </w:tcPr>
          <w:p>
            <w:pPr>
              <w:pStyle w:val="Compact"/>
              <w:spacing w:line="240" w:lineRule="auto" w:before="20" w:after="20"/>
              <w:ind w:firstLine="0"/>
              <w:jc w:val="right"/>
            </w:pPr>
            <w:r>
              <w:rPr>
                <w:rFonts w:ascii="Times New Roman" w:hAnsi="Times New Roman"/>
                <w:b/>
                <w:bCs/>
                <w:sz w:val="16"/>
              </w:rPr>
              <w:t xml:space="preserve">48,1</w:t>
            </w:r>
          </w:p>
        </w:tc>
        <w:tc>
          <w:tcPr>
            <w:tcW w:type="dxa" w:w="1106"/>
            <w:shd w:val="clear" w:color="auto" w:fill="E7E6E6"/>
          </w:tcPr>
          <w:p>
            <w:pPr>
              <w:pStyle w:val="Compact"/>
              <w:spacing w:line="240" w:lineRule="auto" w:before="20" w:after="20"/>
              <w:ind w:firstLine="0"/>
              <w:jc w:val="right"/>
            </w:pPr>
            <w:r>
              <w:rPr>
                <w:rFonts w:ascii="Times New Roman" w:hAnsi="Times New Roman"/>
                <w:b/>
                <w:bCs/>
                <w:sz w:val="16"/>
              </w:rPr>
              <w:t>+1,2%</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MG</w:t>
            </w:r>
          </w:p>
        </w:tc>
        <w:tc>
          <w:tcPr>
            <w:tcW w:type="dxa" w:w="1696"/>
          </w:tcPr>
          <w:p>
            <w:pPr>
              <w:pStyle w:val="Compact"/>
              <w:spacing w:line="240" w:lineRule="auto" w:before="20" w:after="20"/>
              <w:ind w:firstLine="0"/>
              <w:jc w:val="left"/>
            </w:pPr>
            <w:r>
              <w:rPr>
                <w:rFonts w:ascii="Times New Roman" w:hAnsi="Times New Roman"/>
                <w:sz w:val="16"/>
              </w:rPr>
              <w:t xml:space="preserve">Minas Gerais</w:t>
            </w:r>
          </w:p>
        </w:tc>
        <w:tc>
          <w:tcPr>
            <w:tcW w:type="dxa" w:w="1327"/>
          </w:tcPr>
          <w:p>
            <w:pPr>
              <w:pStyle w:val="Compact"/>
              <w:spacing w:line="240" w:lineRule="auto" w:before="20" w:after="20"/>
              <w:ind w:firstLine="0"/>
              <w:jc w:val="right"/>
            </w:pPr>
            <w:r>
              <w:rPr>
                <w:rFonts w:ascii="Times New Roman" w:hAnsi="Times New Roman"/>
                <w:sz w:val="16"/>
              </w:rPr>
              <w:t xml:space="preserve">66,1</w:t>
            </w:r>
          </w:p>
        </w:tc>
        <w:tc>
          <w:tcPr>
            <w:tcW w:type="dxa" w:w="958"/>
          </w:tcPr>
          <w:p>
            <w:pPr>
              <w:pStyle w:val="Compact"/>
              <w:spacing w:line="240" w:lineRule="auto" w:before="20" w:after="20"/>
              <w:ind w:firstLine="0"/>
              <w:jc w:val="right"/>
            </w:pPr>
            <w:r>
              <w:rPr>
                <w:rFonts w:ascii="Times New Roman" w:hAnsi="Times New Roman"/>
                <w:sz w:val="16"/>
              </w:rPr>
              <w:t xml:space="preserve">66,1</w:t>
            </w:r>
          </w:p>
        </w:tc>
        <w:tc>
          <w:tcPr>
            <w:tcW w:type="dxa" w:w="1106"/>
          </w:tcPr>
          <w:p>
            <w:pPr>
              <w:pStyle w:val="Compact"/>
              <w:spacing w:line="240" w:lineRule="auto" w:before="20" w:after="20"/>
              <w:ind w:firstLine="0"/>
              <w:jc w:val="right"/>
            </w:pPr>
            <w:r>
              <w:rPr>
                <w:rFonts w:ascii="Times New Roman" w:hAnsi="Times New Roman"/>
                <w:sz w:val="16"/>
              </w:rPr>
              <w:t xml:space="preserve">+0,1%</w:t>
            </w:r>
          </w:p>
        </w:tc>
        <w:tc>
          <w:tcPr>
            <w:tcW w:type="dxa" w:w="1327"/>
          </w:tcPr>
          <w:p>
            <w:pPr>
              <w:pStyle w:val="Compact"/>
              <w:spacing w:line="240" w:lineRule="auto" w:before="20" w:after="20"/>
              <w:ind w:firstLine="0"/>
              <w:jc w:val="right"/>
            </w:pPr>
            <w:r>
              <w:rPr>
                <w:rFonts w:ascii="Times New Roman" w:hAnsi="Times New Roman"/>
                <w:sz w:val="16"/>
              </w:rPr>
              <w:t>77,8</w:t>
            </w:r>
          </w:p>
        </w:tc>
        <w:tc>
          <w:tcPr>
            <w:tcW w:type="dxa" w:w="958"/>
          </w:tcPr>
          <w:p>
            <w:pPr>
              <w:pStyle w:val="Compact"/>
              <w:spacing w:line="240" w:lineRule="auto" w:before="20" w:after="20"/>
              <w:ind w:firstLine="0"/>
              <w:jc w:val="right"/>
            </w:pPr>
            <w:r>
              <w:rPr>
                <w:rFonts w:ascii="Times New Roman" w:hAnsi="Times New Roman"/>
                <w:sz w:val="16"/>
              </w:rPr>
              <w:t xml:space="preserve">78,6</w:t>
            </w:r>
          </w:p>
        </w:tc>
        <w:tc>
          <w:tcPr>
            <w:tcW w:type="dxa" w:w="1106"/>
          </w:tcPr>
          <w:p>
            <w:pPr>
              <w:pStyle w:val="Compact"/>
              <w:spacing w:line="240" w:lineRule="auto" w:before="20" w:after="20"/>
              <w:ind w:firstLine="0"/>
              <w:jc w:val="right"/>
            </w:pPr>
            <w:r>
              <w:rPr>
                <w:rFonts w:ascii="Times New Roman" w:hAnsi="Times New Roman"/>
                <w:sz w:val="16"/>
              </w:rPr>
              <w:t>+1,0%</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AC</w:t>
            </w:r>
          </w:p>
        </w:tc>
        <w:tc>
          <w:tcPr>
            <w:tcW w:type="dxa" w:w="1696"/>
          </w:tcPr>
          <w:p>
            <w:pPr>
              <w:pStyle w:val="Compact"/>
              <w:spacing w:line="240" w:lineRule="auto" w:before="20" w:after="20"/>
              <w:ind w:firstLine="0"/>
              <w:jc w:val="left"/>
            </w:pPr>
            <w:r>
              <w:rPr>
                <w:rFonts w:ascii="Times New Roman" w:hAnsi="Times New Roman"/>
                <w:sz w:val="16"/>
              </w:rPr>
              <w:t xml:space="preserve">Acre</w:t>
            </w:r>
          </w:p>
        </w:tc>
        <w:tc>
          <w:tcPr>
            <w:tcW w:type="dxa" w:w="1327"/>
          </w:tcPr>
          <w:p>
            <w:pPr>
              <w:pStyle w:val="Compact"/>
              <w:spacing w:line="240" w:lineRule="auto" w:before="20" w:after="20"/>
              <w:ind w:firstLine="0"/>
              <w:jc w:val="right"/>
            </w:pPr>
            <w:r>
              <w:rPr>
                <w:rFonts w:ascii="Times New Roman" w:hAnsi="Times New Roman"/>
                <w:sz w:val="16"/>
              </w:rPr>
              <w:t xml:space="preserve">1,7</w:t>
            </w:r>
          </w:p>
        </w:tc>
        <w:tc>
          <w:tcPr>
            <w:tcW w:type="dxa" w:w="958"/>
          </w:tcPr>
          <w:p>
            <w:pPr>
              <w:pStyle w:val="Compact"/>
              <w:spacing w:line="240" w:lineRule="auto" w:before="20" w:after="20"/>
              <w:ind w:firstLine="0"/>
              <w:jc w:val="right"/>
            </w:pPr>
            <w:r>
              <w:rPr>
                <w:rFonts w:ascii="Times New Roman" w:hAnsi="Times New Roman"/>
                <w:sz w:val="16"/>
              </w:rPr>
              <w:t xml:space="preserve">1,7</w:t>
            </w:r>
          </w:p>
        </w:tc>
        <w:tc>
          <w:tcPr>
            <w:tcW w:type="dxa" w:w="1106"/>
          </w:tcPr>
          <w:p>
            <w:pPr>
              <w:pStyle w:val="Compact"/>
              <w:spacing w:line="240" w:lineRule="auto" w:before="20" w:after="20"/>
              <w:ind w:firstLine="0"/>
              <w:jc w:val="right"/>
            </w:pPr>
            <w:r>
              <w:rPr>
                <w:rFonts w:ascii="Times New Roman" w:hAnsi="Times New Roman"/>
                <w:sz w:val="16"/>
              </w:rPr>
              <w:t xml:space="preserve">−0,1%</w:t>
            </w:r>
          </w:p>
        </w:tc>
        <w:tc>
          <w:tcPr>
            <w:tcW w:type="dxa" w:w="1327"/>
          </w:tcPr>
          <w:p>
            <w:pPr>
              <w:pStyle w:val="Compact"/>
              <w:spacing w:line="240" w:lineRule="auto" w:before="20" w:after="20"/>
              <w:ind w:firstLine="0"/>
              <w:jc w:val="right"/>
            </w:pPr>
            <w:r>
              <w:rPr>
                <w:rFonts w:ascii="Times New Roman" w:hAnsi="Times New Roman"/>
                <w:sz w:val="16"/>
              </w:rPr>
              <w:t>2,1</w:t>
            </w:r>
          </w:p>
        </w:tc>
        <w:tc>
          <w:tcPr>
            <w:tcW w:type="dxa" w:w="958"/>
          </w:tcPr>
          <w:p>
            <w:pPr>
              <w:pStyle w:val="Compact"/>
              <w:spacing w:line="240" w:lineRule="auto" w:before="20" w:after="20"/>
              <w:ind w:firstLine="0"/>
              <w:jc w:val="right"/>
            </w:pPr>
            <w:r>
              <w:rPr>
                <w:rFonts w:ascii="Times New Roman" w:hAnsi="Times New Roman"/>
                <w:sz w:val="16"/>
              </w:rPr>
              <w:t xml:space="preserve">2,1</w:t>
            </w:r>
          </w:p>
        </w:tc>
        <w:tc>
          <w:tcPr>
            <w:tcW w:type="dxa" w:w="1106"/>
          </w:tcPr>
          <w:p>
            <w:pPr>
              <w:pStyle w:val="Compact"/>
              <w:spacing w:line="240" w:lineRule="auto" w:before="20" w:after="20"/>
              <w:ind w:firstLine="0"/>
              <w:jc w:val="right"/>
            </w:pPr>
            <w:r>
              <w:rPr>
                <w:rFonts w:ascii="Times New Roman" w:hAnsi="Times New Roman"/>
                <w:sz w:val="16"/>
              </w:rPr>
              <w:t>+0,0%</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RR</w:t>
            </w:r>
          </w:p>
        </w:tc>
        <w:tc>
          <w:tcPr>
            <w:tcW w:type="dxa" w:w="1696"/>
          </w:tcPr>
          <w:p>
            <w:pPr>
              <w:pStyle w:val="Compact"/>
              <w:spacing w:line="240" w:lineRule="auto" w:before="20" w:after="20"/>
              <w:ind w:firstLine="0"/>
              <w:jc w:val="left"/>
            </w:pPr>
            <w:r>
              <w:rPr>
                <w:rFonts w:ascii="Times New Roman" w:hAnsi="Times New Roman"/>
                <w:sz w:val="16"/>
              </w:rPr>
              <w:t xml:space="preserve">Roraima</w:t>
            </w:r>
          </w:p>
        </w:tc>
        <w:tc>
          <w:tcPr>
            <w:tcW w:type="dxa" w:w="1327"/>
          </w:tcPr>
          <w:p>
            <w:pPr>
              <w:pStyle w:val="Compact"/>
              <w:spacing w:line="240" w:lineRule="auto" w:before="20" w:after="20"/>
              <w:ind w:firstLine="0"/>
              <w:jc w:val="right"/>
            </w:pPr>
            <w:r>
              <w:rPr>
                <w:rFonts w:ascii="Times New Roman" w:hAnsi="Times New Roman"/>
                <w:sz w:val="16"/>
              </w:rPr>
              <w:t xml:space="preserve">1,6</w:t>
            </w:r>
          </w:p>
        </w:tc>
        <w:tc>
          <w:tcPr>
            <w:tcW w:type="dxa" w:w="958"/>
          </w:tcPr>
          <w:p>
            <w:pPr>
              <w:pStyle w:val="Compact"/>
              <w:spacing w:line="240" w:lineRule="auto" w:before="20" w:after="20"/>
              <w:ind w:firstLine="0"/>
              <w:jc w:val="right"/>
            </w:pPr>
            <w:r>
              <w:rPr>
                <w:rFonts w:ascii="Times New Roman" w:hAnsi="Times New Roman"/>
                <w:sz w:val="16"/>
              </w:rPr>
              <w:t xml:space="preserve">1,6</w:t>
            </w:r>
          </w:p>
        </w:tc>
        <w:tc>
          <w:tcPr>
            <w:tcW w:type="dxa" w:w="1106"/>
          </w:tcPr>
          <w:p>
            <w:pPr>
              <w:pStyle w:val="Compact"/>
              <w:spacing w:line="240" w:lineRule="auto" w:before="20" w:after="20"/>
              <w:ind w:firstLine="0"/>
              <w:jc w:val="right"/>
            </w:pPr>
            <w:r>
              <w:rPr>
                <w:rFonts w:ascii="Times New Roman" w:hAnsi="Times New Roman"/>
                <w:sz w:val="16"/>
              </w:rPr>
              <w:t xml:space="preserve">+0,0%</w:t>
            </w:r>
          </w:p>
        </w:tc>
        <w:tc>
          <w:tcPr>
            <w:tcW w:type="dxa" w:w="1327"/>
          </w:tcPr>
          <w:p>
            <w:pPr>
              <w:pStyle w:val="Compact"/>
              <w:spacing w:line="240" w:lineRule="auto" w:before="20" w:after="20"/>
              <w:ind w:firstLine="0"/>
              <w:jc w:val="right"/>
            </w:pPr>
            <w:r>
              <w:rPr>
                <w:rFonts w:ascii="Times New Roman" w:hAnsi="Times New Roman"/>
                <w:sz w:val="16"/>
              </w:rPr>
              <w:t xml:space="preserve">1,8</w:t>
            </w:r>
          </w:p>
        </w:tc>
        <w:tc>
          <w:tcPr>
            <w:tcW w:type="dxa" w:w="958"/>
          </w:tcPr>
          <w:p>
            <w:pPr>
              <w:pStyle w:val="Compact"/>
              <w:spacing w:line="240" w:lineRule="auto" w:before="20" w:after="20"/>
              <w:ind w:firstLine="0"/>
              <w:jc w:val="right"/>
            </w:pPr>
            <w:r>
              <w:rPr>
                <w:rFonts w:ascii="Times New Roman" w:hAnsi="Times New Roman"/>
                <w:sz w:val="16"/>
              </w:rPr>
              <w:t xml:space="preserve">1,9</w:t>
            </w:r>
          </w:p>
        </w:tc>
        <w:tc>
          <w:tcPr>
            <w:tcW w:type="dxa" w:w="1106"/>
          </w:tcPr>
          <w:p>
            <w:pPr>
              <w:pStyle w:val="Compact"/>
              <w:spacing w:line="240" w:lineRule="auto" w:before="20" w:after="20"/>
              <w:ind w:firstLine="0"/>
              <w:jc w:val="right"/>
            </w:pPr>
            <w:r>
              <w:rPr>
                <w:rFonts w:ascii="Times New Roman" w:hAnsi="Times New Roman"/>
                <w:sz w:val="16"/>
              </w:rPr>
              <w:t>+1,4%</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CE</w:t>
            </w:r>
          </w:p>
        </w:tc>
        <w:tc>
          <w:tcPr>
            <w:tcW w:type="dxa" w:w="1696"/>
          </w:tcPr>
          <w:p>
            <w:pPr>
              <w:pStyle w:val="Compact"/>
              <w:spacing w:line="240" w:lineRule="auto" w:before="20" w:after="20"/>
              <w:ind w:firstLine="0"/>
              <w:jc w:val="left"/>
            </w:pPr>
            <w:r>
              <w:rPr>
                <w:rFonts w:ascii="Times New Roman" w:hAnsi="Times New Roman"/>
                <w:sz w:val="16"/>
              </w:rPr>
              <w:t xml:space="preserve">Ceará</w:t>
            </w:r>
          </w:p>
        </w:tc>
        <w:tc>
          <w:tcPr>
            <w:tcW w:type="dxa" w:w="1327"/>
          </w:tcPr>
          <w:p>
            <w:pPr>
              <w:pStyle w:val="Compact"/>
              <w:spacing w:line="240" w:lineRule="auto" w:before="20" w:after="20"/>
              <w:ind w:firstLine="0"/>
              <w:jc w:val="right"/>
            </w:pPr>
            <w:r>
              <w:rPr>
                <w:rFonts w:ascii="Times New Roman" w:hAnsi="Times New Roman"/>
                <w:sz w:val="16"/>
              </w:rPr>
              <w:t xml:space="preserve">16,2</w:t>
            </w:r>
          </w:p>
        </w:tc>
        <w:tc>
          <w:tcPr>
            <w:tcW w:type="dxa" w:w="958"/>
          </w:tcPr>
          <w:p>
            <w:pPr>
              <w:pStyle w:val="Compact"/>
              <w:spacing w:line="240" w:lineRule="auto" w:before="20" w:after="20"/>
              <w:ind w:firstLine="0"/>
              <w:jc w:val="right"/>
            </w:pPr>
            <w:r>
              <w:rPr>
                <w:rFonts w:ascii="Times New Roman" w:hAnsi="Times New Roman"/>
                <w:sz w:val="16"/>
              </w:rPr>
              <w:t xml:space="preserve">16,2</w:t>
            </w:r>
          </w:p>
        </w:tc>
        <w:tc>
          <w:tcPr>
            <w:tcW w:type="dxa" w:w="1106"/>
          </w:tcPr>
          <w:p>
            <w:pPr>
              <w:pStyle w:val="Compact"/>
              <w:spacing w:line="240" w:lineRule="auto" w:before="20" w:after="20"/>
              <w:ind w:firstLine="0"/>
              <w:jc w:val="right"/>
            </w:pPr>
            <w:r>
              <w:rPr>
                <w:rFonts w:ascii="Times New Roman" w:hAnsi="Times New Roman"/>
                <w:sz w:val="16"/>
              </w:rPr>
              <w:t>+0,0%</w:t>
            </w:r>
          </w:p>
        </w:tc>
        <w:tc>
          <w:tcPr>
            <w:tcW w:type="dxa" w:w="1327"/>
          </w:tcPr>
          <w:p>
            <w:pPr>
              <w:pStyle w:val="Compact"/>
              <w:spacing w:line="240" w:lineRule="auto" w:before="20" w:after="20"/>
              <w:ind w:firstLine="0"/>
              <w:jc w:val="right"/>
            </w:pPr>
            <w:r>
              <w:rPr>
                <w:rFonts w:ascii="Times New Roman" w:hAnsi="Times New Roman"/>
                <w:sz w:val="16"/>
              </w:rPr>
              <w:t xml:space="preserve">19,5</w:t>
            </w:r>
          </w:p>
        </w:tc>
        <w:tc>
          <w:tcPr>
            <w:tcW w:type="dxa" w:w="958"/>
          </w:tcPr>
          <w:p>
            <w:pPr>
              <w:pStyle w:val="Compact"/>
              <w:spacing w:line="240" w:lineRule="auto" w:before="20" w:after="20"/>
              <w:ind w:firstLine="0"/>
              <w:jc w:val="right"/>
            </w:pPr>
            <w:r>
              <w:rPr>
                <w:rFonts w:ascii="Times New Roman" w:hAnsi="Times New Roman"/>
                <w:sz w:val="16"/>
              </w:rPr>
              <w:t xml:space="preserve">19,6</w:t>
            </w:r>
          </w:p>
        </w:tc>
        <w:tc>
          <w:tcPr>
            <w:tcW w:type="dxa" w:w="1106"/>
          </w:tcPr>
          <w:p>
            <w:pPr>
              <w:pStyle w:val="Compact"/>
              <w:spacing w:line="240" w:lineRule="auto" w:before="20" w:after="20"/>
              <w:ind w:firstLine="0"/>
              <w:jc w:val="right"/>
            </w:pPr>
            <w:r>
              <w:rPr>
                <w:rFonts w:ascii="Times New Roman" w:hAnsi="Times New Roman"/>
                <w:sz w:val="16"/>
              </w:rPr>
              <w:t>+0,6%</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MA</w:t>
            </w:r>
          </w:p>
        </w:tc>
        <w:tc>
          <w:tcPr>
            <w:tcW w:type="dxa" w:w="1696"/>
          </w:tcPr>
          <w:p>
            <w:pPr>
              <w:pStyle w:val="Compact"/>
              <w:spacing w:line="240" w:lineRule="auto" w:before="20" w:after="20"/>
              <w:ind w:firstLine="0"/>
              <w:jc w:val="left"/>
            </w:pPr>
            <w:r>
              <w:rPr>
                <w:rFonts w:ascii="Times New Roman" w:hAnsi="Times New Roman"/>
                <w:sz w:val="16"/>
              </w:rPr>
              <w:t xml:space="preserve">Maranhão</w:t>
            </w:r>
          </w:p>
        </w:tc>
        <w:tc>
          <w:tcPr>
            <w:tcW w:type="dxa" w:w="1327"/>
          </w:tcPr>
          <w:p>
            <w:pPr>
              <w:pStyle w:val="Compact"/>
              <w:spacing w:line="240" w:lineRule="auto" w:before="20" w:after="20"/>
              <w:ind w:firstLine="0"/>
              <w:jc w:val="right"/>
            </w:pPr>
            <w:r>
              <w:rPr>
                <w:rFonts w:ascii="Times New Roman" w:hAnsi="Times New Roman"/>
                <w:sz w:val="16"/>
              </w:rPr>
              <w:t xml:space="preserve">11,9</w:t>
            </w:r>
          </w:p>
        </w:tc>
        <w:tc>
          <w:tcPr>
            <w:tcW w:type="dxa" w:w="958"/>
          </w:tcPr>
          <w:p>
            <w:pPr>
              <w:pStyle w:val="Compact"/>
              <w:spacing w:line="240" w:lineRule="auto" w:before="20" w:after="20"/>
              <w:ind w:firstLine="0"/>
              <w:jc w:val="right"/>
            </w:pPr>
            <w:r>
              <w:rPr>
                <w:rFonts w:ascii="Times New Roman" w:hAnsi="Times New Roman"/>
                <w:sz w:val="16"/>
              </w:rPr>
              <w:t xml:space="preserve">11,9</w:t>
            </w:r>
          </w:p>
        </w:tc>
        <w:tc>
          <w:tcPr>
            <w:tcW w:type="dxa" w:w="1106"/>
          </w:tcPr>
          <w:p>
            <w:pPr>
              <w:pStyle w:val="Compact"/>
              <w:spacing w:line="240" w:lineRule="auto" w:before="20" w:after="20"/>
              <w:ind w:firstLine="0"/>
              <w:jc w:val="right"/>
            </w:pPr>
            <w:r>
              <w:rPr>
                <w:rFonts w:ascii="Times New Roman" w:hAnsi="Times New Roman"/>
                <w:sz w:val="16"/>
              </w:rPr>
              <w:t xml:space="preserve">+0,0%</w:t>
            </w:r>
          </w:p>
        </w:tc>
        <w:tc>
          <w:tcPr>
            <w:tcW w:type="dxa" w:w="1327"/>
          </w:tcPr>
          <w:p>
            <w:pPr>
              <w:pStyle w:val="Compact"/>
              <w:spacing w:line="240" w:lineRule="auto" w:before="20" w:after="20"/>
              <w:ind w:firstLine="0"/>
              <w:jc w:val="right"/>
            </w:pPr>
            <w:r>
              <w:rPr>
                <w:rFonts w:ascii="Times New Roman" w:hAnsi="Times New Roman"/>
                <w:sz w:val="16"/>
              </w:rPr>
              <w:t>13,1</w:t>
            </w:r>
          </w:p>
        </w:tc>
        <w:tc>
          <w:tcPr>
            <w:tcW w:type="dxa" w:w="958"/>
          </w:tcPr>
          <w:p>
            <w:pPr>
              <w:pStyle w:val="Compact"/>
              <w:spacing w:line="240" w:lineRule="auto" w:before="20" w:after="20"/>
              <w:ind w:firstLine="0"/>
              <w:jc w:val="right"/>
            </w:pPr>
            <w:r>
              <w:rPr>
                <w:rFonts w:ascii="Times New Roman" w:hAnsi="Times New Roman"/>
                <w:sz w:val="16"/>
              </w:rPr>
              <w:t xml:space="preserve">13,0</w:t>
            </w:r>
          </w:p>
        </w:tc>
        <w:tc>
          <w:tcPr>
            <w:tcW w:type="dxa" w:w="1106"/>
          </w:tcPr>
          <w:p>
            <w:pPr>
              <w:pStyle w:val="Compact"/>
              <w:spacing w:line="240" w:lineRule="auto" w:before="20" w:after="20"/>
              <w:ind w:firstLine="0"/>
              <w:jc w:val="right"/>
            </w:pPr>
            <w:r>
              <w:rPr>
                <w:rFonts w:ascii="Times New Roman" w:hAnsi="Times New Roman"/>
                <w:sz w:val="16"/>
              </w:rPr>
              <w:t>−0,9%</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TO</w:t>
            </w:r>
          </w:p>
        </w:tc>
        <w:tc>
          <w:tcPr>
            <w:tcW w:type="dxa" w:w="1696"/>
          </w:tcPr>
          <w:p>
            <w:pPr>
              <w:pStyle w:val="Compact"/>
              <w:spacing w:line="240" w:lineRule="auto" w:before="20" w:after="20"/>
              <w:ind w:firstLine="0"/>
              <w:jc w:val="left"/>
            </w:pPr>
            <w:r>
              <w:rPr>
                <w:rFonts w:ascii="Times New Roman" w:hAnsi="Times New Roman"/>
                <w:sz w:val="16"/>
              </w:rPr>
              <w:t xml:space="preserve">Tocantins</w:t>
            </w:r>
          </w:p>
        </w:tc>
        <w:tc>
          <w:tcPr>
            <w:tcW w:type="dxa" w:w="1327"/>
          </w:tcPr>
          <w:p>
            <w:pPr>
              <w:pStyle w:val="Compact"/>
              <w:spacing w:line="240" w:lineRule="auto" w:before="20" w:after="20"/>
              <w:ind w:firstLine="0"/>
              <w:jc w:val="right"/>
            </w:pPr>
            <w:r>
              <w:rPr>
                <w:rFonts w:ascii="Times New Roman" w:hAnsi="Times New Roman"/>
                <w:sz w:val="16"/>
              </w:rPr>
              <w:t xml:space="preserve">4,8</w:t>
            </w:r>
          </w:p>
        </w:tc>
        <w:tc>
          <w:tcPr>
            <w:tcW w:type="dxa" w:w="958"/>
          </w:tcPr>
          <w:p>
            <w:pPr>
              <w:pStyle w:val="Compact"/>
              <w:spacing w:line="240" w:lineRule="auto" w:before="20" w:after="20"/>
              <w:ind w:firstLine="0"/>
              <w:jc w:val="right"/>
            </w:pPr>
            <w:r>
              <w:rPr>
                <w:rFonts w:ascii="Times New Roman" w:hAnsi="Times New Roman"/>
                <w:sz w:val="16"/>
              </w:rPr>
              <w:t xml:space="preserve">4,8</w:t>
            </w:r>
          </w:p>
        </w:tc>
        <w:tc>
          <w:tcPr>
            <w:tcW w:type="dxa" w:w="1106"/>
          </w:tcPr>
          <w:p>
            <w:pPr>
              <w:pStyle w:val="Compact"/>
              <w:spacing w:line="240" w:lineRule="auto" w:before="20" w:after="20"/>
              <w:ind w:firstLine="0"/>
              <w:jc w:val="right"/>
            </w:pPr>
            <w:r>
              <w:rPr>
                <w:rFonts w:ascii="Times New Roman" w:hAnsi="Times New Roman"/>
                <w:sz w:val="16"/>
              </w:rPr>
              <w:t xml:space="preserve">+0,0%</w:t>
            </w:r>
          </w:p>
        </w:tc>
        <w:tc>
          <w:tcPr>
            <w:tcW w:type="dxa" w:w="1327"/>
          </w:tcPr>
          <w:p>
            <w:pPr>
              <w:pStyle w:val="Compact"/>
              <w:spacing w:line="240" w:lineRule="auto" w:before="20" w:after="20"/>
              <w:ind w:firstLine="0"/>
              <w:jc w:val="right"/>
            </w:pPr>
            <w:r>
              <w:rPr>
                <w:rFonts w:ascii="Times New Roman" w:hAnsi="Times New Roman"/>
                <w:sz w:val="16"/>
              </w:rPr>
              <w:t>5,1</w:t>
            </w:r>
          </w:p>
        </w:tc>
        <w:tc>
          <w:tcPr>
            <w:tcW w:type="dxa" w:w="958"/>
          </w:tcPr>
          <w:p>
            <w:pPr>
              <w:pStyle w:val="Compact"/>
              <w:spacing w:line="240" w:lineRule="auto" w:before="20" w:after="20"/>
              <w:ind w:firstLine="0"/>
              <w:jc w:val="right"/>
            </w:pPr>
            <w:r>
              <w:rPr>
                <w:rFonts w:ascii="Times New Roman" w:hAnsi="Times New Roman"/>
                <w:sz w:val="16"/>
              </w:rPr>
              <w:t xml:space="preserve">5,2</w:t>
            </w:r>
          </w:p>
        </w:tc>
        <w:tc>
          <w:tcPr>
            <w:tcW w:type="dxa" w:w="1106"/>
          </w:tcPr>
          <w:p>
            <w:pPr>
              <w:pStyle w:val="Compact"/>
              <w:spacing w:line="240" w:lineRule="auto" w:before="20" w:after="20"/>
              <w:ind w:firstLine="0"/>
              <w:jc w:val="right"/>
            </w:pPr>
            <w:r>
              <w:rPr>
                <w:rFonts w:ascii="Times New Roman" w:hAnsi="Times New Roman"/>
                <w:sz w:val="16"/>
              </w:rPr>
              <w:t>+2,2%</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DF</w:t>
            </w:r>
          </w:p>
        </w:tc>
        <w:tc>
          <w:tcPr>
            <w:tcW w:type="dxa" w:w="1696"/>
          </w:tcPr>
          <w:p>
            <w:pPr>
              <w:pStyle w:val="Compact"/>
              <w:spacing w:line="240" w:lineRule="auto" w:before="20" w:after="20"/>
              <w:ind w:firstLine="0"/>
              <w:jc w:val="left"/>
            </w:pPr>
            <w:r>
              <w:rPr>
                <w:rFonts w:ascii="Times New Roman" w:hAnsi="Times New Roman"/>
                <w:sz w:val="16"/>
              </w:rPr>
              <w:t xml:space="preserve">Distrito Federal</w:t>
            </w:r>
          </w:p>
        </w:tc>
        <w:tc>
          <w:tcPr>
            <w:tcW w:type="dxa" w:w="1327"/>
          </w:tcPr>
          <w:p>
            <w:pPr>
              <w:pStyle w:val="Compact"/>
              <w:spacing w:line="240" w:lineRule="auto" w:before="20" w:after="20"/>
              <w:ind w:firstLine="0"/>
              <w:jc w:val="right"/>
            </w:pPr>
            <w:r>
              <w:rPr>
                <w:rFonts w:ascii="Times New Roman" w:hAnsi="Times New Roman"/>
                <w:sz w:val="16"/>
              </w:rPr>
              <w:t xml:space="preserve">16,5</w:t>
            </w:r>
          </w:p>
        </w:tc>
        <w:tc>
          <w:tcPr>
            <w:tcW w:type="dxa" w:w="958"/>
          </w:tcPr>
          <w:p>
            <w:pPr>
              <w:pStyle w:val="Compact"/>
              <w:spacing w:line="240" w:lineRule="auto" w:before="20" w:after="20"/>
              <w:ind w:firstLine="0"/>
              <w:jc w:val="right"/>
            </w:pPr>
            <w:r>
              <w:rPr>
                <w:rFonts w:ascii="Times New Roman" w:hAnsi="Times New Roman"/>
                <w:sz w:val="16"/>
              </w:rPr>
              <w:t xml:space="preserve">16,5</w:t>
            </w:r>
          </w:p>
        </w:tc>
        <w:tc>
          <w:tcPr>
            <w:tcW w:type="dxa" w:w="1106"/>
          </w:tcPr>
          <w:p>
            <w:pPr>
              <w:pStyle w:val="Compact"/>
              <w:spacing w:line="240" w:lineRule="auto" w:before="20" w:after="20"/>
              <w:ind w:firstLine="0"/>
              <w:jc w:val="right"/>
            </w:pPr>
            <w:r>
              <w:rPr>
                <w:rFonts w:ascii="Times New Roman" w:hAnsi="Times New Roman"/>
                <w:sz w:val="16"/>
              </w:rPr>
              <w:t>+0,0%</w:t>
            </w:r>
          </w:p>
        </w:tc>
        <w:tc>
          <w:tcPr>
            <w:tcW w:type="dxa" w:w="1327"/>
          </w:tcPr>
          <w:p>
            <w:pPr>
              <w:pStyle w:val="Compact"/>
              <w:spacing w:line="240" w:lineRule="auto" w:before="20" w:after="20"/>
              <w:ind w:firstLine="0"/>
              <w:jc w:val="right"/>
            </w:pPr>
            <w:r>
              <w:rPr>
                <w:rFonts w:ascii="Times New Roman" w:hAnsi="Times New Roman"/>
                <w:sz w:val="16"/>
              </w:rPr>
              <w:t>20,5</w:t>
            </w:r>
          </w:p>
        </w:tc>
        <w:tc>
          <w:tcPr>
            <w:tcW w:type="dxa" w:w="958"/>
          </w:tcPr>
          <w:p>
            <w:pPr>
              <w:pStyle w:val="Compact"/>
              <w:spacing w:line="240" w:lineRule="auto" w:before="20" w:after="20"/>
              <w:ind w:firstLine="0"/>
              <w:jc w:val="right"/>
            </w:pPr>
            <w:r>
              <w:rPr>
                <w:rFonts w:ascii="Times New Roman" w:hAnsi="Times New Roman"/>
                <w:sz w:val="16"/>
              </w:rPr>
              <w:t xml:space="preserve">19,9</w:t>
            </w:r>
          </w:p>
        </w:tc>
        <w:tc>
          <w:tcPr>
            <w:tcW w:type="dxa" w:w="1106"/>
          </w:tcPr>
          <w:p>
            <w:pPr>
              <w:pStyle w:val="Compact"/>
              <w:spacing w:line="240" w:lineRule="auto" w:before="20" w:after="20"/>
              <w:ind w:firstLine="0"/>
              <w:jc w:val="right"/>
            </w:pPr>
            <w:r>
              <w:rPr>
                <w:rFonts w:ascii="Times New Roman" w:hAnsi="Times New Roman"/>
                <w:sz w:val="16"/>
              </w:rPr>
              <w:t>−2,7%</w:t>
            </w:r>
          </w:p>
        </w:tc>
      </w:tr>
      <w:tr>
        <w:trPr>
          <w:cantSplit/>
        </w:trPr>
        <w:tc>
          <w:tcPr>
            <w:tcW w:type="dxa" w:w="590"/>
          </w:tcPr>
          <w:p>
            <w:pPr>
              <w:pStyle w:val="Compact"/>
              <w:spacing w:line="240" w:lineRule="auto" w:before="20" w:after="20"/>
              <w:ind w:firstLine="0"/>
              <w:jc w:val="left"/>
            </w:pPr>
            <w:r>
              <w:rPr>
                <w:rFonts w:ascii="Times New Roman" w:hAnsi="Times New Roman"/>
                <w:sz w:val="16"/>
              </w:rPr>
              <w:t xml:space="preserve">MS</w:t>
            </w:r>
          </w:p>
        </w:tc>
        <w:tc>
          <w:tcPr>
            <w:tcW w:type="dxa" w:w="1696"/>
          </w:tcPr>
          <w:p>
            <w:pPr>
              <w:pStyle w:val="Compact"/>
              <w:spacing w:line="240" w:lineRule="auto" w:before="20" w:after="20"/>
              <w:ind w:firstLine="0"/>
              <w:jc w:val="left"/>
            </w:pPr>
            <w:r>
              <w:rPr>
                <w:rFonts w:ascii="Times New Roman" w:hAnsi="Times New Roman"/>
                <w:sz w:val="16"/>
              </w:rPr>
              <w:t xml:space="preserve">Mato Grosso do Sul</w:t>
            </w:r>
          </w:p>
        </w:tc>
        <w:tc>
          <w:tcPr>
            <w:tcW w:type="dxa" w:w="1327"/>
          </w:tcPr>
          <w:p>
            <w:pPr>
              <w:pStyle w:val="Compact"/>
              <w:spacing w:line="240" w:lineRule="auto" w:before="20" w:after="20"/>
              <w:ind w:firstLine="0"/>
              <w:jc w:val="right"/>
            </w:pPr>
            <w:r>
              <w:rPr>
                <w:rFonts w:ascii="Times New Roman" w:hAnsi="Times New Roman"/>
                <w:sz w:val="16"/>
              </w:rPr>
              <w:t xml:space="preserve">13,2</w:t>
            </w:r>
          </w:p>
        </w:tc>
        <w:tc>
          <w:tcPr>
            <w:tcW w:type="dxa" w:w="958"/>
          </w:tcPr>
          <w:p>
            <w:pPr>
              <w:pStyle w:val="Compact"/>
              <w:spacing w:line="240" w:lineRule="auto" w:before="20" w:after="20"/>
              <w:ind w:firstLine="0"/>
              <w:jc w:val="right"/>
            </w:pPr>
            <w:r>
              <w:rPr>
                <w:rFonts w:ascii="Times New Roman" w:hAnsi="Times New Roman"/>
                <w:sz w:val="16"/>
              </w:rPr>
              <w:t xml:space="preserve">13,2</w:t>
            </w:r>
          </w:p>
        </w:tc>
        <w:tc>
          <w:tcPr>
            <w:tcW w:type="dxa" w:w="1106"/>
          </w:tcPr>
          <w:p>
            <w:pPr>
              <w:pStyle w:val="Compact"/>
              <w:spacing w:line="240" w:lineRule="auto" w:before="20" w:after="20"/>
              <w:ind w:firstLine="0"/>
              <w:jc w:val="right"/>
            </w:pPr>
            <w:r>
              <w:rPr>
                <w:rFonts w:ascii="Times New Roman" w:hAnsi="Times New Roman"/>
                <w:sz w:val="16"/>
              </w:rPr>
              <w:t>+0,0%</w:t>
            </w:r>
          </w:p>
        </w:tc>
        <w:tc>
          <w:tcPr>
            <w:tcW w:type="dxa" w:w="1327"/>
          </w:tcPr>
          <w:p>
            <w:pPr>
              <w:pStyle w:val="Compact"/>
              <w:spacing w:line="240" w:lineRule="auto" w:before="20" w:after="20"/>
              <w:ind w:firstLine="0"/>
              <w:jc w:val="right"/>
            </w:pPr>
            <w:r>
              <w:rPr>
                <w:rFonts w:ascii="Times New Roman" w:hAnsi="Times New Roman"/>
                <w:sz w:val="16"/>
              </w:rPr>
              <w:t>15,0</w:t>
            </w:r>
          </w:p>
        </w:tc>
        <w:tc>
          <w:tcPr>
            <w:tcW w:type="dxa" w:w="958"/>
          </w:tcPr>
          <w:p>
            <w:pPr>
              <w:pStyle w:val="Compact"/>
              <w:spacing w:line="240" w:lineRule="auto" w:before="20" w:after="20"/>
              <w:ind w:firstLine="0"/>
              <w:jc w:val="right"/>
            </w:pPr>
            <w:r>
              <w:rPr>
                <w:rFonts w:ascii="Times New Roman" w:hAnsi="Times New Roman"/>
                <w:sz w:val="16"/>
              </w:rPr>
              <w:t xml:space="preserve">15,1</w:t>
            </w:r>
          </w:p>
        </w:tc>
        <w:tc>
          <w:tcPr>
            <w:tcW w:type="dxa" w:w="1106"/>
          </w:tcPr>
          <w:p>
            <w:pPr>
              <w:pStyle w:val="Compact"/>
              <w:spacing w:line="240" w:lineRule="auto" w:before="20" w:after="20"/>
              <w:ind w:firstLine="0"/>
              <w:jc w:val="right"/>
            </w:pPr>
            <w:r>
              <w:rPr>
                <w:rFonts w:ascii="Times New Roman" w:hAnsi="Times New Roman"/>
                <w:sz w:val="16"/>
              </w:rPr>
              <w:t>+0,6%</w:t>
            </w:r>
          </w:p>
        </w:tc>
      </w:tr>
    </w:tbl>
    <w:bookmarkEnd w:id="59"/>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m:oMath>
        <m:r>
          <m:rPr>
            <m:sty m:val="p"/>
          </m:rPr>
          <m:t>Δ</m:t>
        </m:r>
        <m:r>
          <m:rPr>
            <m:sty m:val="p"/>
          </m:rPr>
          <m:t>=</m:t>
        </m:r>
        <m:r>
          <m:rPr>
            <m:sty m:val="p"/>
          </m:rPr>
          <m:t>(</m:t>
        </m:r>
        <m:r>
          <m:rPr>
            <m:nor/>
            <m:sty m:val="p"/>
          </m:rPr>
          <m:t>Ipea</m:t>
        </m:r>
        <m:r>
          <m:rPr>
            <m:sty m:val="p"/>
          </m:rPr>
          <m:t>/</m:t>
        </m:r>
        <m:r>
          <m:rPr>
            <m:nor/>
            <m:sty m:val="p"/>
          </m:rPr>
          <m:t>este estudo</m:t>
        </m:r>
        <m:r>
          <m:rPr>
            <m:sty m:val="p"/>
          </m:rPr>
          <m:t>)</m:t>
        </m:r>
        <m:r>
          <m:rPr>
            <m:sty m:val="p"/>
          </m:rPr>
          <m:t>−</m:t>
        </m:r>
        <m:r>
          <m:t>1</m:t>
        </m:r>
      </m:oMath>
      <w:r>
        <w:rPr>
          <w:rFonts w:ascii="Times New Roman" w:hAnsi="Times New Roman"/>
          <w:sz w:val="18"/>
        </w:rPr>
        <w:t xml:space="preserve">. Valores em R$ bilhões, a preços de 2025. As diferenças percentuais reproduzem a comparação apresentada na fonte e podem não coincidir exatamente com as razões calculadas a partir dos valores arredondados exibidos na tabela. Esta validação confronta duas projeções completas e é distinta do exercício de sensibilidade descrito no texto, no qual apenas o coeficiente de destino é substituído e os demais parâmetros do modelo são mantidos fixos.</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 com base nas projeções deste estudo e na apresentação do Ipea/Gobetti ao Confaz, set./2026.</w:t>
      </w:r>
    </w:p>
    <w:bookmarkStart w:id="60" w:name="tab:anexo_cpt_pr"/>
    <w:p>
      <w:pPr>
        <w:pStyle w:val="TableCaption"/>
      </w:pPr>
      <w:r>
        <w:rPr>
          <w:b/>
          <w:bCs/>
        </w:rPr>
        <w:t xml:space="preserve">Tabela A.2:</w:t>
      </w:r>
      <w:r>
        <w:t xml:space="preserve"> Memória de cálculo do coeficiente de participação do governo estadual do Paraná</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A.2: Memória de cálculo do coeficiente de participação do governo estadual do Paraná"/>
      </w:tblPr>
      <w:tblGrid>
        <w:gridCol w:w="697"/>
        <w:gridCol w:w="1078"/>
        <w:gridCol w:w="1205"/>
        <w:gridCol w:w="1332"/>
        <w:gridCol w:w="824"/>
        <w:gridCol w:w="1459"/>
        <w:gridCol w:w="1015"/>
        <w:gridCol w:w="1459"/>
      </w:tblGrid>
      <w:tr>
        <w:trPr>
          <w:tblHeader w:val="on"/>
          <w:cantSplit/>
          <w:tblHeader/>
        </w:trPr>
        <w:tc>
          <w:tcPr>
            <w:tcW w:type="dxa" w:w="69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Ano</w:t>
            </w:r>
          </w:p>
        </w:tc>
        <w:tc>
          <w:tcPr>
            <w:tcW w:type="dxa" w:w="1078"/>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ICMS bruto</w:t>
            </w:r>
            <w:r>
              <w:rPr>
                <w:rFonts w:ascii="Times New Roman" w:hAnsi="Times New Roman"/>
                <w:b/>
                <w:sz w:val="16"/>
              </w:rPr>
              <w:br/>
            </w:r>
            <w:r>
              <w:rPr>
                <w:rFonts w:ascii="Times New Roman" w:hAnsi="Times New Roman"/>
                <w:b/>
                <w:bCs/>
                <w:sz w:val="16"/>
              </w:rPr>
              <w:t xml:space="preserve">R$ bi</w:t>
            </w:r>
          </w:p>
        </w:tc>
        <w:tc>
          <w:tcPr>
            <w:tcW w:type="dxa" w:w="120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Outras</w:t>
            </w:r>
            <w:r>
              <w:rPr>
                <w:rFonts w:ascii="Times New Roman" w:hAnsi="Times New Roman"/>
                <w:b/>
                <w:sz w:val="16"/>
              </w:rPr>
              <w:br/>
            </w:r>
            <w:r>
              <w:rPr>
                <w:rFonts w:ascii="Times New Roman" w:hAnsi="Times New Roman"/>
                <w:b/>
                <w:bCs/>
                <w:sz w:val="16"/>
              </w:rPr>
              <w:t xml:space="preserve">deduções</w:t>
            </w:r>
          </w:p>
        </w:tc>
        <w:tc>
          <w:tcPr>
            <w:tcW w:type="dxa" w:w="133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Cota</w:t>
            </w:r>
            <w:r>
              <w:rPr>
                <w:rFonts w:ascii="Times New Roman" w:hAnsi="Times New Roman"/>
                <w:b/>
                <w:sz w:val="16"/>
              </w:rPr>
              <w:br/>
            </w:r>
            <w:r>
              <w:rPr>
                <w:rFonts w:ascii="Times New Roman" w:hAnsi="Times New Roman"/>
                <w:b/>
                <w:bCs/>
                <w:sz w:val="16"/>
              </w:rPr>
              <w:t xml:space="preserve">municipal</w:t>
            </w:r>
          </w:p>
        </w:tc>
        <w:tc>
          <w:tcPr>
            <w:tcW w:type="dxa" w:w="82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FECOP</w:t>
            </w:r>
          </w:p>
        </w:tc>
        <w:tc>
          <w:tcPr>
            <w:tcW w:type="dxa" w:w="145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Receita de</w:t>
            </w:r>
            <w:r>
              <w:rPr>
                <w:rFonts w:ascii="Times New Roman" w:hAnsi="Times New Roman"/>
                <w:b/>
                <w:sz w:val="16"/>
              </w:rPr>
              <w:br/>
            </w:r>
            <w:r>
              <w:rPr>
                <w:rFonts w:ascii="Times New Roman" w:hAnsi="Times New Roman"/>
                <w:b/>
                <w:bCs/>
                <w:sz w:val="16"/>
              </w:rPr>
              <w:t xml:space="preserve">referência</w:t>
            </w:r>
          </w:p>
        </w:tc>
        <w:tc>
          <w:tcPr>
            <w:tcW w:type="dxa" w:w="101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Fator de</w:t>
            </w:r>
            <w:r>
              <w:rPr>
                <w:rFonts w:ascii="Times New Roman" w:hAnsi="Times New Roman"/>
                <w:b/>
                <w:sz w:val="16"/>
              </w:rPr>
              <w:br/>
            </w:r>
            <w:r>
              <w:rPr>
                <w:rFonts w:ascii="Times New Roman" w:hAnsi="Times New Roman"/>
                <w:b/>
                <w:bCs/>
                <w:sz w:val="16"/>
              </w:rPr>
              <w:t xml:space="preserve">ajuste</w:t>
            </w:r>
          </w:p>
        </w:tc>
        <w:tc>
          <w:tcPr>
            <w:tcW w:type="dxa" w:w="145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Referência</w:t>
            </w:r>
            <w:r>
              <w:rPr>
                <w:rFonts w:ascii="Times New Roman" w:hAnsi="Times New Roman"/>
                <w:b/>
                <w:sz w:val="16"/>
              </w:rPr>
              <w:br/>
            </w:r>
            <w:r>
              <w:rPr>
                <w:rFonts w:ascii="Times New Roman" w:hAnsi="Times New Roman"/>
                <w:b/>
                <w:bCs/>
                <w:sz w:val="16"/>
              </w:rPr>
              <w:t xml:space="preserve">R$ de 2025</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2019</w:t>
            </w:r>
          </w:p>
        </w:tc>
        <w:tc>
          <w:tcPr>
            <w:tcW w:type="dxa" w:w="1078"/>
          </w:tcPr>
          <w:p>
            <w:pPr>
              <w:pStyle w:val="Compact"/>
              <w:spacing w:line="240" w:lineRule="auto" w:before="20" w:after="20"/>
              <w:ind w:firstLine="0"/>
              <w:jc w:val="right"/>
            </w:pPr>
            <w:r>
              <w:rPr>
                <w:rFonts w:ascii="Times New Roman" w:hAnsi="Times New Roman"/>
                <w:sz w:val="16"/>
              </w:rPr>
              <w:t xml:space="preserve">31,20</w:t>
            </w:r>
          </w:p>
        </w:tc>
        <w:tc>
          <w:tcPr>
            <w:tcW w:type="dxa" w:w="1205"/>
          </w:tcPr>
          <w:p>
            <w:pPr>
              <w:pStyle w:val="Compact"/>
              <w:spacing w:line="240" w:lineRule="auto" w:before="20" w:after="20"/>
              <w:ind w:firstLine="0"/>
              <w:jc w:val="right"/>
            </w:pPr>
            <w:r>
              <w:rPr>
                <w:rFonts w:ascii="Times New Roman" w:hAnsi="Times New Roman"/>
                <w:sz w:val="16"/>
              </w:rPr>
              <w:t xml:space="preserve">0,30</w:t>
            </w:r>
          </w:p>
        </w:tc>
        <w:tc>
          <w:tcPr>
            <w:tcW w:type="dxa" w:w="1332"/>
          </w:tcPr>
          <w:p>
            <w:pPr>
              <w:pStyle w:val="Compact"/>
              <w:spacing w:line="240" w:lineRule="auto" w:before="20" w:after="20"/>
              <w:ind w:firstLine="0"/>
              <w:jc w:val="right"/>
            </w:pPr>
            <w:r>
              <w:rPr>
                <w:rFonts w:ascii="Times New Roman" w:hAnsi="Times New Roman"/>
                <w:sz w:val="16"/>
              </w:rPr>
              <w:t xml:space="preserve">7,80</w:t>
            </w:r>
          </w:p>
        </w:tc>
        <w:tc>
          <w:tcPr>
            <w:tcW w:type="dxa" w:w="824"/>
          </w:tcPr>
          <w:p>
            <w:pPr>
              <w:pStyle w:val="Compact"/>
              <w:spacing w:line="240" w:lineRule="auto" w:before="20" w:after="20"/>
              <w:ind w:firstLine="0"/>
              <w:jc w:val="right"/>
            </w:pPr>
            <w:r>
              <w:rPr>
                <w:rFonts w:ascii="Times New Roman" w:hAnsi="Times New Roman"/>
                <w:sz w:val="16"/>
              </w:rPr>
              <w:t xml:space="preserve">0,52</w:t>
            </w:r>
          </w:p>
        </w:tc>
        <w:tc>
          <w:tcPr>
            <w:tcW w:type="dxa" w:w="1459"/>
          </w:tcPr>
          <w:p>
            <w:pPr>
              <w:pStyle w:val="Compact"/>
              <w:spacing w:line="240" w:lineRule="auto" w:before="20" w:after="20"/>
              <w:ind w:firstLine="0"/>
              <w:jc w:val="right"/>
            </w:pPr>
            <w:r>
              <w:rPr>
                <w:rFonts w:ascii="Times New Roman" w:hAnsi="Times New Roman"/>
                <w:sz w:val="16"/>
              </w:rPr>
              <w:t xml:space="preserve">23,62</w:t>
            </w:r>
          </w:p>
        </w:tc>
        <w:tc>
          <w:tcPr>
            <w:tcW w:type="dxa" w:w="1015"/>
          </w:tcPr>
          <w:p>
            <w:pPr>
              <w:pStyle w:val="Compact"/>
              <w:spacing w:line="240" w:lineRule="auto" w:before="20" w:after="20"/>
              <w:ind w:firstLine="0"/>
              <w:jc w:val="right"/>
            </w:pPr>
            <w:r>
              <w:rPr>
                <w:rFonts w:ascii="Times New Roman" w:hAnsi="Times New Roman"/>
                <w:sz w:val="16"/>
              </w:rPr>
              <w:t xml:space="preserve">1,743</w:t>
            </w:r>
          </w:p>
        </w:tc>
        <w:tc>
          <w:tcPr>
            <w:tcW w:type="dxa" w:w="1459"/>
          </w:tcPr>
          <w:p>
            <w:pPr>
              <w:pStyle w:val="Compact"/>
              <w:spacing w:line="240" w:lineRule="auto" w:before="20" w:after="20"/>
              <w:ind w:firstLine="0"/>
              <w:jc w:val="right"/>
            </w:pPr>
            <w:r>
              <w:rPr>
                <w:rFonts w:ascii="Times New Roman" w:hAnsi="Times New Roman"/>
                <w:sz w:val="16"/>
              </w:rPr>
              <w:t>41,13</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2020</w:t>
            </w:r>
          </w:p>
        </w:tc>
        <w:tc>
          <w:tcPr>
            <w:tcW w:type="dxa" w:w="1078"/>
          </w:tcPr>
          <w:p>
            <w:pPr>
              <w:pStyle w:val="Compact"/>
              <w:spacing w:line="240" w:lineRule="auto" w:before="20" w:after="20"/>
              <w:ind w:firstLine="0"/>
              <w:jc w:val="right"/>
            </w:pPr>
            <w:r>
              <w:rPr>
                <w:rFonts w:ascii="Times New Roman" w:hAnsi="Times New Roman"/>
                <w:sz w:val="16"/>
              </w:rPr>
              <w:t xml:space="preserve">31,14</w:t>
            </w:r>
          </w:p>
        </w:tc>
        <w:tc>
          <w:tcPr>
            <w:tcW w:type="dxa" w:w="1205"/>
          </w:tcPr>
          <w:p>
            <w:pPr>
              <w:pStyle w:val="Compact"/>
              <w:spacing w:line="240" w:lineRule="auto" w:before="20" w:after="20"/>
              <w:ind w:firstLine="0"/>
              <w:jc w:val="right"/>
            </w:pPr>
            <w:r>
              <w:rPr>
                <w:rFonts w:ascii="Times New Roman" w:hAnsi="Times New Roman"/>
                <w:sz w:val="16"/>
              </w:rPr>
              <w:t xml:space="preserve">0,25</w:t>
            </w:r>
          </w:p>
        </w:tc>
        <w:tc>
          <w:tcPr>
            <w:tcW w:type="dxa" w:w="1332"/>
          </w:tcPr>
          <w:p>
            <w:pPr>
              <w:pStyle w:val="Compact"/>
              <w:spacing w:line="240" w:lineRule="auto" w:before="20" w:after="20"/>
              <w:ind w:firstLine="0"/>
              <w:jc w:val="right"/>
            </w:pPr>
            <w:r>
              <w:rPr>
                <w:rFonts w:ascii="Times New Roman" w:hAnsi="Times New Roman"/>
                <w:sz w:val="16"/>
              </w:rPr>
              <w:t xml:space="preserve">7,71</w:t>
            </w:r>
          </w:p>
        </w:tc>
        <w:tc>
          <w:tcPr>
            <w:tcW w:type="dxa" w:w="824"/>
          </w:tcPr>
          <w:p>
            <w:pPr>
              <w:pStyle w:val="Compact"/>
              <w:spacing w:line="240" w:lineRule="auto" w:before="20" w:after="20"/>
              <w:ind w:firstLine="0"/>
              <w:jc w:val="right"/>
            </w:pPr>
            <w:r>
              <w:rPr>
                <w:rFonts w:ascii="Times New Roman" w:hAnsi="Times New Roman"/>
                <w:sz w:val="16"/>
              </w:rPr>
              <w:t xml:space="preserve">0,50</w:t>
            </w:r>
          </w:p>
        </w:tc>
        <w:tc>
          <w:tcPr>
            <w:tcW w:type="dxa" w:w="1459"/>
          </w:tcPr>
          <w:p>
            <w:pPr>
              <w:pStyle w:val="Compact"/>
              <w:spacing w:line="240" w:lineRule="auto" w:before="20" w:after="20"/>
              <w:ind w:firstLine="0"/>
              <w:jc w:val="right"/>
            </w:pPr>
            <w:r>
              <w:rPr>
                <w:rFonts w:ascii="Times New Roman" w:hAnsi="Times New Roman"/>
                <w:sz w:val="16"/>
              </w:rPr>
              <w:t xml:space="preserve">23,68</w:t>
            </w:r>
          </w:p>
        </w:tc>
        <w:tc>
          <w:tcPr>
            <w:tcW w:type="dxa" w:w="1015"/>
          </w:tcPr>
          <w:p>
            <w:pPr>
              <w:pStyle w:val="Compact"/>
              <w:spacing w:line="240" w:lineRule="auto" w:before="20" w:after="20"/>
              <w:ind w:firstLine="0"/>
              <w:jc w:val="right"/>
            </w:pPr>
            <w:r>
              <w:rPr>
                <w:rFonts w:ascii="Times New Roman" w:hAnsi="Times New Roman"/>
                <w:sz w:val="16"/>
              </w:rPr>
              <w:t xml:space="preserve">1,706</w:t>
            </w:r>
          </w:p>
        </w:tc>
        <w:tc>
          <w:tcPr>
            <w:tcW w:type="dxa" w:w="1459"/>
          </w:tcPr>
          <w:p>
            <w:pPr>
              <w:pStyle w:val="Compact"/>
              <w:spacing w:line="240" w:lineRule="auto" w:before="20" w:after="20"/>
              <w:ind w:firstLine="0"/>
              <w:jc w:val="right"/>
            </w:pPr>
            <w:r>
              <w:rPr>
                <w:rFonts w:ascii="Times New Roman" w:hAnsi="Times New Roman"/>
                <w:sz w:val="16"/>
              </w:rPr>
              <w:t>40,38</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2021</w:t>
            </w:r>
          </w:p>
        </w:tc>
        <w:tc>
          <w:tcPr>
            <w:tcW w:type="dxa" w:w="1078"/>
          </w:tcPr>
          <w:p>
            <w:pPr>
              <w:pStyle w:val="Compact"/>
              <w:spacing w:line="240" w:lineRule="auto" w:before="20" w:after="20"/>
              <w:ind w:firstLine="0"/>
              <w:jc w:val="right"/>
            </w:pPr>
            <w:r>
              <w:rPr>
                <w:rFonts w:ascii="Times New Roman" w:hAnsi="Times New Roman"/>
                <w:sz w:val="16"/>
              </w:rPr>
              <w:t xml:space="preserve">38,48</w:t>
            </w:r>
          </w:p>
        </w:tc>
        <w:tc>
          <w:tcPr>
            <w:tcW w:type="dxa" w:w="1205"/>
          </w:tcPr>
          <w:p>
            <w:pPr>
              <w:pStyle w:val="Compact"/>
              <w:spacing w:line="240" w:lineRule="auto" w:before="20" w:after="20"/>
              <w:ind w:firstLine="0"/>
              <w:jc w:val="right"/>
            </w:pPr>
            <w:r>
              <w:rPr>
                <w:rFonts w:ascii="Times New Roman" w:hAnsi="Times New Roman"/>
                <w:sz w:val="16"/>
              </w:rPr>
              <w:t xml:space="preserve">0,22</w:t>
            </w:r>
          </w:p>
        </w:tc>
        <w:tc>
          <w:tcPr>
            <w:tcW w:type="dxa" w:w="1332"/>
          </w:tcPr>
          <w:p>
            <w:pPr>
              <w:pStyle w:val="Compact"/>
              <w:spacing w:line="240" w:lineRule="auto" w:before="20" w:after="20"/>
              <w:ind w:firstLine="0"/>
              <w:jc w:val="right"/>
            </w:pPr>
            <w:r>
              <w:rPr>
                <w:rFonts w:ascii="Times New Roman" w:hAnsi="Times New Roman"/>
                <w:sz w:val="16"/>
              </w:rPr>
              <w:t xml:space="preserve">9,56</w:t>
            </w:r>
          </w:p>
        </w:tc>
        <w:tc>
          <w:tcPr>
            <w:tcW w:type="dxa" w:w="824"/>
          </w:tcPr>
          <w:p>
            <w:pPr>
              <w:pStyle w:val="Compact"/>
              <w:spacing w:line="240" w:lineRule="auto" w:before="20" w:after="20"/>
              <w:ind w:firstLine="0"/>
              <w:jc w:val="right"/>
            </w:pPr>
            <w:r>
              <w:rPr>
                <w:rFonts w:ascii="Times New Roman" w:hAnsi="Times New Roman"/>
                <w:sz w:val="16"/>
              </w:rPr>
              <w:t xml:space="preserve">0,82</w:t>
            </w:r>
          </w:p>
        </w:tc>
        <w:tc>
          <w:tcPr>
            <w:tcW w:type="dxa" w:w="1459"/>
          </w:tcPr>
          <w:p>
            <w:pPr>
              <w:pStyle w:val="Compact"/>
              <w:spacing w:line="240" w:lineRule="auto" w:before="20" w:after="20"/>
              <w:ind w:firstLine="0"/>
              <w:jc w:val="right"/>
            </w:pPr>
            <w:r>
              <w:rPr>
                <w:rFonts w:ascii="Times New Roman" w:hAnsi="Times New Roman"/>
                <w:sz w:val="16"/>
              </w:rPr>
              <w:t xml:space="preserve">29,51</w:t>
            </w:r>
          </w:p>
        </w:tc>
        <w:tc>
          <w:tcPr>
            <w:tcW w:type="dxa" w:w="1015"/>
          </w:tcPr>
          <w:p>
            <w:pPr>
              <w:pStyle w:val="Compact"/>
              <w:spacing w:line="240" w:lineRule="auto" w:before="20" w:after="20"/>
              <w:ind w:firstLine="0"/>
              <w:jc w:val="right"/>
            </w:pPr>
            <w:r>
              <w:rPr>
                <w:rFonts w:ascii="Times New Roman" w:hAnsi="Times New Roman"/>
                <w:sz w:val="16"/>
              </w:rPr>
              <w:t xml:space="preserve">1,359</w:t>
            </w:r>
          </w:p>
        </w:tc>
        <w:tc>
          <w:tcPr>
            <w:tcW w:type="dxa" w:w="1459"/>
          </w:tcPr>
          <w:p>
            <w:pPr>
              <w:pStyle w:val="Compact"/>
              <w:spacing w:line="240" w:lineRule="auto" w:before="20" w:after="20"/>
              <w:ind w:firstLine="0"/>
              <w:jc w:val="right"/>
            </w:pPr>
            <w:r>
              <w:rPr>
                <w:rFonts w:ascii="Times New Roman" w:hAnsi="Times New Roman"/>
                <w:sz w:val="16"/>
              </w:rPr>
              <w:t>40,06</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2022</w:t>
            </w:r>
          </w:p>
        </w:tc>
        <w:tc>
          <w:tcPr>
            <w:tcW w:type="dxa" w:w="1078"/>
          </w:tcPr>
          <w:p>
            <w:pPr>
              <w:pStyle w:val="Compact"/>
              <w:spacing w:line="240" w:lineRule="auto" w:before="20" w:after="20"/>
              <w:ind w:firstLine="0"/>
              <w:jc w:val="right"/>
            </w:pPr>
            <w:r>
              <w:rPr>
                <w:rFonts w:ascii="Times New Roman" w:hAnsi="Times New Roman"/>
                <w:sz w:val="16"/>
              </w:rPr>
              <w:t xml:space="preserve">41,28</w:t>
            </w:r>
          </w:p>
        </w:tc>
        <w:tc>
          <w:tcPr>
            <w:tcW w:type="dxa" w:w="1205"/>
          </w:tcPr>
          <w:p>
            <w:pPr>
              <w:pStyle w:val="Compact"/>
              <w:spacing w:line="240" w:lineRule="auto" w:before="20" w:after="20"/>
              <w:ind w:firstLine="0"/>
              <w:jc w:val="right"/>
            </w:pPr>
            <w:r>
              <w:rPr>
                <w:rFonts w:ascii="Times New Roman" w:hAnsi="Times New Roman"/>
                <w:sz w:val="16"/>
              </w:rPr>
              <w:t xml:space="preserve">0,25</w:t>
            </w:r>
          </w:p>
        </w:tc>
        <w:tc>
          <w:tcPr>
            <w:tcW w:type="dxa" w:w="1332"/>
          </w:tcPr>
          <w:p>
            <w:pPr>
              <w:pStyle w:val="Compact"/>
              <w:spacing w:line="240" w:lineRule="auto" w:before="20" w:after="20"/>
              <w:ind w:firstLine="0"/>
              <w:jc w:val="right"/>
            </w:pPr>
            <w:r>
              <w:rPr>
                <w:rFonts w:ascii="Times New Roman" w:hAnsi="Times New Roman"/>
                <w:sz w:val="16"/>
              </w:rPr>
              <w:t xml:space="preserve">10,22</w:t>
            </w:r>
          </w:p>
        </w:tc>
        <w:tc>
          <w:tcPr>
            <w:tcW w:type="dxa" w:w="824"/>
          </w:tcPr>
          <w:p>
            <w:pPr>
              <w:pStyle w:val="Compact"/>
              <w:spacing w:line="240" w:lineRule="auto" w:before="20" w:after="20"/>
              <w:ind w:firstLine="0"/>
              <w:jc w:val="right"/>
            </w:pPr>
            <w:r>
              <w:rPr>
                <w:rFonts w:ascii="Times New Roman" w:hAnsi="Times New Roman"/>
                <w:sz w:val="16"/>
              </w:rPr>
              <w:t xml:space="preserve">1,21</w:t>
            </w:r>
          </w:p>
        </w:tc>
        <w:tc>
          <w:tcPr>
            <w:tcW w:type="dxa" w:w="1459"/>
          </w:tcPr>
          <w:p>
            <w:pPr>
              <w:pStyle w:val="Compact"/>
              <w:spacing w:line="240" w:lineRule="auto" w:before="20" w:after="20"/>
              <w:ind w:firstLine="0"/>
              <w:jc w:val="right"/>
            </w:pPr>
            <w:r>
              <w:rPr>
                <w:rFonts w:ascii="Times New Roman" w:hAnsi="Times New Roman"/>
                <w:sz w:val="16"/>
              </w:rPr>
              <w:t xml:space="preserve">32,02</w:t>
            </w:r>
          </w:p>
        </w:tc>
        <w:tc>
          <w:tcPr>
            <w:tcW w:type="dxa" w:w="1015"/>
          </w:tcPr>
          <w:p>
            <w:pPr>
              <w:pStyle w:val="Compact"/>
              <w:spacing w:line="240" w:lineRule="auto" w:before="20" w:after="20"/>
              <w:ind w:firstLine="0"/>
              <w:jc w:val="right"/>
            </w:pPr>
            <w:r>
              <w:rPr>
                <w:rFonts w:ascii="Times New Roman" w:hAnsi="Times New Roman"/>
                <w:sz w:val="16"/>
              </w:rPr>
              <w:t xml:space="preserve">1,271</w:t>
            </w:r>
          </w:p>
        </w:tc>
        <w:tc>
          <w:tcPr>
            <w:tcW w:type="dxa" w:w="1459"/>
          </w:tcPr>
          <w:p>
            <w:pPr>
              <w:pStyle w:val="Compact"/>
              <w:spacing w:line="240" w:lineRule="auto" w:before="20" w:after="20"/>
              <w:ind w:firstLine="0"/>
              <w:jc w:val="right"/>
            </w:pPr>
            <w:r>
              <w:rPr>
                <w:rFonts w:ascii="Times New Roman" w:hAnsi="Times New Roman"/>
                <w:sz w:val="16"/>
              </w:rPr>
              <w:t>40,69</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2023</w:t>
            </w:r>
          </w:p>
        </w:tc>
        <w:tc>
          <w:tcPr>
            <w:tcW w:type="dxa" w:w="1078"/>
          </w:tcPr>
          <w:p>
            <w:pPr>
              <w:pStyle w:val="Compact"/>
              <w:spacing w:line="240" w:lineRule="auto" w:before="20" w:after="20"/>
              <w:ind w:firstLine="0"/>
              <w:jc w:val="right"/>
            </w:pPr>
            <w:r>
              <w:rPr>
                <w:rFonts w:ascii="Times New Roman" w:hAnsi="Times New Roman"/>
                <w:sz w:val="16"/>
              </w:rPr>
              <w:t xml:space="preserve">44,08</w:t>
            </w:r>
          </w:p>
        </w:tc>
        <w:tc>
          <w:tcPr>
            <w:tcW w:type="dxa" w:w="1205"/>
          </w:tcPr>
          <w:p>
            <w:pPr>
              <w:pStyle w:val="Compact"/>
              <w:spacing w:line="240" w:lineRule="auto" w:before="20" w:after="20"/>
              <w:ind w:firstLine="0"/>
              <w:jc w:val="right"/>
            </w:pPr>
            <w:r>
              <w:rPr>
                <w:rFonts w:ascii="Times New Roman" w:hAnsi="Times New Roman"/>
                <w:sz w:val="16"/>
              </w:rPr>
              <w:t xml:space="preserve">0,26</w:t>
            </w:r>
          </w:p>
        </w:tc>
        <w:tc>
          <w:tcPr>
            <w:tcW w:type="dxa" w:w="1332"/>
          </w:tcPr>
          <w:p>
            <w:pPr>
              <w:pStyle w:val="Compact"/>
              <w:spacing w:line="240" w:lineRule="auto" w:before="20" w:after="20"/>
              <w:ind w:firstLine="0"/>
              <w:jc w:val="right"/>
            </w:pPr>
            <w:r>
              <w:rPr>
                <w:rFonts w:ascii="Times New Roman" w:hAnsi="Times New Roman"/>
                <w:sz w:val="16"/>
              </w:rPr>
              <w:t xml:space="preserve">11,34</w:t>
            </w:r>
          </w:p>
        </w:tc>
        <w:tc>
          <w:tcPr>
            <w:tcW w:type="dxa" w:w="824"/>
          </w:tcPr>
          <w:p>
            <w:pPr>
              <w:pStyle w:val="Compact"/>
              <w:spacing w:line="240" w:lineRule="auto" w:before="20" w:after="20"/>
              <w:ind w:firstLine="0"/>
              <w:jc w:val="right"/>
            </w:pPr>
            <w:r>
              <w:rPr>
                <w:rFonts w:ascii="Times New Roman" w:hAnsi="Times New Roman"/>
                <w:sz w:val="16"/>
              </w:rPr>
              <w:t xml:space="preserve">0,82</w:t>
            </w:r>
          </w:p>
        </w:tc>
        <w:tc>
          <w:tcPr>
            <w:tcW w:type="dxa" w:w="1459"/>
          </w:tcPr>
          <w:p>
            <w:pPr>
              <w:pStyle w:val="Compact"/>
              <w:spacing w:line="240" w:lineRule="auto" w:before="20" w:after="20"/>
              <w:ind w:firstLine="0"/>
              <w:jc w:val="right"/>
            </w:pPr>
            <w:r>
              <w:rPr>
                <w:rFonts w:ascii="Times New Roman" w:hAnsi="Times New Roman"/>
                <w:sz w:val="16"/>
              </w:rPr>
              <w:t xml:space="preserve">33,30</w:t>
            </w:r>
          </w:p>
        </w:tc>
        <w:tc>
          <w:tcPr>
            <w:tcW w:type="dxa" w:w="1015"/>
          </w:tcPr>
          <w:p>
            <w:pPr>
              <w:pStyle w:val="Compact"/>
              <w:spacing w:line="240" w:lineRule="auto" w:before="20" w:after="20"/>
              <w:ind w:firstLine="0"/>
              <w:jc w:val="right"/>
            </w:pPr>
            <w:r>
              <w:rPr>
                <w:rFonts w:ascii="Times New Roman" w:hAnsi="Times New Roman"/>
                <w:sz w:val="16"/>
              </w:rPr>
              <w:t xml:space="preserve">1,234</w:t>
            </w:r>
          </w:p>
        </w:tc>
        <w:tc>
          <w:tcPr>
            <w:tcW w:type="dxa" w:w="1459"/>
          </w:tcPr>
          <w:p>
            <w:pPr>
              <w:pStyle w:val="Compact"/>
              <w:spacing w:line="240" w:lineRule="auto" w:before="20" w:after="20"/>
              <w:ind w:firstLine="0"/>
              <w:jc w:val="right"/>
            </w:pPr>
            <w:r>
              <w:rPr>
                <w:rFonts w:ascii="Times New Roman" w:hAnsi="Times New Roman"/>
                <w:sz w:val="16"/>
              </w:rPr>
              <w:t xml:space="preserve">41,10</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2024</w:t>
            </w:r>
          </w:p>
        </w:tc>
        <w:tc>
          <w:tcPr>
            <w:tcW w:type="dxa" w:w="1078"/>
          </w:tcPr>
          <w:p>
            <w:pPr>
              <w:pStyle w:val="Compact"/>
              <w:spacing w:line="240" w:lineRule="auto" w:before="20" w:after="20"/>
              <w:ind w:firstLine="0"/>
              <w:jc w:val="right"/>
            </w:pPr>
            <w:r>
              <w:rPr>
                <w:rFonts w:ascii="Times New Roman" w:hAnsi="Times New Roman"/>
                <w:sz w:val="16"/>
              </w:rPr>
              <w:t xml:space="preserve">51,05</w:t>
            </w:r>
          </w:p>
        </w:tc>
        <w:tc>
          <w:tcPr>
            <w:tcW w:type="dxa" w:w="1205"/>
          </w:tcPr>
          <w:p>
            <w:pPr>
              <w:pStyle w:val="Compact"/>
              <w:spacing w:line="240" w:lineRule="auto" w:before="20" w:after="20"/>
              <w:ind w:firstLine="0"/>
              <w:jc w:val="right"/>
            </w:pPr>
            <w:r>
              <w:rPr>
                <w:rFonts w:ascii="Times New Roman" w:hAnsi="Times New Roman"/>
                <w:sz w:val="16"/>
              </w:rPr>
              <w:t xml:space="preserve">0,27</w:t>
            </w:r>
          </w:p>
        </w:tc>
        <w:tc>
          <w:tcPr>
            <w:tcW w:type="dxa" w:w="1332"/>
          </w:tcPr>
          <w:p>
            <w:pPr>
              <w:pStyle w:val="Compact"/>
              <w:spacing w:line="240" w:lineRule="auto" w:before="20" w:after="20"/>
              <w:ind w:firstLine="0"/>
              <w:jc w:val="right"/>
            </w:pPr>
            <w:r>
              <w:rPr>
                <w:rFonts w:ascii="Times New Roman" w:hAnsi="Times New Roman"/>
                <w:sz w:val="16"/>
              </w:rPr>
              <w:t xml:space="preserve">12,69</w:t>
            </w:r>
          </w:p>
        </w:tc>
        <w:tc>
          <w:tcPr>
            <w:tcW w:type="dxa" w:w="824"/>
          </w:tcPr>
          <w:p>
            <w:pPr>
              <w:pStyle w:val="Compact"/>
              <w:spacing w:line="240" w:lineRule="auto" w:before="20" w:after="20"/>
              <w:ind w:firstLine="0"/>
              <w:jc w:val="right"/>
            </w:pPr>
            <w:r>
              <w:rPr>
                <w:rFonts w:ascii="Times New Roman" w:hAnsi="Times New Roman"/>
                <w:sz w:val="16"/>
              </w:rPr>
              <w:t xml:space="preserve">0,91</w:t>
            </w:r>
          </w:p>
        </w:tc>
        <w:tc>
          <w:tcPr>
            <w:tcW w:type="dxa" w:w="1459"/>
          </w:tcPr>
          <w:p>
            <w:pPr>
              <w:pStyle w:val="Compact"/>
              <w:spacing w:line="240" w:lineRule="auto" w:before="20" w:after="20"/>
              <w:ind w:firstLine="0"/>
              <w:jc w:val="right"/>
            </w:pPr>
            <w:r>
              <w:rPr>
                <w:rFonts w:ascii="Times New Roman" w:hAnsi="Times New Roman"/>
                <w:sz w:val="16"/>
              </w:rPr>
              <w:t xml:space="preserve">38,99</w:t>
            </w:r>
          </w:p>
        </w:tc>
        <w:tc>
          <w:tcPr>
            <w:tcW w:type="dxa" w:w="1015"/>
          </w:tcPr>
          <w:p>
            <w:pPr>
              <w:pStyle w:val="Compact"/>
              <w:spacing w:line="240" w:lineRule="auto" w:before="20" w:after="20"/>
              <w:ind w:firstLine="0"/>
              <w:jc w:val="right"/>
            </w:pPr>
            <w:r>
              <w:rPr>
                <w:rFonts w:ascii="Times New Roman" w:hAnsi="Times New Roman"/>
                <w:sz w:val="16"/>
              </w:rPr>
              <w:t xml:space="preserve">1,073</w:t>
            </w:r>
          </w:p>
        </w:tc>
        <w:tc>
          <w:tcPr>
            <w:tcW w:type="dxa" w:w="1459"/>
          </w:tcPr>
          <w:p>
            <w:pPr>
              <w:pStyle w:val="Compact"/>
              <w:spacing w:line="240" w:lineRule="auto" w:before="20" w:after="20"/>
              <w:ind w:firstLine="0"/>
              <w:jc w:val="right"/>
            </w:pPr>
            <w:r>
              <w:rPr>
                <w:rFonts w:ascii="Times New Roman" w:hAnsi="Times New Roman"/>
                <w:sz w:val="16"/>
              </w:rPr>
              <w:t>41,81</w:t>
            </w:r>
          </w:p>
        </w:tc>
      </w:tr>
      <w:tr>
        <w:trPr>
          <w:cantSplit/>
        </w:trPr>
        <w:tc>
          <w:tcPr>
            <w:tcW w:type="dxa" w:w="697"/>
          </w:tcPr>
          <w:p>
            <w:pPr>
              <w:pStyle w:val="Compact"/>
              <w:spacing w:line="240" w:lineRule="auto" w:before="20" w:after="20"/>
              <w:ind w:firstLine="0"/>
              <w:jc w:val="left"/>
            </w:pPr>
            <w:r>
              <w:rPr>
                <w:rFonts w:ascii="Times New Roman" w:hAnsi="Times New Roman"/>
                <w:sz w:val="16"/>
              </w:rPr>
              <w:t xml:space="preserve">2025</w:t>
            </w:r>
          </w:p>
        </w:tc>
        <w:tc>
          <w:tcPr>
            <w:tcW w:type="dxa" w:w="1078"/>
          </w:tcPr>
          <w:p>
            <w:pPr>
              <w:pStyle w:val="Compact"/>
              <w:spacing w:line="240" w:lineRule="auto" w:before="20" w:after="20"/>
              <w:ind w:firstLine="0"/>
              <w:jc w:val="right"/>
            </w:pPr>
            <w:r>
              <w:rPr>
                <w:rFonts w:ascii="Times New Roman" w:hAnsi="Times New Roman"/>
                <w:sz w:val="16"/>
              </w:rPr>
              <w:t xml:space="preserve">52,74</w:t>
            </w:r>
          </w:p>
        </w:tc>
        <w:tc>
          <w:tcPr>
            <w:tcW w:type="dxa" w:w="1205"/>
          </w:tcPr>
          <w:p>
            <w:pPr>
              <w:pStyle w:val="Compact"/>
              <w:spacing w:line="240" w:lineRule="auto" w:before="20" w:after="20"/>
              <w:ind w:firstLine="0"/>
              <w:jc w:val="right"/>
            </w:pPr>
            <w:r>
              <w:rPr>
                <w:rFonts w:ascii="Times New Roman" w:hAnsi="Times New Roman"/>
                <w:sz w:val="16"/>
              </w:rPr>
              <w:t xml:space="preserve">0,21</w:t>
            </w:r>
          </w:p>
        </w:tc>
        <w:tc>
          <w:tcPr>
            <w:tcW w:type="dxa" w:w="1332"/>
          </w:tcPr>
          <w:p>
            <w:pPr>
              <w:pStyle w:val="Compact"/>
              <w:spacing w:line="240" w:lineRule="auto" w:before="20" w:after="20"/>
              <w:ind w:firstLine="0"/>
              <w:jc w:val="right"/>
            </w:pPr>
            <w:r>
              <w:rPr>
                <w:rFonts w:ascii="Times New Roman" w:hAnsi="Times New Roman"/>
                <w:sz w:val="16"/>
              </w:rPr>
              <w:t xml:space="preserve">13,25</w:t>
            </w:r>
          </w:p>
        </w:tc>
        <w:tc>
          <w:tcPr>
            <w:tcW w:type="dxa" w:w="824"/>
          </w:tcPr>
          <w:p>
            <w:pPr>
              <w:pStyle w:val="Compact"/>
              <w:spacing w:line="240" w:lineRule="auto" w:before="20" w:after="20"/>
              <w:ind w:firstLine="0"/>
              <w:jc w:val="right"/>
            </w:pPr>
            <w:r>
              <w:rPr>
                <w:rFonts w:ascii="Times New Roman" w:hAnsi="Times New Roman"/>
                <w:sz w:val="16"/>
              </w:rPr>
              <w:t xml:space="preserve">0,86</w:t>
            </w:r>
          </w:p>
        </w:tc>
        <w:tc>
          <w:tcPr>
            <w:tcW w:type="dxa" w:w="1459"/>
          </w:tcPr>
          <w:p>
            <w:pPr>
              <w:pStyle w:val="Compact"/>
              <w:spacing w:line="240" w:lineRule="auto" w:before="20" w:after="20"/>
              <w:ind w:firstLine="0"/>
              <w:jc w:val="right"/>
            </w:pPr>
            <w:r>
              <w:rPr>
                <w:rFonts w:ascii="Times New Roman" w:hAnsi="Times New Roman"/>
                <w:sz w:val="16"/>
              </w:rPr>
              <w:t xml:space="preserve">40,14</w:t>
            </w:r>
          </w:p>
        </w:tc>
        <w:tc>
          <w:tcPr>
            <w:tcW w:type="dxa" w:w="1015"/>
          </w:tcPr>
          <w:p>
            <w:pPr>
              <w:pStyle w:val="Compact"/>
              <w:spacing w:line="240" w:lineRule="auto" w:before="20" w:after="20"/>
              <w:ind w:firstLine="0"/>
              <w:jc w:val="right"/>
            </w:pPr>
            <w:r>
              <w:rPr>
                <w:rFonts w:ascii="Times New Roman" w:hAnsi="Times New Roman"/>
                <w:sz w:val="16"/>
              </w:rPr>
              <w:t xml:space="preserve">1,000</w:t>
            </w:r>
          </w:p>
        </w:tc>
        <w:tc>
          <w:tcPr>
            <w:tcW w:type="dxa" w:w="1459"/>
          </w:tcPr>
          <w:p>
            <w:pPr>
              <w:pStyle w:val="Compact"/>
              <w:spacing w:line="240" w:lineRule="auto" w:before="20" w:after="20"/>
              <w:ind w:firstLine="0"/>
              <w:jc w:val="right"/>
            </w:pPr>
            <w:r>
              <w:rPr>
                <w:rFonts w:ascii="Times New Roman" w:hAnsi="Times New Roman"/>
                <w:sz w:val="16"/>
              </w:rPr>
              <w:t xml:space="preserve">40,14</w:t>
            </w:r>
          </w:p>
        </w:tc>
      </w:tr>
      <w:tr>
        <w:trPr>
          <w:cantSplit/>
        </w:trPr>
        <w:tc>
          <w:tcPr>
            <w:tcW w:type="dxa" w:w="697"/>
          </w:tcPr>
          <w:p>
            <w:pPr>
              <w:pStyle w:val="Compact"/>
              <w:spacing w:line="240" w:lineRule="auto" w:before="20" w:after="20"/>
              <w:ind w:firstLine="0"/>
              <w:jc w:val="left"/>
            </w:pPr>
            <w:r>
              <w:rPr>
                <w:rFonts w:ascii="Times New Roman" w:hAnsi="Times New Roman"/>
                <w:sz w:val="16"/>
              </w:rPr>
              <w:t>2026 (est.)</w:t>
            </w:r>
          </w:p>
        </w:tc>
        <w:tc>
          <w:tcPr>
            <w:tcW w:type="dxa" w:w="1078"/>
          </w:tcPr>
          <w:p>
            <w:pPr>
              <w:pStyle w:val="Compact"/>
              <w:spacing w:line="240" w:lineRule="auto" w:before="20" w:after="20"/>
              <w:ind w:firstLine="0"/>
              <w:jc w:val="right"/>
            </w:pPr>
            <w:r>
              <w:rPr>
                <w:rFonts w:ascii="Times New Roman" w:hAnsi="Times New Roman"/>
                <w:sz w:val="16"/>
              </w:rPr>
              <w:t>51,78</w:t>
            </w:r>
          </w:p>
        </w:tc>
        <w:tc>
          <w:tcPr>
            <w:tcW w:type="dxa" w:w="1205"/>
          </w:tcPr>
          <w:p>
            <w:pPr>
              <w:pStyle w:val="Compact"/>
              <w:spacing w:line="240" w:lineRule="auto" w:before="20" w:after="20"/>
              <w:ind w:firstLine="0"/>
              <w:jc w:val="right"/>
            </w:pPr>
            <w:r>
              <w:rPr>
                <w:rFonts w:ascii="Times New Roman" w:hAnsi="Times New Roman"/>
                <w:sz w:val="16"/>
              </w:rPr>
              <w:t xml:space="preserve">0,21</w:t>
            </w:r>
          </w:p>
        </w:tc>
        <w:tc>
          <w:tcPr>
            <w:tcW w:type="dxa" w:w="1332"/>
          </w:tcPr>
          <w:p>
            <w:pPr>
              <w:pStyle w:val="Compact"/>
              <w:spacing w:line="240" w:lineRule="auto" w:before="20" w:after="20"/>
              <w:ind w:firstLine="0"/>
              <w:jc w:val="right"/>
            </w:pPr>
            <w:r>
              <w:rPr>
                <w:rFonts w:ascii="Times New Roman" w:hAnsi="Times New Roman"/>
                <w:sz w:val="16"/>
              </w:rPr>
              <w:t>13,01</w:t>
            </w:r>
          </w:p>
        </w:tc>
        <w:tc>
          <w:tcPr>
            <w:tcW w:type="dxa" w:w="824"/>
          </w:tcPr>
          <w:p>
            <w:pPr>
              <w:pStyle w:val="Compact"/>
              <w:spacing w:line="240" w:lineRule="auto" w:before="20" w:after="20"/>
              <w:ind w:firstLine="0"/>
              <w:jc w:val="right"/>
            </w:pPr>
            <w:r>
              <w:rPr>
                <w:rFonts w:ascii="Times New Roman" w:hAnsi="Times New Roman"/>
                <w:sz w:val="16"/>
              </w:rPr>
              <w:t>0,85</w:t>
            </w:r>
          </w:p>
        </w:tc>
        <w:tc>
          <w:tcPr>
            <w:tcW w:type="dxa" w:w="1459"/>
          </w:tcPr>
          <w:p>
            <w:pPr>
              <w:pStyle w:val="Compact"/>
              <w:spacing w:line="240" w:lineRule="auto" w:before="20" w:after="20"/>
              <w:ind w:firstLine="0"/>
              <w:jc w:val="right"/>
            </w:pPr>
            <w:r>
              <w:rPr>
                <w:rFonts w:ascii="Times New Roman" w:hAnsi="Times New Roman"/>
                <w:sz w:val="16"/>
              </w:rPr>
              <w:t>39,41</w:t>
            </w:r>
          </w:p>
        </w:tc>
        <w:tc>
          <w:tcPr>
            <w:tcW w:type="dxa" w:w="1015"/>
          </w:tcPr>
          <w:p>
            <w:pPr>
              <w:pStyle w:val="Compact"/>
              <w:spacing w:line="240" w:lineRule="auto" w:before="20" w:after="20"/>
              <w:ind w:firstLine="0"/>
              <w:jc w:val="right"/>
            </w:pPr>
            <w:r>
              <w:rPr>
                <w:rFonts w:ascii="Times New Roman" w:hAnsi="Times New Roman"/>
                <w:sz w:val="16"/>
              </w:rPr>
              <w:t>—</w:t>
            </w:r>
          </w:p>
        </w:tc>
        <w:tc>
          <w:tcPr>
            <w:tcW w:type="dxa" w:w="1459"/>
          </w:tcPr>
          <w:p>
            <w:pPr>
              <w:pStyle w:val="Compact"/>
              <w:spacing w:line="240" w:lineRule="auto" w:before="20" w:after="20"/>
              <w:ind w:firstLine="0"/>
              <w:jc w:val="right"/>
            </w:pPr>
            <w:r>
              <w:rPr>
                <w:rFonts w:ascii="Times New Roman" w:hAnsi="Times New Roman"/>
                <w:sz w:val="16"/>
              </w:rPr>
              <w:t>39,41</w:t>
            </w:r>
          </w:p>
        </w:tc>
      </w:tr>
      <w:tr>
        <w:trPr>
          <w:cantSplit/>
        </w:trPr>
        <w:tc>
          <w:tcPr>
            <w:tcW w:type="dxa" w:w="6597"/>
            <w:gridSpan w:val="6"/>
          </w:tcPr>
          <w:p>
            <w:pPr>
              <w:pStyle w:val="Compact"/>
              <w:spacing w:line="240" w:lineRule="auto" w:before="20" w:after="20"/>
              <w:ind w:firstLine="0"/>
              <w:jc w:val="right"/>
            </w:pPr>
            <w:r>
              <w:rPr>
                <w:rFonts w:ascii="Times New Roman" w:hAnsi="Times New Roman"/>
                <w:b/>
                <w:bCs/>
                <w:sz w:val="16"/>
              </w:rPr>
              <w:t xml:space="preserve">Média da receita de referência ajustada</w:t>
            </w:r>
          </w:p>
        </w:tc>
        <w:tc>
          <w:tcPr>
            <w:tcW w:type="dxa" w:w="1015"/>
          </w:tcPr>
          <w:p>
            <w:pPr>
              <w:pStyle w:val="Compact"/>
              <w:spacing w:line="240" w:lineRule="auto" w:before="20" w:after="20"/>
              <w:ind w:firstLine="0"/>
            </w:pPr>
          </w:p>
        </w:tc>
        <w:tc>
          <w:tcPr>
            <w:tcW w:type="dxa" w:w="1459"/>
          </w:tcPr>
          <w:p>
            <w:pPr>
              <w:pStyle w:val="Compact"/>
              <w:spacing w:line="240" w:lineRule="auto" w:before="20" w:after="20"/>
              <w:ind w:firstLine="0"/>
              <w:jc w:val="right"/>
            </w:pPr>
            <w:r>
              <w:rPr>
                <w:rFonts w:ascii="Times New Roman" w:hAnsi="Times New Roman"/>
                <w:b/>
                <w:bCs/>
                <w:sz w:val="16"/>
              </w:rPr>
              <w:t>40,59</w:t>
            </w:r>
          </w:p>
        </w:tc>
      </w:tr>
      <w:tr>
        <w:trPr>
          <w:cantSplit/>
        </w:trPr>
        <w:tc>
          <w:tcPr>
            <w:tcW w:type="dxa" w:w="6597"/>
            <w:gridSpan w:val="6"/>
          </w:tcPr>
          <w:p>
            <w:pPr>
              <w:pStyle w:val="Compact"/>
              <w:spacing w:line="240" w:lineRule="auto" w:before="20" w:after="20"/>
              <w:ind w:firstLine="0"/>
              <w:jc w:val="right"/>
            </w:pPr>
            <w:r>
              <w:rPr>
                <w:rFonts w:ascii="Times New Roman" w:hAnsi="Times New Roman"/>
                <w:b/>
                <w:bCs/>
                <w:sz w:val="16"/>
              </w:rPr>
              <w:t xml:space="preserve">Arrecadação nacional de referência em 2025</w:t>
            </w:r>
          </w:p>
        </w:tc>
        <w:tc>
          <w:tcPr>
            <w:tcW w:type="dxa" w:w="1015"/>
          </w:tcPr>
          <w:p>
            <w:pPr>
              <w:pStyle w:val="Compact"/>
              <w:spacing w:line="240" w:lineRule="auto" w:before="20" w:after="20"/>
              <w:ind w:firstLine="0"/>
            </w:pPr>
          </w:p>
        </w:tc>
        <w:tc>
          <w:tcPr>
            <w:tcW w:type="dxa" w:w="1459"/>
          </w:tcPr>
          <w:p>
            <w:pPr>
              <w:pStyle w:val="Compact"/>
              <w:spacing w:line="240" w:lineRule="auto" w:before="20" w:after="20"/>
              <w:ind w:firstLine="0"/>
              <w:jc w:val="right"/>
            </w:pPr>
            <w:r>
              <w:rPr>
                <w:rFonts w:ascii="Times New Roman" w:hAnsi="Times New Roman"/>
                <w:b/>
                <w:bCs/>
                <w:sz w:val="16"/>
              </w:rPr>
              <w:t>1.019,92</w:t>
            </w:r>
          </w:p>
        </w:tc>
      </w:tr>
      <w:tr>
        <w:trPr>
          <w:cantSplit/>
        </w:trPr>
        <w:tc>
          <w:tcPr>
            <w:tcW w:type="dxa" w:w="6597"/>
            <w:gridSpan w:val="6"/>
          </w:tcPr>
          <w:p>
            <w:pPr>
              <w:pStyle w:val="Compact"/>
              <w:spacing w:line="240" w:lineRule="auto" w:before="20" w:after="20"/>
              <w:ind w:firstLine="0"/>
              <w:jc w:val="right"/>
            </w:pPr>
            <w:r>
              <w:rPr>
                <w:rFonts w:ascii="Times New Roman" w:hAnsi="Times New Roman"/>
                <w:b/>
                <w:bCs/>
                <w:sz w:val="16"/>
              </w:rPr>
              <w:t xml:space="preserve">Coeficiente de participação do Paraná</w:t>
            </w:r>
          </w:p>
        </w:tc>
        <w:tc>
          <w:tcPr>
            <w:tcW w:type="dxa" w:w="1015"/>
          </w:tcPr>
          <w:p>
            <w:pPr>
              <w:pStyle w:val="Compact"/>
              <w:spacing w:line="240" w:lineRule="auto" w:before="20" w:after="20"/>
              <w:ind w:firstLine="0"/>
            </w:pPr>
          </w:p>
        </w:tc>
        <w:tc>
          <w:tcPr>
            <w:tcW w:type="dxa" w:w="1459"/>
          </w:tcPr>
          <w:p>
            <w:pPr>
              <w:pStyle w:val="Compact"/>
              <w:spacing w:line="240" w:lineRule="auto" w:before="20" w:after="20"/>
              <w:ind w:firstLine="0"/>
              <w:jc w:val="right"/>
            </w:pPr>
            <w:r>
              <w:rPr>
                <w:rFonts w:ascii="Times New Roman" w:hAnsi="Times New Roman"/>
                <w:b/>
                <w:bCs/>
                <w:sz w:val="16"/>
              </w:rPr>
              <w:t>3,9798%</w:t>
            </w:r>
          </w:p>
        </w:tc>
      </w:tr>
    </w:tbl>
    <w:bookmarkEnd w:id="60"/>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A receita estadual de referência corresponde ao ICMS bruto, líquido das demais deduções registradas no DCA e da cota-parte municipal, acrescido do Fundo de Combate à Pobreza. Os valores anuais são ajustados para a base de 2025 pela variação da arrecadação nacional de referência. </w:t>
      </w:r>
      <w:r>
        <w:rPr>
          <w:rFonts w:ascii="Times New Roman" w:hAnsi="Times New Roman"/>
          <w:sz w:val="18"/>
        </w:rPr>
        <w:t>O coeficiente é a razão entre a média ajustada do Paraná, R$ 40,59 bilhões, e o agregado nacional de 2025, R$ 1.019,92 bilhões. O cálculo utiliza 2019 a 2026; como o exercício de 2026 ainda não está fechado no DCA, a linha correspondente é estimada com o RREO de janeiro a agosto e já está expressa em R$ de 2025.</w:t>
      </w:r>
      <w:r>
        <w:rPr>
          <w:rFonts w:ascii="Times New Roman" w:hAnsi="Times New Roman"/>
          <w:sz w:val="18"/>
        </w:rPr>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SICONFI/STN, DCA Anexo I-C; base de dados do modelo. Elaboração própria.</w:t>
      </w:r>
    </w:p>
    <w:bookmarkStart w:id="67" w:name="fig:coef"/>
    <w:p>
      <w:pPr>
        <w:pStyle w:val="Compact"/>
        <w:keepNext/>
        <w:jc w:val="center"/>
      </w:pPr>
      <w:r>
        <w:drawing>
          <wp:inline>
            <wp:extent cx="2707200" cy="1812666"/>
            <wp:effectExtent b="0" l="0" r="0" t="0"/>
            <wp:docPr descr="" title="" id="62" name="Picture"/>
            <a:graphic>
              <a:graphicData uri="http://schemas.openxmlformats.org/drawingml/2006/picture">
                <pic:pic>
                  <pic:nvPicPr>
                    <pic:cNvPr descr="/tmp/tmp75432f2y/grafico_coef_historico_pr_2033.png" id="63" name="Picture"/>
                    <pic:cNvPicPr>
                      <a:picLocks noChangeArrowheads="1" noChangeAspect="1"/>
                    </pic:cNvPicPr>
                  </pic:nvPicPr>
                  <pic:blipFill>
                    <a:blip r:embed="rId61"/>
                    <a:stretch>
                      <a:fillRect/>
                    </a:stretch>
                  </pic:blipFill>
                  <pic:spPr bwMode="auto">
                    <a:xfrm>
                      <a:off x="0" y="0"/>
                      <a:ext cx="2707200" cy="1812666"/>
                    </a:xfrm>
                    <a:prstGeom prst="rect">
                      <a:avLst/>
                    </a:prstGeom>
                    <a:noFill/>
                    <a:ln w="9525">
                      <a:noFill/>
                      <a:headEnd/>
                      <a:tailEnd/>
                    </a:ln>
                  </pic:spPr>
                </pic:pic>
              </a:graphicData>
            </a:graphic>
          </wp:inline>
        </w:drawing>
      </w:r>
      <w:r>
        <w:t xml:space="preserve">  </w:t>
      </w:r>
      <w:r>
        <w:drawing>
          <wp:inline>
            <wp:extent cx="2707200" cy="1812666"/>
            <wp:effectExtent b="0" l="0" r="0" t="0"/>
            <wp:docPr descr="" title="" id="65" name="Picture"/>
            <a:graphic>
              <a:graphicData uri="http://schemas.openxmlformats.org/drawingml/2006/picture">
                <pic:pic>
                  <pic:nvPicPr>
                    <pic:cNvPr descr="/tmp/tmp75432f2y/grafico_coef_destino_pr_2033.png" id="66" name="Picture"/>
                    <pic:cNvPicPr>
                      <a:picLocks noChangeArrowheads="1" noChangeAspect="1"/>
                    </pic:cNvPicPr>
                  </pic:nvPicPr>
                  <pic:blipFill>
                    <a:blip r:embed="rId64"/>
                    <a:stretch>
                      <a:fillRect/>
                    </a:stretch>
                  </pic:blipFill>
                  <pic:spPr bwMode="auto">
                    <a:xfrm>
                      <a:off x="0" y="0"/>
                      <a:ext cx="2707200" cy="1812666"/>
                    </a:xfrm>
                    <a:prstGeom prst="rect">
                      <a:avLst/>
                    </a:prstGeom>
                    <a:noFill/>
                    <a:ln w="9525">
                      <a:noFill/>
                      <a:headEnd/>
                      <a:tailEnd/>
                    </a:ln>
                  </pic:spPr>
                </pic:pic>
              </a:graphicData>
            </a:graphic>
          </wp:inline>
        </w:drawing>
      </w:r>
    </w:p>
    <w:p>
      <w:pPr>
        <w:pStyle w:val="ImageCaption"/>
      </w:pPr>
      <w:r>
        <w:rPr>
          <w:b/>
          <w:bCs/>
        </w:rPr>
        <w:t xml:space="preserve">Gráfico 3:</w:t>
      </w:r>
      <w:r>
        <w:t xml:space="preserve"> Associação entre os coeficientes de repartição e a variação da receita estadual em 2033</w:t>
      </w:r>
    </w:p>
    <w:p>
      <w:pPr>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Cada ponto representa uma unidade da federação. O gráfico à esquerda compara a participação na transição federativa com a participação estadual de referência de 2025. O gráfico à direita compara a participação pelo destino com a mesma referência. O Paraná está identificado pelas iniciais PR.</w:t>
      </w:r>
    </w:p>
    <w:p>
      <w:pPr>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 com base em SICONFI/STN, </w:t>
      </w:r>
      <w:r>
        <w:rPr>
          <w:rFonts w:ascii="Times New Roman" w:hAnsi="Times New Roman"/>
          <w:sz w:val="18"/>
        </w:rPr>
        <w:t>POF 2017/2018, PNAD Contínua, Censo Demográfico 2022</w:t>
      </w:r>
      <w:r>
        <w:rPr>
          <w:rFonts w:ascii="Times New Roman" w:hAnsi="Times New Roman"/>
          <w:sz w:val="18"/>
        </w:rPr>
        <w:t xml:space="preserve"> e parâmetros legais da transição.</w:t>
      </w:r>
    </w:p>
    <w:bookmarkEnd w:id="67"/>
    <w:bookmarkStart w:id="68" w:name="tab:anexo_calculo_pr2033"/>
    <w:p>
      <w:pPr>
        <w:pStyle w:val="TableCaption"/>
      </w:pPr>
      <w:r>
        <w:rPr>
          <w:b/>
          <w:bCs/>
        </w:rPr>
        <w:t xml:space="preserve">Tabela A.3:</w:t>
      </w:r>
      <w:r>
        <w:t xml:space="preserve"> Memória de cálculo da receita estadual do Paraná em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A.3: Memória de cálculo da receita estadual do Paraná em 2033"/>
      </w:tblPr>
      <w:tblGrid>
        <w:gridCol w:w="1904"/>
        <w:gridCol w:w="2957"/>
        <w:gridCol w:w="3157"/>
        <w:gridCol w:w="1052"/>
      </w:tblGrid>
      <w:tr>
        <w:trPr>
          <w:tblHeader w:val="on"/>
          <w:cantSplit/>
          <w:tblHeader/>
        </w:trPr>
        <w:tc>
          <w:tcPr>
            <w:tcW w:type="dxa" w:w="190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Item</w:t>
            </w:r>
          </w:p>
        </w:tc>
        <w:tc>
          <w:tcPr>
            <w:tcW w:type="dxa" w:w="295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Expressão</w:t>
            </w:r>
          </w:p>
        </w:tc>
        <w:tc>
          <w:tcPr>
            <w:tcW w:type="dxa" w:w="315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Substituição numérica ou definição</w:t>
            </w:r>
          </w:p>
        </w:tc>
        <w:tc>
          <w:tcPr>
            <w:tcW w:type="dxa" w:w="105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Valor utilizado</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Base nacional de referência</w:t>
            </w:r>
          </w:p>
        </w:tc>
        <w:tc>
          <w:tcPr>
            <w:tcW w:type="dxa" w:w="2957"/>
          </w:tcPr>
          <w:p>
            <w:pPr>
              <w:pStyle w:val="Compact"/>
              <w:spacing w:line="240" w:lineRule="auto" w:before="20" w:after="20"/>
              <w:ind w:firstLine="0"/>
              <w:jc w:val="left"/>
            </w:pPr>
            <m:oMath>
              <m:sSub>
                <m:e>
                  <m:r>
                    <m:t>A</m:t>
                  </m:r>
                </m:e>
                <m:sub>
                  <m:r>
                    <m:t>2033</m:t>
                  </m:r>
                </m:sub>
              </m:sSub>
            </m:oMath>
          </w:p>
        </w:tc>
        <w:tc>
          <w:tcPr>
            <w:tcW w:type="dxa" w:w="3157"/>
          </w:tcPr>
          <w:p>
            <w:pPr>
              <w:pStyle w:val="Compact"/>
              <w:spacing w:line="240" w:lineRule="auto" w:before="20" w:after="20"/>
              <w:ind w:firstLine="0"/>
              <w:jc w:val="left"/>
            </w:pPr>
            <w:r>
              <w:rPr>
                <w:rFonts w:ascii="Times New Roman" w:hAnsi="Times New Roman"/>
                <w:sz w:val="18"/>
              </w:rPr>
              <w:t xml:space="preserve">Valor projetado para 2033</w:t>
            </w:r>
          </w:p>
        </w:tc>
        <w:tc>
          <w:tcPr>
            <w:tcW w:type="dxa" w:w="1052"/>
          </w:tcPr>
          <w:p>
            <w:pPr>
              <w:pStyle w:val="Compact"/>
              <w:spacing w:line="240" w:lineRule="auto" w:before="20" w:after="20"/>
              <w:ind w:firstLine="0"/>
              <w:jc w:val="left"/>
            </w:pPr>
            <w:r>
              <w:rPr>
                <w:rFonts w:ascii="Times New Roman" w:hAnsi="Times New Roman"/>
                <w:sz w:val="18"/>
              </w:rPr>
              <w:t>R$ 1.198,15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Participação de referência do Paraná</w:t>
            </w:r>
          </w:p>
        </w:tc>
        <w:tc>
          <w:tcPr>
            <w:tcW w:type="dxa" w:w="2957"/>
          </w:tcPr>
          <w:p>
            <w:pPr>
              <w:pStyle w:val="Compact"/>
              <w:spacing w:line="240" w:lineRule="auto" w:before="20" w:after="20"/>
              <w:ind w:firstLine="0"/>
              <w:jc w:val="left"/>
            </w:pPr>
            <m:oMath>
              <m:sSubSup>
                <m:e>
                  <m:r>
                    <m:t>w</m:t>
                  </m:r>
                </m:e>
                <m:sub>
                  <m:r>
                    <m:t>P</m:t>
                  </m:r>
                  <m:r>
                    <m:t>R</m:t>
                  </m:r>
                </m:sub>
                <m:sup>
                  <m:r>
                    <m:t>0</m:t>
                  </m:r>
                </m:sup>
              </m:sSubSup>
            </m:oMath>
          </w:p>
        </w:tc>
        <w:tc>
          <w:tcPr>
            <w:tcW w:type="dxa" w:w="3157"/>
          </w:tcPr>
          <w:p>
            <w:pPr>
              <w:pStyle w:val="Compact"/>
              <w:spacing w:line="240" w:lineRule="auto" w:before="20" w:after="20"/>
              <w:ind w:firstLine="0"/>
              <w:jc w:val="left"/>
            </w:pPr>
            <w:r>
              <w:rPr>
                <w:rFonts w:ascii="Times New Roman" w:hAnsi="Times New Roman"/>
                <w:sz w:val="18"/>
              </w:rPr>
              <w:t xml:space="preserve">Receita estadual de 2025 dividida pela base nacional de 2025</w:t>
            </w:r>
          </w:p>
        </w:tc>
        <w:tc>
          <w:tcPr>
            <w:tcW w:type="dxa" w:w="1052"/>
          </w:tcPr>
          <w:p>
            <w:pPr>
              <w:pStyle w:val="Compact"/>
              <w:spacing w:line="240" w:lineRule="auto" w:before="20" w:after="20"/>
              <w:ind w:firstLine="0"/>
              <w:jc w:val="left"/>
            </w:pPr>
            <w:r>
              <w:rPr>
                <w:rFonts w:ascii="Times New Roman" w:hAnsi="Times New Roman"/>
                <w:sz w:val="18"/>
              </w:rPr>
              <w:t>3,93604%</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Coeficiente histórico do Paraná</w:t>
            </w:r>
          </w:p>
        </w:tc>
        <w:tc>
          <w:tcPr>
            <w:tcW w:type="dxa" w:w="2957"/>
          </w:tcPr>
          <w:p>
            <w:pPr>
              <w:pStyle w:val="Compact"/>
              <w:spacing w:line="240" w:lineRule="auto" w:before="20" w:after="20"/>
              <w:ind w:firstLine="0"/>
              <w:jc w:val="left"/>
            </w:pPr>
            <m:oMath>
              <m:sSubSup>
                <m:e>
                  <m:r>
                    <m:t>w</m:t>
                  </m:r>
                </m:e>
                <m:sub>
                  <m:r>
                    <m:t>P</m:t>
                  </m:r>
                  <m:r>
                    <m:t>R</m:t>
                  </m:r>
                </m:sub>
                <m:sup>
                  <m:r>
                    <m:t>H</m:t>
                  </m:r>
                </m:sup>
              </m:sSubSup>
            </m:oMath>
          </w:p>
        </w:tc>
        <w:tc>
          <w:tcPr>
            <w:tcW w:type="dxa" w:w="3157"/>
          </w:tcPr>
          <w:p>
            <w:pPr>
              <w:pStyle w:val="Compact"/>
              <w:spacing w:line="240" w:lineRule="auto" w:before="20" w:after="20"/>
              <w:ind w:firstLine="0"/>
              <w:jc w:val="left"/>
            </w:pPr>
            <w:r>
              <w:rPr>
                <w:rFonts w:ascii="Times New Roman" w:hAnsi="Times New Roman"/>
                <w:sz w:val="18"/>
              </w:rPr>
              <w:t>Média da receita de referência de 2019 a 2026 (2026 estimado) dividida pela base nacional</w:t>
            </w:r>
          </w:p>
        </w:tc>
        <w:tc>
          <w:tcPr>
            <w:tcW w:type="dxa" w:w="1052"/>
          </w:tcPr>
          <w:p>
            <w:pPr>
              <w:pStyle w:val="Compact"/>
              <w:spacing w:line="240" w:lineRule="auto" w:before="20" w:after="20"/>
              <w:ind w:firstLine="0"/>
              <w:jc w:val="left"/>
            </w:pPr>
            <w:r>
              <w:rPr>
                <w:rFonts w:ascii="Times New Roman" w:hAnsi="Times New Roman"/>
                <w:sz w:val="18"/>
              </w:rPr>
              <w:t>3,97979%</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Coeficiente estadual de destino</w:t>
            </w:r>
          </w:p>
        </w:tc>
        <w:tc>
          <w:tcPr>
            <w:tcW w:type="dxa" w:w="2957"/>
          </w:tcPr>
          <w:p>
            <w:pPr>
              <w:pStyle w:val="Compact"/>
              <w:spacing w:line="240" w:lineRule="auto" w:before="20" w:after="20"/>
              <w:ind w:firstLine="0"/>
              <w:jc w:val="left"/>
            </w:pPr>
            <m:oMath>
              <m:sSubSup>
                <m:e>
                  <m:r>
                    <m:t>w</m:t>
                  </m:r>
                </m:e>
                <m:sub>
                  <m:r>
                    <m:t>P</m:t>
                  </m:r>
                  <m:r>
                    <m:t>R</m:t>
                  </m:r>
                </m:sub>
                <m:sup>
                  <m:r>
                    <m:t>D</m:t>
                  </m:r>
                </m:sup>
              </m:sSubSup>
            </m:oMath>
          </w:p>
        </w:tc>
        <w:tc>
          <w:tcPr>
            <w:tcW w:type="dxa" w:w="3157"/>
          </w:tcPr>
          <w:p>
            <w:pPr>
              <w:pStyle w:val="Compact"/>
              <w:spacing w:line="240" w:lineRule="auto" w:before="20" w:after="20"/>
              <w:ind w:firstLine="0"/>
              <w:jc w:val="left"/>
            </w:pPr>
            <w:r>
              <w:rPr>
                <w:rFonts w:ascii="Times New Roman" w:hAnsi="Times New Roman"/>
                <w:sz w:val="18"/>
              </w:rPr>
              <w:t>Estimativa própria: composto de três rotas, com POF 2017/2018, Censo 2022 e PNAD Contínua</w:t>
            </w:r>
          </w:p>
        </w:tc>
        <w:tc>
          <w:tcPr>
            <w:tcW w:type="dxa" w:w="1052"/>
          </w:tcPr>
          <w:p>
            <w:pPr>
              <w:pStyle w:val="Compact"/>
              <w:spacing w:line="240" w:lineRule="auto" w:before="20" w:after="20"/>
              <w:ind w:firstLine="0"/>
              <w:jc w:val="left"/>
            </w:pPr>
            <w:r>
              <w:rPr>
                <w:rFonts w:ascii="Times New Roman" w:hAnsi="Times New Roman"/>
                <w:sz w:val="18"/>
              </w:rPr>
              <w:t>4,12976%</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Parâmetros de 2033</w:t>
            </w:r>
          </w:p>
        </w:tc>
        <w:tc>
          <w:tcPr>
            <w:tcW w:type="dxa" w:w="2957"/>
          </w:tcPr>
          <w:p>
            <w:pPr>
              <w:pStyle w:val="Compact"/>
              <w:spacing w:line="240" w:lineRule="auto" w:before="20" w:after="20"/>
              <w:ind w:firstLine="0"/>
              <w:jc w:val="left"/>
            </w:pPr>
            <m:oMath>
              <m:r>
                <m:t>f</m:t>
              </m:r>
              <m:r>
                <m:rPr>
                  <m:sty m:val="p"/>
                </m:rPr>
                <m:t>,</m:t>
              </m:r>
              <m:r>
                <m:t>s</m:t>
              </m:r>
              <m:r>
                <m:rPr>
                  <m:sty m:val="p"/>
                </m:rPr>
                <m:t>,</m:t>
              </m:r>
              <m:r>
                <m:t>λ</m:t>
              </m:r>
              <m:r>
                <m:rPr>
                  <m:sty m:val="p"/>
                </m:rPr>
                <m:t>,</m:t>
              </m:r>
              <m:r>
                <m:t>ρ</m:t>
              </m:r>
              <m:r>
                <m:rPr>
                  <m:sty m:val="p"/>
                </m:rPr>
                <m:t>,</m:t>
              </m:r>
              <m:r>
                <m:t>c</m:t>
              </m:r>
            </m:oMath>
          </w:p>
        </w:tc>
        <w:tc>
          <w:tcPr>
            <w:tcW w:type="dxa" w:w="3157"/>
          </w:tcPr>
          <w:p>
            <w:pPr>
              <w:pStyle w:val="Compact"/>
              <w:spacing w:line="240" w:lineRule="auto" w:before="20" w:after="20"/>
              <w:ind w:firstLine="0"/>
              <w:jc w:val="left"/>
            </w:pPr>
            <m:oMath>
              <m:r>
                <m:t>f</m:t>
              </m:r>
              <m:r>
                <m:rPr>
                  <m:sty m:val="p"/>
                </m:rPr>
                <m:t>=</m:t>
              </m:r>
              <m:r>
                <m:t>0</m:t>
              </m:r>
            </m:oMath>
            <w:r>
              <w:rPr>
                <w:rFonts w:ascii="Times New Roman" w:hAnsi="Times New Roman"/>
                <w:sz w:val="18"/>
              </w:rPr>
              <w:t xml:space="preserve">;</w:t>
            </w:r>
            <w:r>
              <w:rPr>
                <w:rFonts w:ascii="Times New Roman" w:hAnsi="Times New Roman"/>
                <w:sz w:val="18"/>
              </w:rPr>
              <w:t xml:space="preserve"> </w:t>
            </w:r>
            <m:oMath>
              <m:r>
                <m:t>s</m:t>
              </m:r>
              <m:r>
                <m:rPr>
                  <m:sty m:val="p"/>
                </m:rPr>
                <m:t>=</m:t>
              </m:r>
              <m:r>
                <m:t>1</m:t>
              </m:r>
            </m:oMath>
            <w:r>
              <w:rPr>
                <w:rFonts w:ascii="Times New Roman" w:hAnsi="Times New Roman"/>
                <w:sz w:val="18"/>
              </w:rPr>
              <w:t xml:space="preserve">;</w:t>
            </w:r>
            <w:r>
              <w:rPr>
                <w:rFonts w:ascii="Times New Roman" w:hAnsi="Times New Roman"/>
                <w:sz w:val="18"/>
              </w:rPr>
              <w:t xml:space="preserve"> </w:t>
            </w:r>
            <m:oMath>
              <m:r>
                <m:t>λ</m:t>
              </m:r>
              <m:r>
                <m:rPr>
                  <m:sty m:val="p"/>
                </m:rPr>
                <m:t>=</m:t>
              </m:r>
              <m:r>
                <m:t>0</m:t>
              </m:r>
              <m:r>
                <m:rPr>
                  <m:sty m:val="p"/>
                </m:rPr>
                <m:t>,</m:t>
              </m:r>
              <m:r>
                <m:t>90</m:t>
              </m:r>
            </m:oMath>
            <w:r>
              <w:rPr>
                <w:rFonts w:ascii="Times New Roman" w:hAnsi="Times New Roman"/>
                <w:sz w:val="18"/>
              </w:rPr>
              <w:t xml:space="preserve">;</w:t>
            </w:r>
            <w:r>
              <w:rPr>
                <w:rFonts w:ascii="Times New Roman" w:hAnsi="Times New Roman"/>
                <w:sz w:val="18"/>
              </w:rPr>
              <w:t xml:space="preserve"> </w:t>
            </w:r>
            <m:oMath>
              <m:r>
                <m:t>ρ</m:t>
              </m:r>
              <m:r>
                <m:rPr>
                  <m:sty m:val="p"/>
                </m:rPr>
                <m:t>=</m:t>
              </m:r>
              <m:r>
                <m:t>0</m:t>
              </m:r>
              <m:r>
                <m:rPr>
                  <m:sty m:val="p"/>
                </m:rPr>
                <m:t>,</m:t>
              </m:r>
              <m:r>
                <m:t>05</m:t>
              </m:r>
            </m:oMath>
            <w:r>
              <w:rPr>
                <w:rFonts w:ascii="Times New Roman" w:hAnsi="Times New Roman"/>
                <w:sz w:val="18"/>
              </w:rPr>
              <w:t xml:space="preserve">;</w:t>
            </w:r>
            <w:r>
              <w:rPr>
                <w:rFonts w:ascii="Times New Roman" w:hAnsi="Times New Roman"/>
                <w:sz w:val="18"/>
              </w:rPr>
              <w:t xml:space="preserve"> </w:t>
            </w:r>
            <m:oMath>
              <m:r>
                <m:t>c</m:t>
              </m:r>
              <m:r>
                <m:rPr>
                  <m:sty m:val="p"/>
                </m:rPr>
                <m:t>=</m:t>
              </m:r>
              <m:r>
                <m:t>0</m:t>
              </m:r>
              <m:r>
                <m:rPr>
                  <m:sty m:val="p"/>
                </m:rPr>
                <m:t>,</m:t>
              </m:r>
              <m:r>
                <m:t>002</m:t>
              </m:r>
            </m:oMath>
          </w:p>
        </w:tc>
        <w:tc>
          <w:tcPr>
            <w:tcW w:type="dxa" w:w="1052"/>
          </w:tcPr>
          <w:p>
            <w:pPr>
              <w:pStyle w:val="Compact"/>
              <w:spacing w:line="240" w:lineRule="auto" w:before="20" w:after="20"/>
              <w:ind w:firstLine="0"/>
              <w:jc w:val="left"/>
            </w:pPr>
            <w:r>
              <w:rPr>
                <w:rFonts w:ascii="Times New Roman" w:hAnsi="Times New Roman"/>
                <w:sz w:val="18"/>
              </w:rPr>
              <w:t xml:space="preserve">0; 1; 90%; 5%; 0,20%</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Cenário sem reforma</w:t>
            </w:r>
          </w:p>
        </w:tc>
        <w:tc>
          <w:tcPr>
            <w:tcW w:type="dxa" w:w="2957"/>
          </w:tcPr>
          <w:p>
            <w:pPr>
              <w:pStyle w:val="Compact"/>
              <w:spacing w:line="240" w:lineRule="auto" w:before="20" w:after="20"/>
              <w:ind w:firstLine="0"/>
              <w:jc w:val="left"/>
            </w:pPr>
            <m:oMath>
              <m:sSub>
                <m:e>
                  <m:r>
                    <m:t>A</m:t>
                  </m:r>
                </m:e>
                <m:sub>
                  <m:r>
                    <m:t>2033</m:t>
                  </m:r>
                </m:sub>
              </m:sSub>
              <m:sSubSup>
                <m:e>
                  <m:r>
                    <m:t>w</m:t>
                  </m:r>
                </m:e>
                <m:sub>
                  <m:r>
                    <m:t>P</m:t>
                  </m:r>
                  <m:r>
                    <m:t>R</m:t>
                  </m:r>
                </m:sub>
                <m:sup>
                  <m:r>
                    <m:t>0</m:t>
                  </m:r>
                </m:sup>
              </m:sSubSup>
            </m:oMath>
          </w:p>
        </w:tc>
        <w:tc>
          <w:tcPr>
            <w:tcW w:type="dxa" w:w="3157"/>
          </w:tcPr>
          <w:p>
            <w:pPr>
              <w:pStyle w:val="Compact"/>
              <w:spacing w:line="240" w:lineRule="auto" w:before="20" w:after="20"/>
              <w:ind w:firstLine="0"/>
              <w:jc w:val="left"/>
            </w:pPr>
            <m:oMath>
              <m:r>
                <m:t>1.198</m:t>
              </m:r>
              <m:r>
                <m:rPr>
                  <m:sty m:val="p"/>
                </m:rPr>
                <m:t>,</m:t>
              </m:r>
              <m:r>
                <m:t>15</m:t>
              </m:r>
              <m:r>
                <m:rPr>
                  <m:sty m:val="p"/>
                </m:rPr>
                <m:t>×</m:t>
              </m:r>
              <m:r>
                <m:t>0</m:t>
              </m:r>
              <m:r>
                <m:rPr>
                  <m:sty m:val="p"/>
                </m:rPr>
                <m:t>,</m:t>
              </m:r>
              <m:r>
                <m:t>0393604</m:t>
              </m:r>
            </m:oMath>
          </w:p>
        </w:tc>
        <w:tc>
          <w:tcPr>
            <w:tcW w:type="dxa" w:w="1052"/>
          </w:tcPr>
          <w:p>
            <w:pPr>
              <w:pStyle w:val="Compact"/>
              <w:spacing w:line="240" w:lineRule="auto" w:before="20" w:after="20"/>
              <w:ind w:firstLine="0"/>
              <w:jc w:val="left"/>
            </w:pPr>
            <w:r>
              <w:rPr>
                <w:rFonts w:ascii="Times New Roman" w:hAnsi="Times New Roman"/>
                <w:sz w:val="18"/>
              </w:rPr>
              <w:t>R$ 47,16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ICMS residual</w:t>
            </w:r>
          </w:p>
        </w:tc>
        <w:tc>
          <w:tcPr>
            <w:tcW w:type="dxa" w:w="2957"/>
          </w:tcPr>
          <w:p>
            <w:pPr>
              <w:pStyle w:val="Compact"/>
              <w:spacing w:line="240" w:lineRule="auto" w:before="20" w:after="20"/>
              <w:ind w:firstLine="0"/>
              <w:jc w:val="left"/>
            </w:pPr>
            <m:oMath>
              <m:sSub>
                <m:e>
                  <m:r>
                    <m:t>A</m:t>
                  </m:r>
                </m:e>
                <m:sub>
                  <m:r>
                    <m:t>2033</m:t>
                  </m:r>
                </m:sub>
              </m:sSub>
              <m:sSub>
                <m:e>
                  <m:r>
                    <m:t>f</m:t>
                  </m:r>
                </m:e>
                <m:sub>
                  <m:r>
                    <m:t>2033</m:t>
                  </m:r>
                </m:sub>
              </m:sSub>
              <m:sSubSup>
                <m:e>
                  <m:r>
                    <m:t>w</m:t>
                  </m:r>
                </m:e>
                <m:sub>
                  <m:r>
                    <m:t>P</m:t>
                  </m:r>
                  <m:r>
                    <m:t>R</m:t>
                  </m:r>
                </m:sub>
                <m:sup>
                  <m:r>
                    <m:t>0</m:t>
                  </m:r>
                </m:sup>
              </m:sSubSup>
            </m:oMath>
          </w:p>
        </w:tc>
        <w:tc>
          <w:tcPr>
            <w:tcW w:type="dxa" w:w="3157"/>
          </w:tcPr>
          <w:p>
            <w:pPr>
              <w:pStyle w:val="Compact"/>
              <w:spacing w:line="240" w:lineRule="auto" w:before="20" w:after="20"/>
              <w:ind w:firstLine="0"/>
              <w:jc w:val="left"/>
            </w:pPr>
            <m:oMath>
              <m:r>
                <m:t>1.198</m:t>
              </m:r>
              <m:r>
                <m:rPr>
                  <m:sty m:val="p"/>
                </m:rPr>
                <m:t>,</m:t>
              </m:r>
              <m:r>
                <m:t>15</m:t>
              </m:r>
              <m:r>
                <m:rPr>
                  <m:sty m:val="p"/>
                </m:rPr>
                <m:t>×</m:t>
              </m:r>
              <m:r>
                <m:t>0</m:t>
              </m:r>
              <m:r>
                <m:rPr>
                  <m:sty m:val="p"/>
                </m:rPr>
                <m:t>×</m:t>
              </m:r>
              <m:r>
                <m:t>0</m:t>
              </m:r>
              <m:r>
                <m:rPr>
                  <m:sty m:val="p"/>
                </m:rPr>
                <m:t>,</m:t>
              </m:r>
              <m:r>
                <m:t>0393604</m:t>
              </m:r>
            </m:oMath>
          </w:p>
        </w:tc>
        <w:tc>
          <w:tcPr>
            <w:tcW w:type="dxa" w:w="1052"/>
          </w:tcPr>
          <w:p>
            <w:pPr>
              <w:pStyle w:val="Compact"/>
              <w:spacing w:line="240" w:lineRule="auto" w:before="20" w:after="20"/>
              <w:ind w:firstLine="0"/>
              <w:jc w:val="left"/>
            </w:pPr>
            <w:r>
              <w:rPr>
                <w:rFonts w:ascii="Times New Roman" w:hAnsi="Times New Roman"/>
                <w:sz w:val="18"/>
              </w:rPr>
              <w:t xml:space="preserve">R$ 0,00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IBS pelo histórico, bruto</w:t>
            </w:r>
          </w:p>
        </w:tc>
        <w:tc>
          <w:tcPr>
            <w:tcW w:type="dxa" w:w="2957"/>
          </w:tcPr>
          <w:p>
            <w:pPr>
              <w:pStyle w:val="Compact"/>
              <w:spacing w:line="240" w:lineRule="auto" w:before="20" w:after="20"/>
              <w:ind w:firstLine="0"/>
              <w:jc w:val="left"/>
            </w:pPr>
            <m:oMath>
              <m:sSub>
                <m:e>
                  <m:r>
                    <m:t>A</m:t>
                  </m:r>
                </m:e>
                <m:sub>
                  <m:r>
                    <m:t>2033</m:t>
                  </m:r>
                </m:sub>
              </m:sSub>
              <m:sSub>
                <m:e>
                  <m:r>
                    <m:t>s</m:t>
                  </m:r>
                </m:e>
                <m:sub>
                  <m:r>
                    <m:t>2033</m:t>
                  </m:r>
                </m:sub>
              </m:sSub>
              <m:sSub>
                <m:e>
                  <m:r>
                    <m:t>λ</m:t>
                  </m:r>
                </m:e>
                <m:sub>
                  <m:r>
                    <m:t>2033</m:t>
                  </m:r>
                </m:sub>
              </m:sSub>
              <m:sSubSup>
                <m:e>
                  <m:r>
                    <m:t>w</m:t>
                  </m:r>
                </m:e>
                <m:sub>
                  <m:r>
                    <m:t>P</m:t>
                  </m:r>
                  <m:r>
                    <m:t>R</m:t>
                  </m:r>
                </m:sub>
                <m:sup>
                  <m:r>
                    <m:t>H</m:t>
                  </m:r>
                </m:sup>
              </m:sSubSup>
            </m:oMath>
          </w:p>
        </w:tc>
        <w:tc>
          <w:tcPr>
            <w:tcW w:type="dxa" w:w="3157"/>
          </w:tcPr>
          <w:p>
            <w:pPr>
              <w:pStyle w:val="Compact"/>
              <w:spacing w:line="240" w:lineRule="auto" w:before="20" w:after="20"/>
              <w:ind w:firstLine="0"/>
              <w:jc w:val="left"/>
            </w:pPr>
            <m:oMath>
              <m:r>
                <m:t>1.198</m:t>
              </m:r>
              <m:r>
                <m:rPr>
                  <m:sty m:val="p"/>
                </m:rPr>
                <m:t>,</m:t>
              </m:r>
              <m:r>
                <m:t>15</m:t>
              </m:r>
              <m:r>
                <m:rPr>
                  <m:sty m:val="p"/>
                </m:rPr>
                <m:t>×</m:t>
              </m:r>
              <m:r>
                <m:t>1</m:t>
              </m:r>
              <m:r>
                <m:rPr>
                  <m:sty m:val="p"/>
                </m:rPr>
                <m:t>×</m:t>
              </m:r>
              <m:r>
                <m:t>0</m:t>
              </m:r>
              <m:r>
                <m:rPr>
                  <m:sty m:val="p"/>
                </m:rPr>
                <m:t>,</m:t>
              </m:r>
              <m:r>
                <m:t>90</m:t>
              </m:r>
              <m:r>
                <m:rPr>
                  <m:sty m:val="p"/>
                </m:rPr>
                <m:t>×</m:t>
              </m:r>
              <m:r>
                <m:t>0</m:t>
              </m:r>
              <m:r>
                <m:rPr>
                  <m:sty m:val="p"/>
                </m:rPr>
                <m:t>,</m:t>
              </m:r>
              <m:r>
                <m:t>0397979</m:t>
              </m:r>
            </m:oMath>
          </w:p>
        </w:tc>
        <w:tc>
          <w:tcPr>
            <w:tcW w:type="dxa" w:w="1052"/>
          </w:tcPr>
          <w:p>
            <w:pPr>
              <w:pStyle w:val="Compact"/>
              <w:spacing w:line="240" w:lineRule="auto" w:before="20" w:after="20"/>
              <w:ind w:firstLine="0"/>
              <w:jc w:val="left"/>
            </w:pPr>
            <w:r>
              <w:rPr>
                <w:rFonts w:ascii="Times New Roman" w:hAnsi="Times New Roman"/>
                <w:sz w:val="18"/>
              </w:rPr>
              <w:t>R$ 42,92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IBS pelo destino, após Seguro-Receita</w:t>
            </w:r>
          </w:p>
        </w:tc>
        <w:tc>
          <w:tcPr>
            <w:tcW w:type="dxa" w:w="2957"/>
          </w:tcPr>
          <w:p>
            <w:pPr>
              <w:pStyle w:val="Compact"/>
              <w:spacing w:line="240" w:lineRule="auto" w:before="20" w:after="20"/>
              <w:ind w:firstLine="0"/>
              <w:jc w:val="left"/>
            </w:pPr>
            <m:oMath>
              <m:sSub>
                <m:e>
                  <m:r>
                    <m:t>A</m:t>
                  </m:r>
                </m:e>
                <m:sub>
                  <m:r>
                    <m:t>2033</m:t>
                  </m:r>
                </m:sub>
              </m:sSub>
              <m:sSub>
                <m:e>
                  <m:r>
                    <m:t>s</m:t>
                  </m:r>
                </m:e>
                <m:sub>
                  <m:r>
                    <m:t>2033</m:t>
                  </m:r>
                </m:sub>
              </m:sSub>
              <m:r>
                <m:rPr>
                  <m:sty m:val="p"/>
                </m:rPr>
                <m:t>(</m:t>
              </m:r>
              <m:r>
                <m:t>1</m:t>
              </m:r>
              <m:r>
                <m:rPr>
                  <m:sty m:val="p"/>
                </m:rPr>
                <m:t>−</m:t>
              </m:r>
              <m:sSub>
                <m:e>
                  <m:r>
                    <m:t>λ</m:t>
                  </m:r>
                </m:e>
                <m:sub>
                  <m:r>
                    <m:t>2033</m:t>
                  </m:r>
                </m:sub>
              </m:sSub>
              <m:r>
                <m:rPr>
                  <m:sty m:val="p"/>
                </m:rPr>
                <m:t>)</m:t>
              </m:r>
              <m:r>
                <m:rPr>
                  <m:sty m:val="p"/>
                </m:rPr>
                <m:t>(</m:t>
              </m:r>
              <m:r>
                <m:t>1</m:t>
              </m:r>
              <m:r>
                <m:rPr>
                  <m:sty m:val="p"/>
                </m:rPr>
                <m:t>−</m:t>
              </m:r>
              <m:r>
                <m:t>ρ</m:t>
              </m:r>
              <m:r>
                <m:rPr>
                  <m:sty m:val="p"/>
                </m:rPr>
                <m:t>)</m:t>
              </m:r>
              <m:sSubSup>
                <m:e>
                  <m:r>
                    <m:t>w</m:t>
                  </m:r>
                </m:e>
                <m:sub>
                  <m:r>
                    <m:t>P</m:t>
                  </m:r>
                  <m:r>
                    <m:t>R</m:t>
                  </m:r>
                </m:sub>
                <m:sup>
                  <m:r>
                    <m:t>D</m:t>
                  </m:r>
                </m:sup>
              </m:sSubSup>
            </m:oMath>
          </w:p>
        </w:tc>
        <w:tc>
          <w:tcPr>
            <w:tcW w:type="dxa" w:w="3157"/>
          </w:tcPr>
          <w:p>
            <w:pPr>
              <w:pStyle w:val="Compact"/>
              <w:spacing w:line="240" w:lineRule="auto" w:before="20" w:after="20"/>
              <w:ind w:firstLine="0"/>
              <w:jc w:val="left"/>
            </w:pPr>
            <m:oMath>
              <m:r>
                <m:t>1.198</m:t>
              </m:r>
              <m:r>
                <m:rPr>
                  <m:sty m:val="p"/>
                </m:rPr>
                <m:t>,</m:t>
              </m:r>
              <m:r>
                <m:t>15</m:t>
              </m:r>
              <m:r>
                <m:rPr>
                  <m:sty m:val="p"/>
                </m:rPr>
                <m:t>×</m:t>
              </m:r>
              <m:r>
                <m:t>1</m:t>
              </m:r>
              <m:r>
                <m:rPr>
                  <m:sty m:val="p"/>
                </m:rPr>
                <m:t>×</m:t>
              </m:r>
              <m:r>
                <m:t>0</m:t>
              </m:r>
              <m:r>
                <m:rPr>
                  <m:sty m:val="p"/>
                </m:rPr>
                <m:t>,</m:t>
              </m:r>
              <m:r>
                <m:t>10</m:t>
              </m:r>
              <m:r>
                <m:rPr>
                  <m:sty m:val="p"/>
                </m:rPr>
                <m:t>×</m:t>
              </m:r>
              <m:r>
                <m:t>0</m:t>
              </m:r>
              <m:r>
                <m:rPr>
                  <m:sty m:val="p"/>
                </m:rPr>
                <m:t>,</m:t>
              </m:r>
              <m:r>
                <m:t>95</m:t>
              </m:r>
              <m:r>
                <m:rPr>
                  <m:sty m:val="p"/>
                </m:rPr>
                <m:t>×</m:t>
              </m:r>
              <m:r>
                <m:t>0</m:t>
              </m:r>
              <m:r>
                <m:rPr>
                  <m:sty m:val="p"/>
                </m:rPr>
                <m:t>,</m:t>
              </m:r>
              <m:r>
                <m:t>0412976</m:t>
              </m:r>
            </m:oMath>
          </w:p>
        </w:tc>
        <w:tc>
          <w:tcPr>
            <w:tcW w:type="dxa" w:w="1052"/>
          </w:tcPr>
          <w:p>
            <w:pPr>
              <w:pStyle w:val="Compact"/>
              <w:spacing w:line="240" w:lineRule="auto" w:before="20" w:after="20"/>
              <w:ind w:firstLine="0"/>
              <w:jc w:val="left"/>
            </w:pPr>
            <w:r>
              <w:rPr>
                <w:rFonts w:ascii="Times New Roman" w:hAnsi="Times New Roman"/>
                <w:sz w:val="18"/>
              </w:rPr>
              <w:t>R$ 4,70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Subtotal do IBS antes do CGIBS</w:t>
            </w:r>
          </w:p>
        </w:tc>
        <w:tc>
          <w:tcPr>
            <w:tcW w:type="dxa" w:w="2957"/>
          </w:tcPr>
          <w:p>
            <w:pPr>
              <w:pStyle w:val="Compact"/>
              <w:spacing w:line="240" w:lineRule="auto" w:before="20" w:after="20"/>
              <w:ind w:firstLine="0"/>
              <w:jc w:val="left"/>
            </w:pPr>
            <w:r>
              <w:rPr>
                <w:rFonts w:ascii="Times New Roman" w:hAnsi="Times New Roman"/>
                <w:sz w:val="18"/>
              </w:rPr>
              <w:t xml:space="preserve">soma dos componentes do IBS</w:t>
            </w:r>
          </w:p>
        </w:tc>
        <w:tc>
          <w:tcPr>
            <w:tcW w:type="dxa" w:w="3157"/>
          </w:tcPr>
          <w:p>
            <w:pPr>
              <w:pStyle w:val="Compact"/>
              <w:spacing w:line="240" w:lineRule="auto" w:before="20" w:after="20"/>
              <w:ind w:firstLine="0"/>
              <w:jc w:val="left"/>
            </w:pPr>
            <m:oMath>
              <m:r>
                <m:t>42</m:t>
              </m:r>
              <m:r>
                <m:rPr>
                  <m:sty m:val="p"/>
                </m:rPr>
                <m:t>,</m:t>
              </m:r>
              <m:r>
                <m:t>92</m:t>
              </m:r>
              <m:r>
                <m:rPr>
                  <m:sty m:val="p"/>
                </m:rPr>
                <m:t>+</m:t>
              </m:r>
              <m:r>
                <m:t>4</m:t>
              </m:r>
              <m:r>
                <m:rPr>
                  <m:sty m:val="p"/>
                </m:rPr>
                <m:t>,</m:t>
              </m:r>
              <m:r>
                <m:t>70</m:t>
              </m:r>
            </m:oMath>
          </w:p>
        </w:tc>
        <w:tc>
          <w:tcPr>
            <w:tcW w:type="dxa" w:w="1052"/>
          </w:tcPr>
          <w:p>
            <w:pPr>
              <w:pStyle w:val="Compact"/>
              <w:spacing w:line="240" w:lineRule="auto" w:before="20" w:after="20"/>
              <w:ind w:firstLine="0"/>
              <w:jc w:val="left"/>
            </w:pPr>
            <w:r>
              <w:rPr>
                <w:rFonts w:ascii="Times New Roman" w:hAnsi="Times New Roman"/>
                <w:sz w:val="18"/>
              </w:rPr>
              <w:t>R$ 47,62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Dedução para o CGIBS</w:t>
            </w:r>
          </w:p>
        </w:tc>
        <w:tc>
          <w:tcPr>
            <w:tcW w:type="dxa" w:w="2957"/>
          </w:tcPr>
          <w:p>
            <w:pPr>
              <w:pStyle w:val="Compact"/>
              <w:spacing w:line="240" w:lineRule="auto" w:before="20" w:after="20"/>
              <w:ind w:firstLine="0"/>
              <w:jc w:val="left"/>
            </w:pPr>
            <m:oMath>
              <m:r>
                <m:rPr>
                  <m:sty m:val="p"/>
                </m:rPr>
                <m:t>−</m:t>
              </m:r>
              <m:r>
                <m:t>c</m:t>
              </m:r>
              <m:r>
                <m:rPr>
                  <m:sty m:val="p"/>
                </m:rPr>
                <m:t>×</m:t>
              </m:r>
              <m:r>
                <m:rPr>
                  <m:nor/>
                  <m:sty m:val="p"/>
                </m:rPr>
                <m:t>subtotal</m:t>
              </m:r>
            </m:oMath>
          </w:p>
        </w:tc>
        <w:tc>
          <w:tcPr>
            <w:tcW w:type="dxa" w:w="3157"/>
          </w:tcPr>
          <w:p>
            <w:pPr>
              <w:pStyle w:val="Compact"/>
              <w:spacing w:line="240" w:lineRule="auto" w:before="20" w:after="20"/>
              <w:ind w:firstLine="0"/>
              <w:jc w:val="left"/>
            </w:pPr>
            <m:oMath>
              <m:r>
                <m:rPr>
                  <m:sty m:val="p"/>
                </m:rPr>
                <m:t>−</m:t>
              </m:r>
              <m:r>
                <m:t>0</m:t>
              </m:r>
              <m:r>
                <m:rPr>
                  <m:sty m:val="p"/>
                </m:rPr>
                <m:t>,</m:t>
              </m:r>
              <m:r>
                <m:t>002</m:t>
              </m:r>
              <m:r>
                <m:rPr>
                  <m:sty m:val="p"/>
                </m:rPr>
                <m:t>×</m:t>
              </m:r>
              <m:r>
                <m:t>47</m:t>
              </m:r>
              <m:r>
                <m:rPr>
                  <m:sty m:val="p"/>
                </m:rPr>
                <m:t>,</m:t>
              </m:r>
              <m:r>
                <m:t>616</m:t>
              </m:r>
            </m:oMath>
          </w:p>
        </w:tc>
        <w:tc>
          <w:tcPr>
            <w:tcW w:type="dxa" w:w="1052"/>
          </w:tcPr>
          <w:p>
            <w:pPr>
              <w:pStyle w:val="Compact"/>
              <w:spacing w:line="240" w:lineRule="auto" w:before="20" w:after="20"/>
              <w:ind w:firstLine="0"/>
              <w:jc w:val="left"/>
            </w:pPr>
            <w:r>
              <w:rPr>
                <w:rFonts w:ascii="Times New Roman" w:hAnsi="Times New Roman"/>
                <w:sz w:val="18"/>
              </w:rPr>
              <w:t>R$ −0,10 bi</w:t>
            </w:r>
          </w:p>
        </w:tc>
      </w:tr>
      <w:tr>
        <w:trPr>
          <w:cantSplit/>
        </w:trPr>
        <w:tc>
          <w:tcPr>
            <w:tcW w:type="dxa" w:w="1904"/>
          </w:tcPr>
          <w:p>
            <w:pPr>
              <w:pStyle w:val="Compact"/>
              <w:spacing w:line="240" w:lineRule="auto" w:before="20" w:after="20"/>
              <w:ind w:firstLine="0"/>
              <w:jc w:val="left"/>
            </w:pPr>
            <w:r>
              <w:rPr>
                <w:rFonts w:ascii="Times New Roman" w:hAnsi="Times New Roman"/>
                <w:sz w:val="18"/>
              </w:rPr>
              <w:t xml:space="preserve">Seguro-Receita recebido</w:t>
            </w:r>
          </w:p>
        </w:tc>
        <w:tc>
          <w:tcPr>
            <w:tcW w:type="dxa" w:w="2957"/>
          </w:tcPr>
          <w:p>
            <w:pPr>
              <w:pStyle w:val="Compact"/>
              <w:spacing w:line="240" w:lineRule="auto" w:before="20" w:after="20"/>
              <w:ind w:firstLine="0"/>
              <w:jc w:val="left"/>
            </w:pPr>
            <m:oMath>
              <m:sSub>
                <m:e>
                  <m:r>
                    <m:t>S</m:t>
                  </m:r>
                </m:e>
                <m:sub>
                  <m:r>
                    <m:t>P</m:t>
                  </m:r>
                  <m:r>
                    <m:t>R</m:t>
                  </m:r>
                  <m:r>
                    <m:rPr>
                      <m:sty m:val="p"/>
                    </m:rPr>
                    <m:t>,</m:t>
                  </m:r>
                  <m:r>
                    <m:t>2033</m:t>
                  </m:r>
                </m:sub>
              </m:sSub>
            </m:oMath>
          </w:p>
        </w:tc>
        <w:tc>
          <w:tcPr>
            <w:tcW w:type="dxa" w:w="3157"/>
          </w:tcPr>
          <w:p>
            <w:pPr>
              <w:pStyle w:val="Compact"/>
              <w:spacing w:line="240" w:lineRule="auto" w:before="20" w:after="20"/>
              <w:ind w:firstLine="0"/>
              <w:jc w:val="left"/>
            </w:pPr>
            <w:r>
              <w:rPr>
                <w:rFonts w:ascii="Times New Roman" w:hAnsi="Times New Roman"/>
                <w:sz w:val="18"/>
              </w:rPr>
              <w:t xml:space="preserve">Governo estadual não elegível na simulação de 2033</w:t>
            </w:r>
          </w:p>
        </w:tc>
        <w:tc>
          <w:tcPr>
            <w:tcW w:type="dxa" w:w="1052"/>
          </w:tcPr>
          <w:p>
            <w:pPr>
              <w:pStyle w:val="Compact"/>
              <w:spacing w:line="240" w:lineRule="auto" w:before="20" w:after="20"/>
              <w:ind w:firstLine="0"/>
              <w:jc w:val="left"/>
            </w:pPr>
            <w:r>
              <w:rPr>
                <w:rFonts w:ascii="Times New Roman" w:hAnsi="Times New Roman"/>
                <w:sz w:val="18"/>
              </w:rPr>
              <w:t xml:space="preserve">R$ 0,00 bi</w:t>
            </w:r>
          </w:p>
        </w:tc>
      </w:tr>
      <w:tr>
        <w:trPr>
          <w:cantSplit/>
        </w:trPr>
        <w:tc>
          <w:tcPr>
            <w:tcW w:type="dxa" w:w="1904"/>
          </w:tcPr>
          <w:p>
            <w:pPr>
              <w:pStyle w:val="Compact"/>
              <w:spacing w:line="240" w:lineRule="auto" w:before="20" w:after="20"/>
              <w:ind w:firstLine="0"/>
              <w:jc w:val="left"/>
            </w:pPr>
            <w:r>
              <w:rPr>
                <w:rFonts w:ascii="Times New Roman" w:hAnsi="Times New Roman"/>
                <w:b/>
                <w:bCs/>
                <w:sz w:val="18"/>
              </w:rPr>
              <w:t xml:space="preserve">Receita com reforma</w:t>
            </w:r>
          </w:p>
        </w:tc>
        <w:tc>
          <w:tcPr>
            <w:tcW w:type="dxa" w:w="2957"/>
          </w:tcPr>
          <w:p>
            <w:pPr>
              <w:pStyle w:val="Compact"/>
              <w:spacing w:line="240" w:lineRule="auto" w:before="20" w:after="20"/>
              <w:ind w:firstLine="0"/>
              <w:jc w:val="left"/>
            </w:pPr>
            <m:oMath>
              <m:sSubSup>
                <m:e>
                  <m:r>
                    <m:t>R</m:t>
                  </m:r>
                </m:e>
                <m:sub>
                  <m:r>
                    <m:t>P</m:t>
                  </m:r>
                  <m:r>
                    <m:t>R</m:t>
                  </m:r>
                  <m:r>
                    <m:rPr>
                      <m:sty m:val="p"/>
                    </m:rPr>
                    <m:t>,</m:t>
                  </m:r>
                  <m:r>
                    <m:t>2033</m:t>
                  </m:r>
                </m:sub>
                <m:sup>
                  <m:r>
                    <m:t>R</m:t>
                  </m:r>
                </m:sup>
              </m:sSubSup>
            </m:oMath>
          </w:p>
        </w:tc>
        <w:tc>
          <w:tcPr>
            <w:tcW w:type="dxa" w:w="3157"/>
          </w:tcPr>
          <w:p>
            <w:pPr>
              <w:pStyle w:val="Compact"/>
              <w:spacing w:line="240" w:lineRule="auto" w:before="20" w:after="20"/>
              <w:ind w:firstLine="0"/>
              <w:jc w:val="left"/>
            </w:pPr>
            <m:oMath>
              <m:r>
                <m:t>47</m:t>
              </m:r>
              <m:r>
                <m:rPr>
                  <m:sty m:val="p"/>
                </m:rPr>
                <m:t>,</m:t>
              </m:r>
              <m:r>
                <m:t>616</m:t>
              </m:r>
              <m:r>
                <m:rPr>
                  <m:sty m:val="p"/>
                </m:rPr>
                <m:t>−</m:t>
              </m:r>
              <m:r>
                <m:t>0</m:t>
              </m:r>
              <m:r>
                <m:rPr>
                  <m:sty m:val="p"/>
                </m:rPr>
                <m:t>,</m:t>
              </m:r>
              <m:r>
                <m:t>095</m:t>
              </m:r>
            </m:oMath>
          </w:p>
        </w:tc>
        <w:tc>
          <w:tcPr>
            <w:tcW w:type="dxa" w:w="1052"/>
          </w:tcPr>
          <w:p>
            <w:pPr>
              <w:pStyle w:val="Compact"/>
              <w:spacing w:line="240" w:lineRule="auto" w:before="20" w:after="20"/>
              <w:ind w:firstLine="0"/>
              <w:jc w:val="left"/>
            </w:pPr>
            <w:r>
              <w:rPr>
                <w:rFonts w:ascii="Times New Roman" w:hAnsi="Times New Roman"/>
                <w:b/>
                <w:bCs/>
                <w:sz w:val="18"/>
              </w:rPr>
              <w:t>R$ 47,52 bi</w:t>
            </w:r>
          </w:p>
        </w:tc>
      </w:tr>
      <w:tr>
        <w:trPr>
          <w:cantSplit/>
        </w:trPr>
        <w:tc>
          <w:tcPr>
            <w:tcW w:type="dxa" w:w="1904"/>
          </w:tcPr>
          <w:p>
            <w:pPr>
              <w:pStyle w:val="Compact"/>
              <w:spacing w:line="240" w:lineRule="auto" w:before="20" w:after="20"/>
              <w:ind w:firstLine="0"/>
              <w:jc w:val="left"/>
            </w:pPr>
            <w:r>
              <w:rPr>
                <w:rFonts w:ascii="Times New Roman" w:hAnsi="Times New Roman"/>
                <w:b/>
                <w:bCs/>
                <w:sz w:val="18"/>
              </w:rPr>
              <w:t xml:space="preserve">Variação ante o cenário sem reforma</w:t>
            </w:r>
          </w:p>
        </w:tc>
        <w:tc>
          <w:tcPr>
            <w:tcW w:type="dxa" w:w="2957"/>
          </w:tcPr>
          <w:p>
            <w:pPr>
              <w:pStyle w:val="Compact"/>
              <w:spacing w:line="240" w:lineRule="auto" w:before="20" w:after="20"/>
              <w:ind w:firstLine="0"/>
              <w:jc w:val="left"/>
            </w:pPr>
            <m:oMath>
              <m:sSup>
                <m:e>
                  <m:r>
                    <m:t>R</m:t>
                  </m:r>
                </m:e>
                <m:sup>
                  <m:r>
                    <m:t>R</m:t>
                  </m:r>
                </m:sup>
              </m:sSup>
              <m:r>
                <m:rPr>
                  <m:sty m:val="p"/>
                </m:rPr>
                <m:t>/</m:t>
              </m:r>
              <m:sSup>
                <m:e>
                  <m:r>
                    <m:t>R</m:t>
                  </m:r>
                </m:e>
                <m:sup>
                  <m:r>
                    <m:t>C</m:t>
                  </m:r>
                </m:sup>
              </m:sSup>
              <m:r>
                <m:rPr>
                  <m:sty m:val="p"/>
                </m:rPr>
                <m:t>−</m:t>
              </m:r>
              <m:r>
                <m:t>1</m:t>
              </m:r>
            </m:oMath>
          </w:p>
        </w:tc>
        <w:tc>
          <w:tcPr>
            <w:tcW w:type="dxa" w:w="3157"/>
          </w:tcPr>
          <w:p>
            <w:pPr>
              <w:pStyle w:val="Compact"/>
              <w:spacing w:line="240" w:lineRule="auto" w:before="20" w:after="20"/>
              <w:ind w:firstLine="0"/>
              <w:jc w:val="left"/>
            </w:pPr>
            <m:oMath>
              <m:r>
                <m:t>47</m:t>
              </m:r>
              <m:r>
                <m:rPr>
                  <m:sty m:val="p"/>
                </m:rPr>
                <m:t>,</m:t>
              </m:r>
              <m:r>
                <m:t>521</m:t>
              </m:r>
              <m:r>
                <m:rPr>
                  <m:sty m:val="p"/>
                </m:rPr>
                <m:t>/</m:t>
              </m:r>
              <m:r>
                <m:t>47</m:t>
              </m:r>
              <m:r>
                <m:rPr>
                  <m:sty m:val="p"/>
                </m:rPr>
                <m:t>,</m:t>
              </m:r>
              <m:r>
                <m:t>159</m:t>
              </m:r>
              <m:r>
                <m:rPr>
                  <m:sty m:val="p"/>
                </m:rPr>
                <m:t>−</m:t>
              </m:r>
              <m:r>
                <m:t>1</m:t>
              </m:r>
            </m:oMath>
          </w:p>
        </w:tc>
        <w:tc>
          <w:tcPr>
            <w:tcW w:type="dxa" w:w="1052"/>
          </w:tcPr>
          <w:p>
            <w:pPr>
              <w:pStyle w:val="Compact"/>
              <w:spacing w:line="240" w:lineRule="auto" w:before="20" w:after="20"/>
              <w:ind w:firstLine="0"/>
              <w:jc w:val="left"/>
            </w:pPr>
            <w:r>
              <w:rPr>
                <w:rFonts w:ascii="Times New Roman" w:hAnsi="Times New Roman"/>
                <w:b/>
                <w:bCs/>
                <w:sz w:val="18"/>
              </w:rPr>
              <w:t>+0,77%</w:t>
            </w:r>
          </w:p>
        </w:tc>
      </w:tr>
    </w:tbl>
    <w:bookmarkEnd w:id="68"/>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Valores a preços constantes de 2025. O valor do IBS pelo destino já incorpora a retenção de 5% destinada ao Seguro-Receita. A dedução do CGIBS utiliza o limite de 0,20% adotado no modelo para 2033. Diferenças residuais decorrem de arredondamento.</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Base consolidada do modelo; SICONFI/STN; IBGE; parâmetros legais da transição. Elaboração própria.</w:t>
      </w:r>
    </w:p>
    <w:bookmarkStart w:id="69" w:name="tab:anexo_capitais"/>
    <w:p>
      <w:pPr>
        <w:pStyle w:val="TableCaption"/>
      </w:pPr>
      <w:r>
        <w:rPr>
          <w:b/>
          <w:bCs/>
        </w:rPr>
        <w:t xml:space="preserve">Tabela A.4:</w:t>
      </w:r>
      <w:r>
        <w:t xml:space="preserve"> Resultados das capitais brasileiras em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A.4: Resultados das capitais brasileiras em 2033"/>
      </w:tblPr>
      <w:tblGrid>
        <w:gridCol w:w="518"/>
        <w:gridCol w:w="1879"/>
        <w:gridCol w:w="1360"/>
        <w:gridCol w:w="1101"/>
        <w:gridCol w:w="1749"/>
        <w:gridCol w:w="1231"/>
        <w:gridCol w:w="1231"/>
      </w:tblGrid>
      <w:tr>
        <w:trPr>
          <w:tblHeader w:val="on"/>
          <w:cantSplit/>
          <w:tblHeader/>
        </w:trPr>
        <w:tc>
          <w:tcPr>
            <w:tcW w:type="dxa" w:w="518"/>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UF</w:t>
            </w:r>
          </w:p>
        </w:tc>
        <w:tc>
          <w:tcPr>
            <w:tcW w:type="dxa" w:w="187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Capital</w:t>
            </w:r>
          </w:p>
        </w:tc>
        <w:tc>
          <w:tcPr>
            <w:tcW w:type="dxa" w:w="136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Coef.</w:t>
            </w:r>
            <w:r>
              <w:rPr>
                <w:rFonts w:ascii="Times New Roman" w:hAnsi="Times New Roman"/>
                <w:b/>
                <w:sz w:val="16"/>
              </w:rPr>
              <w:br/>
            </w:r>
            <w:r>
              <w:rPr>
                <w:rFonts w:ascii="Times New Roman" w:hAnsi="Times New Roman"/>
                <w:b/>
                <w:bCs/>
                <w:sz w:val="16"/>
              </w:rPr>
              <w:t xml:space="preserve">histórico</w:t>
            </w:r>
          </w:p>
        </w:tc>
        <w:tc>
          <w:tcPr>
            <w:tcW w:type="dxa" w:w="110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Coef.</w:t>
            </w:r>
            <w:r>
              <w:rPr>
                <w:rFonts w:ascii="Times New Roman" w:hAnsi="Times New Roman"/>
                <w:b/>
                <w:sz w:val="16"/>
              </w:rPr>
              <w:br/>
            </w:r>
            <w:r>
              <w:rPr>
                <w:rFonts w:ascii="Times New Roman" w:hAnsi="Times New Roman"/>
                <w:b/>
                <w:bCs/>
                <w:sz w:val="16"/>
              </w:rPr>
              <w:t xml:space="preserve">destino</w:t>
            </w:r>
          </w:p>
        </w:tc>
        <w:tc>
          <w:tcPr>
            <w:tcW w:type="dxa" w:w="174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Cenário sem</w:t>
            </w:r>
            <w:r>
              <w:rPr>
                <w:rFonts w:ascii="Times New Roman" w:hAnsi="Times New Roman"/>
                <w:b/>
                <w:sz w:val="16"/>
              </w:rPr>
              <w:br/>
            </w:r>
            <w:r>
              <w:rPr>
                <w:rFonts w:ascii="Times New Roman" w:hAnsi="Times New Roman"/>
                <w:b/>
                <w:bCs/>
                <w:sz w:val="16"/>
              </w:rPr>
              <w:t xml:space="preserve">reforma, R$ bi</w:t>
            </w:r>
          </w:p>
        </w:tc>
        <w:tc>
          <w:tcPr>
            <w:tcW w:type="dxa" w:w="123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Receita 2033</w:t>
            </w:r>
            <w:r>
              <w:rPr>
                <w:rFonts w:ascii="Times New Roman" w:hAnsi="Times New Roman"/>
                <w:b/>
                <w:sz w:val="16"/>
              </w:rPr>
              <w:br/>
            </w:r>
            <w:r>
              <w:rPr>
                <w:rFonts w:ascii="Times New Roman" w:hAnsi="Times New Roman"/>
                <w:b/>
                <w:bCs/>
                <w:sz w:val="16"/>
              </w:rPr>
              <w:t xml:space="preserve">R$ bi</w:t>
            </w:r>
          </w:p>
        </w:tc>
        <w:tc>
          <w:tcPr>
            <w:tcW w:type="dxa" w:w="123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Variação</w:t>
            </w:r>
            <w:r>
              <w:rPr>
                <w:rFonts w:ascii="Times New Roman" w:hAnsi="Times New Roman"/>
                <w:b/>
                <w:sz w:val="16"/>
              </w:rPr>
              <w:br/>
            </w:r>
            <w:r>
              <w:rPr>
                <w:rFonts w:ascii="Times New Roman" w:hAnsi="Times New Roman"/>
                <w:b/>
                <w:bCs/>
                <w:sz w:val="16"/>
              </w:rPr>
              <w:t xml:space="preserve">2033</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PB</w:t>
            </w:r>
          </w:p>
        </w:tc>
        <w:tc>
          <w:tcPr>
            <w:tcW w:type="dxa" w:w="1879"/>
          </w:tcPr>
          <w:p>
            <w:pPr>
              <w:pStyle w:val="Compact"/>
              <w:spacing w:line="240" w:lineRule="auto" w:before="20" w:after="20"/>
              <w:ind w:firstLine="0"/>
              <w:jc w:val="left"/>
            </w:pPr>
            <w:r>
              <w:rPr>
                <w:rFonts w:ascii="Times New Roman" w:hAnsi="Times New Roman"/>
                <w:sz w:val="16"/>
              </w:rPr>
              <w:t xml:space="preserve">João Pessoa</w:t>
            </w:r>
          </w:p>
        </w:tc>
        <w:tc>
          <w:tcPr>
            <w:tcW w:type="dxa" w:w="1360"/>
          </w:tcPr>
          <w:p>
            <w:pPr>
              <w:pStyle w:val="Compact"/>
              <w:spacing w:line="240" w:lineRule="auto" w:before="20" w:after="20"/>
              <w:ind w:firstLine="0"/>
              <w:jc w:val="right"/>
            </w:pPr>
            <w:r>
              <w:rPr>
                <w:rFonts w:ascii="Times New Roman" w:hAnsi="Times New Roman"/>
                <w:sz w:val="16"/>
              </w:rPr>
              <w:t>0,118%</w:t>
            </w:r>
          </w:p>
        </w:tc>
        <w:tc>
          <w:tcPr>
            <w:tcW w:type="dxa" w:w="1101"/>
          </w:tcPr>
          <w:p>
            <w:pPr>
              <w:pStyle w:val="Compact"/>
              <w:spacing w:line="240" w:lineRule="auto" w:before="20" w:after="20"/>
              <w:ind w:firstLine="0"/>
              <w:jc w:val="right"/>
            </w:pPr>
            <w:r>
              <w:rPr>
                <w:rFonts w:ascii="Times New Roman" w:hAnsi="Times New Roman"/>
                <w:sz w:val="16"/>
              </w:rPr>
              <w:t>0,106%</w:t>
            </w:r>
          </w:p>
        </w:tc>
        <w:tc>
          <w:tcPr>
            <w:tcW w:type="dxa" w:w="1749"/>
          </w:tcPr>
          <w:p>
            <w:pPr>
              <w:pStyle w:val="Compact"/>
              <w:spacing w:line="240" w:lineRule="auto" w:before="20" w:after="20"/>
              <w:ind w:firstLine="0"/>
              <w:jc w:val="right"/>
            </w:pPr>
            <w:r>
              <w:rPr>
                <w:rFonts w:ascii="Times New Roman" w:hAnsi="Times New Roman"/>
                <w:sz w:val="16"/>
              </w:rPr>
              <w:t xml:space="preserve">1,63</w:t>
            </w:r>
          </w:p>
        </w:tc>
        <w:tc>
          <w:tcPr>
            <w:tcW w:type="dxa" w:w="1231"/>
          </w:tcPr>
          <w:p>
            <w:pPr>
              <w:pStyle w:val="Compact"/>
              <w:spacing w:line="240" w:lineRule="auto" w:before="20" w:after="20"/>
              <w:ind w:firstLine="0"/>
              <w:jc w:val="right"/>
            </w:pPr>
            <w:r>
              <w:rPr>
                <w:rFonts w:ascii="Times New Roman" w:hAnsi="Times New Roman"/>
                <w:sz w:val="16"/>
              </w:rPr>
              <w:t>1,39</w:t>
            </w:r>
          </w:p>
        </w:tc>
        <w:tc>
          <w:tcPr>
            <w:tcW w:type="dxa" w:w="1231"/>
          </w:tcPr>
          <w:p>
            <w:pPr>
              <w:pStyle w:val="Compact"/>
              <w:spacing w:line="240" w:lineRule="auto" w:before="20" w:after="20"/>
              <w:ind w:firstLine="0"/>
              <w:jc w:val="right"/>
            </w:pPr>
            <w:r>
              <w:rPr>
                <w:rFonts w:ascii="Times New Roman" w:hAnsi="Times New Roman"/>
                <w:sz w:val="16"/>
              </w:rPr>
              <w:t>−14,7%</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AM</w:t>
            </w:r>
          </w:p>
        </w:tc>
        <w:tc>
          <w:tcPr>
            <w:tcW w:type="dxa" w:w="1879"/>
          </w:tcPr>
          <w:p>
            <w:pPr>
              <w:pStyle w:val="Compact"/>
              <w:spacing w:line="240" w:lineRule="auto" w:before="20" w:after="20"/>
              <w:ind w:firstLine="0"/>
              <w:jc w:val="left"/>
            </w:pPr>
            <w:r>
              <w:rPr>
                <w:rFonts w:ascii="Times New Roman" w:hAnsi="Times New Roman"/>
                <w:sz w:val="16"/>
              </w:rPr>
              <w:t xml:space="preserve">Manaus</w:t>
            </w:r>
          </w:p>
        </w:tc>
        <w:tc>
          <w:tcPr>
            <w:tcW w:type="dxa" w:w="1360"/>
          </w:tcPr>
          <w:p>
            <w:pPr>
              <w:pStyle w:val="Compact"/>
              <w:spacing w:line="240" w:lineRule="auto" w:before="20" w:after="20"/>
              <w:ind w:firstLine="0"/>
              <w:jc w:val="right"/>
            </w:pPr>
            <w:r>
              <w:rPr>
                <w:rFonts w:ascii="Times New Roman" w:hAnsi="Times New Roman"/>
                <w:sz w:val="16"/>
              </w:rPr>
              <w:t>0,372%</w:t>
            </w:r>
          </w:p>
        </w:tc>
        <w:tc>
          <w:tcPr>
            <w:tcW w:type="dxa" w:w="1101"/>
          </w:tcPr>
          <w:p>
            <w:pPr>
              <w:pStyle w:val="Compact"/>
              <w:spacing w:line="240" w:lineRule="auto" w:before="20" w:after="20"/>
              <w:ind w:firstLine="0"/>
              <w:jc w:val="right"/>
            </w:pPr>
            <w:r>
              <w:rPr>
                <w:rFonts w:ascii="Times New Roman" w:hAnsi="Times New Roman"/>
                <w:sz w:val="16"/>
              </w:rPr>
              <w:t>0,240%</w:t>
            </w:r>
          </w:p>
        </w:tc>
        <w:tc>
          <w:tcPr>
            <w:tcW w:type="dxa" w:w="1749"/>
          </w:tcPr>
          <w:p>
            <w:pPr>
              <w:pStyle w:val="Compact"/>
              <w:spacing w:line="240" w:lineRule="auto" w:before="20" w:after="20"/>
              <w:ind w:firstLine="0"/>
              <w:jc w:val="right"/>
            </w:pPr>
            <w:r>
              <w:rPr>
                <w:rFonts w:ascii="Times New Roman" w:hAnsi="Times New Roman"/>
                <w:sz w:val="16"/>
              </w:rPr>
              <w:t xml:space="preserve">5,04</w:t>
            </w:r>
          </w:p>
        </w:tc>
        <w:tc>
          <w:tcPr>
            <w:tcW w:type="dxa" w:w="1231"/>
          </w:tcPr>
          <w:p>
            <w:pPr>
              <w:pStyle w:val="Compact"/>
              <w:spacing w:line="240" w:lineRule="auto" w:before="20" w:after="20"/>
              <w:ind w:firstLine="0"/>
              <w:jc w:val="right"/>
            </w:pPr>
            <w:r>
              <w:rPr>
                <w:rFonts w:ascii="Times New Roman" w:hAnsi="Times New Roman"/>
                <w:sz w:val="16"/>
              </w:rPr>
              <w:t>4,28</w:t>
            </w:r>
          </w:p>
        </w:tc>
        <w:tc>
          <w:tcPr>
            <w:tcW w:type="dxa" w:w="1231"/>
          </w:tcPr>
          <w:p>
            <w:pPr>
              <w:pStyle w:val="Compact"/>
              <w:spacing w:line="240" w:lineRule="auto" w:before="20" w:after="20"/>
              <w:ind w:firstLine="0"/>
              <w:jc w:val="right"/>
            </w:pPr>
            <w:r>
              <w:rPr>
                <w:rFonts w:ascii="Times New Roman" w:hAnsi="Times New Roman"/>
                <w:sz w:val="16"/>
              </w:rPr>
              <w:t>−15,2%</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SC</w:t>
            </w:r>
          </w:p>
        </w:tc>
        <w:tc>
          <w:tcPr>
            <w:tcW w:type="dxa" w:w="1879"/>
          </w:tcPr>
          <w:p>
            <w:pPr>
              <w:pStyle w:val="Compact"/>
              <w:spacing w:line="240" w:lineRule="auto" w:before="20" w:after="20"/>
              <w:ind w:firstLine="0"/>
              <w:jc w:val="left"/>
            </w:pPr>
            <w:r>
              <w:rPr>
                <w:rFonts w:ascii="Times New Roman" w:hAnsi="Times New Roman"/>
                <w:sz w:val="16"/>
              </w:rPr>
              <w:t xml:space="preserve">Florianópolis</w:t>
            </w:r>
          </w:p>
        </w:tc>
        <w:tc>
          <w:tcPr>
            <w:tcW w:type="dxa" w:w="1360"/>
          </w:tcPr>
          <w:p>
            <w:pPr>
              <w:pStyle w:val="Compact"/>
              <w:spacing w:line="240" w:lineRule="auto" w:before="20" w:after="20"/>
              <w:ind w:firstLine="0"/>
              <w:jc w:val="right"/>
            </w:pPr>
            <w:r>
              <w:rPr>
                <w:rFonts w:ascii="Times New Roman" w:hAnsi="Times New Roman"/>
                <w:sz w:val="16"/>
              </w:rPr>
              <w:t>0,099%</w:t>
            </w:r>
          </w:p>
        </w:tc>
        <w:tc>
          <w:tcPr>
            <w:tcW w:type="dxa" w:w="1101"/>
          </w:tcPr>
          <w:p>
            <w:pPr>
              <w:pStyle w:val="Compact"/>
              <w:spacing w:line="240" w:lineRule="auto" w:before="20" w:after="20"/>
              <w:ind w:firstLine="0"/>
              <w:jc w:val="right"/>
            </w:pPr>
            <w:r>
              <w:rPr>
                <w:rFonts w:ascii="Times New Roman" w:hAnsi="Times New Roman"/>
                <w:sz w:val="16"/>
              </w:rPr>
              <w:t>0,121%</w:t>
            </w:r>
          </w:p>
        </w:tc>
        <w:tc>
          <w:tcPr>
            <w:tcW w:type="dxa" w:w="1749"/>
          </w:tcPr>
          <w:p>
            <w:pPr>
              <w:pStyle w:val="Compact"/>
              <w:spacing w:line="240" w:lineRule="auto" w:before="20" w:after="20"/>
              <w:ind w:firstLine="0"/>
              <w:jc w:val="right"/>
            </w:pPr>
            <w:r>
              <w:rPr>
                <w:rFonts w:ascii="Times New Roman" w:hAnsi="Times New Roman"/>
                <w:sz w:val="16"/>
              </w:rPr>
              <w:t xml:space="preserve">1,36</w:t>
            </w:r>
          </w:p>
        </w:tc>
        <w:tc>
          <w:tcPr>
            <w:tcW w:type="dxa" w:w="1231"/>
          </w:tcPr>
          <w:p>
            <w:pPr>
              <w:pStyle w:val="Compact"/>
              <w:spacing w:line="240" w:lineRule="auto" w:before="20" w:after="20"/>
              <w:ind w:firstLine="0"/>
              <w:jc w:val="right"/>
            </w:pPr>
            <w:r>
              <w:rPr>
                <w:rFonts w:ascii="Times New Roman" w:hAnsi="Times New Roman"/>
                <w:sz w:val="16"/>
              </w:rPr>
              <w:t>1,20</w:t>
            </w:r>
          </w:p>
        </w:tc>
        <w:tc>
          <w:tcPr>
            <w:tcW w:type="dxa" w:w="1231"/>
          </w:tcPr>
          <w:p>
            <w:pPr>
              <w:pStyle w:val="Compact"/>
              <w:spacing w:line="240" w:lineRule="auto" w:before="20" w:after="20"/>
              <w:ind w:firstLine="0"/>
              <w:jc w:val="right"/>
            </w:pPr>
            <w:r>
              <w:rPr>
                <w:rFonts w:ascii="Times New Roman" w:hAnsi="Times New Roman"/>
                <w:sz w:val="16"/>
              </w:rPr>
              <w:t>−11,4%</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PA</w:t>
            </w:r>
          </w:p>
        </w:tc>
        <w:tc>
          <w:tcPr>
            <w:tcW w:type="dxa" w:w="1879"/>
          </w:tcPr>
          <w:p>
            <w:pPr>
              <w:pStyle w:val="Compact"/>
              <w:spacing w:line="240" w:lineRule="auto" w:before="20" w:after="20"/>
              <w:ind w:firstLine="0"/>
              <w:jc w:val="left"/>
            </w:pPr>
            <w:r>
              <w:rPr>
                <w:rFonts w:ascii="Times New Roman" w:hAnsi="Times New Roman"/>
                <w:sz w:val="16"/>
              </w:rPr>
              <w:t xml:space="preserve">Belém</w:t>
            </w:r>
          </w:p>
        </w:tc>
        <w:tc>
          <w:tcPr>
            <w:tcW w:type="dxa" w:w="1360"/>
          </w:tcPr>
          <w:p>
            <w:pPr>
              <w:pStyle w:val="Compact"/>
              <w:spacing w:line="240" w:lineRule="auto" w:before="20" w:after="20"/>
              <w:ind w:firstLine="0"/>
              <w:jc w:val="right"/>
            </w:pPr>
            <w:r>
              <w:rPr>
                <w:rFonts w:ascii="Times New Roman" w:hAnsi="Times New Roman"/>
                <w:sz w:val="16"/>
              </w:rPr>
              <w:t>0,146%</w:t>
            </w:r>
          </w:p>
        </w:tc>
        <w:tc>
          <w:tcPr>
            <w:tcW w:type="dxa" w:w="1101"/>
          </w:tcPr>
          <w:p>
            <w:pPr>
              <w:pStyle w:val="Compact"/>
              <w:spacing w:line="240" w:lineRule="auto" w:before="20" w:after="20"/>
              <w:ind w:firstLine="0"/>
              <w:jc w:val="right"/>
            </w:pPr>
            <w:r>
              <w:rPr>
                <w:rFonts w:ascii="Times New Roman" w:hAnsi="Times New Roman"/>
                <w:sz w:val="16"/>
              </w:rPr>
              <w:t>0,160%</w:t>
            </w:r>
          </w:p>
        </w:tc>
        <w:tc>
          <w:tcPr>
            <w:tcW w:type="dxa" w:w="1749"/>
          </w:tcPr>
          <w:p>
            <w:pPr>
              <w:pStyle w:val="Compact"/>
              <w:spacing w:line="240" w:lineRule="auto" w:before="20" w:after="20"/>
              <w:ind w:firstLine="0"/>
              <w:jc w:val="right"/>
            </w:pPr>
            <w:r>
              <w:rPr>
                <w:rFonts w:ascii="Times New Roman" w:hAnsi="Times New Roman"/>
                <w:sz w:val="16"/>
              </w:rPr>
              <w:t xml:space="preserve">1,97</w:t>
            </w:r>
          </w:p>
        </w:tc>
        <w:tc>
          <w:tcPr>
            <w:tcW w:type="dxa" w:w="1231"/>
          </w:tcPr>
          <w:p>
            <w:pPr>
              <w:pStyle w:val="Compact"/>
              <w:spacing w:line="240" w:lineRule="auto" w:before="20" w:after="20"/>
              <w:ind w:firstLine="0"/>
              <w:jc w:val="right"/>
            </w:pPr>
            <w:r>
              <w:rPr>
                <w:rFonts w:ascii="Times New Roman" w:hAnsi="Times New Roman"/>
                <w:sz w:val="16"/>
              </w:rPr>
              <w:t>1,76</w:t>
            </w:r>
          </w:p>
        </w:tc>
        <w:tc>
          <w:tcPr>
            <w:tcW w:type="dxa" w:w="1231"/>
          </w:tcPr>
          <w:p>
            <w:pPr>
              <w:pStyle w:val="Compact"/>
              <w:spacing w:line="240" w:lineRule="auto" w:before="20" w:after="20"/>
              <w:ind w:firstLine="0"/>
              <w:jc w:val="right"/>
            </w:pPr>
            <w:r>
              <w:rPr>
                <w:rFonts w:ascii="Times New Roman" w:hAnsi="Times New Roman"/>
                <w:sz w:val="16"/>
              </w:rPr>
              <w:t>−10,6%</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RR</w:t>
            </w:r>
          </w:p>
        </w:tc>
        <w:tc>
          <w:tcPr>
            <w:tcW w:type="dxa" w:w="1879"/>
          </w:tcPr>
          <w:p>
            <w:pPr>
              <w:pStyle w:val="Compact"/>
              <w:spacing w:line="240" w:lineRule="auto" w:before="20" w:after="20"/>
              <w:ind w:firstLine="0"/>
              <w:jc w:val="left"/>
            </w:pPr>
            <w:r>
              <w:rPr>
                <w:rFonts w:ascii="Times New Roman" w:hAnsi="Times New Roman"/>
                <w:sz w:val="16"/>
              </w:rPr>
              <w:t xml:space="preserve">Boa Vista</w:t>
            </w:r>
          </w:p>
        </w:tc>
        <w:tc>
          <w:tcPr>
            <w:tcW w:type="dxa" w:w="1360"/>
          </w:tcPr>
          <w:p>
            <w:pPr>
              <w:pStyle w:val="Compact"/>
              <w:spacing w:line="240" w:lineRule="auto" w:before="20" w:after="20"/>
              <w:ind w:firstLine="0"/>
              <w:jc w:val="right"/>
            </w:pPr>
            <w:r>
              <w:rPr>
                <w:rFonts w:ascii="Times New Roman" w:hAnsi="Times New Roman"/>
                <w:sz w:val="16"/>
              </w:rPr>
              <w:t>0,045%</w:t>
            </w:r>
          </w:p>
        </w:tc>
        <w:tc>
          <w:tcPr>
            <w:tcW w:type="dxa" w:w="1101"/>
          </w:tcPr>
          <w:p>
            <w:pPr>
              <w:pStyle w:val="Compact"/>
              <w:spacing w:line="240" w:lineRule="auto" w:before="20" w:after="20"/>
              <w:ind w:firstLine="0"/>
              <w:jc w:val="right"/>
            </w:pPr>
            <w:r>
              <w:rPr>
                <w:rFonts w:ascii="Times New Roman" w:hAnsi="Times New Roman"/>
                <w:sz w:val="16"/>
              </w:rPr>
              <w:t>0,057%</w:t>
            </w:r>
          </w:p>
        </w:tc>
        <w:tc>
          <w:tcPr>
            <w:tcW w:type="dxa" w:w="1749"/>
          </w:tcPr>
          <w:p>
            <w:pPr>
              <w:pStyle w:val="Compact"/>
              <w:spacing w:line="240" w:lineRule="auto" w:before="20" w:after="20"/>
              <w:ind w:firstLine="0"/>
              <w:jc w:val="right"/>
            </w:pPr>
            <w:r>
              <w:rPr>
                <w:rFonts w:ascii="Times New Roman" w:hAnsi="Times New Roman"/>
                <w:sz w:val="16"/>
              </w:rPr>
              <w:t xml:space="preserve">0,59</w:t>
            </w:r>
          </w:p>
        </w:tc>
        <w:tc>
          <w:tcPr>
            <w:tcW w:type="dxa" w:w="1231"/>
          </w:tcPr>
          <w:p>
            <w:pPr>
              <w:pStyle w:val="Compact"/>
              <w:spacing w:line="240" w:lineRule="auto" w:before="20" w:after="20"/>
              <w:ind w:firstLine="0"/>
              <w:jc w:val="right"/>
            </w:pPr>
            <w:r>
              <w:rPr>
                <w:rFonts w:ascii="Times New Roman" w:hAnsi="Times New Roman"/>
                <w:sz w:val="16"/>
              </w:rPr>
              <w:t>0,55</w:t>
            </w:r>
          </w:p>
        </w:tc>
        <w:tc>
          <w:tcPr>
            <w:tcW w:type="dxa" w:w="1231"/>
          </w:tcPr>
          <w:p>
            <w:pPr>
              <w:pStyle w:val="Compact"/>
              <w:spacing w:line="240" w:lineRule="auto" w:before="20" w:after="20"/>
              <w:ind w:firstLine="0"/>
              <w:jc w:val="right"/>
            </w:pPr>
            <w:r>
              <w:rPr>
                <w:rFonts w:ascii="Times New Roman" w:hAnsi="Times New Roman"/>
                <w:sz w:val="16"/>
              </w:rPr>
              <w:t>−6,6%</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SP</w:t>
            </w:r>
          </w:p>
        </w:tc>
        <w:tc>
          <w:tcPr>
            <w:tcW w:type="dxa" w:w="1879"/>
          </w:tcPr>
          <w:p>
            <w:pPr>
              <w:pStyle w:val="Compact"/>
              <w:spacing w:line="240" w:lineRule="auto" w:before="20" w:after="20"/>
              <w:ind w:firstLine="0"/>
              <w:jc w:val="left"/>
            </w:pPr>
            <w:r>
              <w:rPr>
                <w:rFonts w:ascii="Times New Roman" w:hAnsi="Times New Roman"/>
                <w:sz w:val="16"/>
              </w:rPr>
              <w:t xml:space="preserve">São Paulo</w:t>
            </w:r>
          </w:p>
        </w:tc>
        <w:tc>
          <w:tcPr>
            <w:tcW w:type="dxa" w:w="1360"/>
          </w:tcPr>
          <w:p>
            <w:pPr>
              <w:pStyle w:val="Compact"/>
              <w:spacing w:line="240" w:lineRule="auto" w:before="20" w:after="20"/>
              <w:ind w:firstLine="0"/>
              <w:jc w:val="right"/>
            </w:pPr>
            <w:r>
              <w:rPr>
                <w:rFonts w:ascii="Times New Roman" w:hAnsi="Times New Roman"/>
                <w:sz w:val="16"/>
              </w:rPr>
              <w:t>4,577%</w:t>
            </w:r>
          </w:p>
        </w:tc>
        <w:tc>
          <w:tcPr>
            <w:tcW w:type="dxa" w:w="1101"/>
          </w:tcPr>
          <w:p>
            <w:pPr>
              <w:pStyle w:val="Compact"/>
              <w:spacing w:line="240" w:lineRule="auto" w:before="20" w:after="20"/>
              <w:ind w:firstLine="0"/>
              <w:jc w:val="right"/>
            </w:pPr>
            <w:r>
              <w:rPr>
                <w:rFonts w:ascii="Times New Roman" w:hAnsi="Times New Roman"/>
                <w:sz w:val="16"/>
              </w:rPr>
              <w:t>2,641%</w:t>
            </w:r>
          </w:p>
        </w:tc>
        <w:tc>
          <w:tcPr>
            <w:tcW w:type="dxa" w:w="1749"/>
          </w:tcPr>
          <w:p>
            <w:pPr>
              <w:pStyle w:val="Compact"/>
              <w:spacing w:line="240" w:lineRule="auto" w:before="20" w:after="20"/>
              <w:ind w:firstLine="0"/>
              <w:jc w:val="right"/>
            </w:pPr>
            <w:r>
              <w:rPr>
                <w:rFonts w:ascii="Times New Roman" w:hAnsi="Times New Roman"/>
                <w:sz w:val="16"/>
              </w:rPr>
              <w:t>58,52</w:t>
            </w:r>
          </w:p>
        </w:tc>
        <w:tc>
          <w:tcPr>
            <w:tcW w:type="dxa" w:w="1231"/>
          </w:tcPr>
          <w:p>
            <w:pPr>
              <w:pStyle w:val="Compact"/>
              <w:spacing w:line="240" w:lineRule="auto" w:before="20" w:after="20"/>
              <w:ind w:firstLine="0"/>
              <w:jc w:val="right"/>
            </w:pPr>
            <w:r>
              <w:rPr>
                <w:rFonts w:ascii="Times New Roman" w:hAnsi="Times New Roman"/>
                <w:sz w:val="16"/>
              </w:rPr>
              <w:t>52,26</w:t>
            </w:r>
          </w:p>
        </w:tc>
        <w:tc>
          <w:tcPr>
            <w:tcW w:type="dxa" w:w="1231"/>
          </w:tcPr>
          <w:p>
            <w:pPr>
              <w:pStyle w:val="Compact"/>
              <w:spacing w:line="240" w:lineRule="auto" w:before="20" w:after="20"/>
              <w:ind w:firstLine="0"/>
              <w:jc w:val="right"/>
            </w:pPr>
            <w:r>
              <w:rPr>
                <w:rFonts w:ascii="Times New Roman" w:hAnsi="Times New Roman"/>
                <w:sz w:val="16"/>
              </w:rPr>
              <w:t>−10,7%</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TO</w:t>
            </w:r>
          </w:p>
        </w:tc>
        <w:tc>
          <w:tcPr>
            <w:tcW w:type="dxa" w:w="1879"/>
          </w:tcPr>
          <w:p>
            <w:pPr>
              <w:pStyle w:val="Compact"/>
              <w:spacing w:line="240" w:lineRule="auto" w:before="20" w:after="20"/>
              <w:ind w:firstLine="0"/>
              <w:jc w:val="left"/>
            </w:pPr>
            <w:r>
              <w:rPr>
                <w:rFonts w:ascii="Times New Roman" w:hAnsi="Times New Roman"/>
                <w:sz w:val="16"/>
              </w:rPr>
              <w:t xml:space="preserve">Palmas</w:t>
            </w:r>
          </w:p>
        </w:tc>
        <w:tc>
          <w:tcPr>
            <w:tcW w:type="dxa" w:w="1360"/>
          </w:tcPr>
          <w:p>
            <w:pPr>
              <w:pStyle w:val="Compact"/>
              <w:spacing w:line="240" w:lineRule="auto" w:before="20" w:after="20"/>
              <w:ind w:firstLine="0"/>
              <w:jc w:val="right"/>
            </w:pPr>
            <w:r>
              <w:rPr>
                <w:rFonts w:ascii="Times New Roman" w:hAnsi="Times New Roman"/>
                <w:sz w:val="16"/>
              </w:rPr>
              <w:t xml:space="preserve">0,047%</w:t>
            </w:r>
          </w:p>
        </w:tc>
        <w:tc>
          <w:tcPr>
            <w:tcW w:type="dxa" w:w="1101"/>
          </w:tcPr>
          <w:p>
            <w:pPr>
              <w:pStyle w:val="Compact"/>
              <w:spacing w:line="240" w:lineRule="auto" w:before="20" w:after="20"/>
              <w:ind w:firstLine="0"/>
              <w:jc w:val="right"/>
            </w:pPr>
            <w:r>
              <w:rPr>
                <w:rFonts w:ascii="Times New Roman" w:hAnsi="Times New Roman"/>
                <w:sz w:val="16"/>
              </w:rPr>
              <w:t>0,044%</w:t>
            </w:r>
          </w:p>
        </w:tc>
        <w:tc>
          <w:tcPr>
            <w:tcW w:type="dxa" w:w="1749"/>
          </w:tcPr>
          <w:p>
            <w:pPr>
              <w:pStyle w:val="Compact"/>
              <w:spacing w:line="240" w:lineRule="auto" w:before="20" w:after="20"/>
              <w:ind w:firstLine="0"/>
              <w:jc w:val="right"/>
            </w:pPr>
            <w:r>
              <w:rPr>
                <w:rFonts w:ascii="Times New Roman" w:hAnsi="Times New Roman"/>
                <w:sz w:val="16"/>
              </w:rPr>
              <w:t xml:space="preserve">0,60</w:t>
            </w:r>
          </w:p>
        </w:tc>
        <w:tc>
          <w:tcPr>
            <w:tcW w:type="dxa" w:w="1231"/>
          </w:tcPr>
          <w:p>
            <w:pPr>
              <w:pStyle w:val="Compact"/>
              <w:spacing w:line="240" w:lineRule="auto" w:before="20" w:after="20"/>
              <w:ind w:firstLine="0"/>
              <w:jc w:val="right"/>
            </w:pPr>
            <w:r>
              <w:rPr>
                <w:rFonts w:ascii="Times New Roman" w:hAnsi="Times New Roman"/>
                <w:sz w:val="16"/>
              </w:rPr>
              <w:t>0,56</w:t>
            </w:r>
          </w:p>
        </w:tc>
        <w:tc>
          <w:tcPr>
            <w:tcW w:type="dxa" w:w="1231"/>
          </w:tcPr>
          <w:p>
            <w:pPr>
              <w:pStyle w:val="Compact"/>
              <w:spacing w:line="240" w:lineRule="auto" w:before="20" w:after="20"/>
              <w:ind w:firstLine="0"/>
              <w:jc w:val="right"/>
            </w:pPr>
            <w:r>
              <w:rPr>
                <w:rFonts w:ascii="Times New Roman" w:hAnsi="Times New Roman"/>
                <w:sz w:val="16"/>
              </w:rPr>
              <w:t>−7,1%</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AP</w:t>
            </w:r>
          </w:p>
        </w:tc>
        <w:tc>
          <w:tcPr>
            <w:tcW w:type="dxa" w:w="1879"/>
          </w:tcPr>
          <w:p>
            <w:pPr>
              <w:pStyle w:val="Compact"/>
              <w:spacing w:line="240" w:lineRule="auto" w:before="20" w:after="20"/>
              <w:ind w:firstLine="0"/>
              <w:jc w:val="left"/>
            </w:pPr>
            <w:r>
              <w:rPr>
                <w:rFonts w:ascii="Times New Roman" w:hAnsi="Times New Roman"/>
                <w:sz w:val="16"/>
              </w:rPr>
              <w:t xml:space="preserve">Macapá</w:t>
            </w:r>
          </w:p>
        </w:tc>
        <w:tc>
          <w:tcPr>
            <w:tcW w:type="dxa" w:w="1360"/>
          </w:tcPr>
          <w:p>
            <w:pPr>
              <w:pStyle w:val="Compact"/>
              <w:spacing w:line="240" w:lineRule="auto" w:before="20" w:after="20"/>
              <w:ind w:firstLine="0"/>
              <w:jc w:val="right"/>
            </w:pPr>
            <w:r>
              <w:rPr>
                <w:rFonts w:ascii="Times New Roman" w:hAnsi="Times New Roman"/>
                <w:sz w:val="16"/>
              </w:rPr>
              <w:t xml:space="preserve">0,038%</w:t>
            </w:r>
          </w:p>
        </w:tc>
        <w:tc>
          <w:tcPr>
            <w:tcW w:type="dxa" w:w="1101"/>
          </w:tcPr>
          <w:p>
            <w:pPr>
              <w:pStyle w:val="Compact"/>
              <w:spacing w:line="240" w:lineRule="auto" w:before="20" w:after="20"/>
              <w:ind w:firstLine="0"/>
              <w:jc w:val="right"/>
            </w:pPr>
            <w:r>
              <w:rPr>
                <w:rFonts w:ascii="Times New Roman" w:hAnsi="Times New Roman"/>
                <w:sz w:val="16"/>
              </w:rPr>
              <w:t>0,063%</w:t>
            </w:r>
          </w:p>
        </w:tc>
        <w:tc>
          <w:tcPr>
            <w:tcW w:type="dxa" w:w="1749"/>
          </w:tcPr>
          <w:p>
            <w:pPr>
              <w:pStyle w:val="Compact"/>
              <w:spacing w:line="240" w:lineRule="auto" w:before="20" w:after="20"/>
              <w:ind w:firstLine="0"/>
              <w:jc w:val="right"/>
            </w:pPr>
            <w:r>
              <w:rPr>
                <w:rFonts w:ascii="Times New Roman" w:hAnsi="Times New Roman"/>
                <w:sz w:val="16"/>
              </w:rPr>
              <w:t xml:space="preserve">0,51</w:t>
            </w:r>
          </w:p>
        </w:tc>
        <w:tc>
          <w:tcPr>
            <w:tcW w:type="dxa" w:w="1231"/>
          </w:tcPr>
          <w:p>
            <w:pPr>
              <w:pStyle w:val="Compact"/>
              <w:spacing w:line="240" w:lineRule="auto" w:before="20" w:after="20"/>
              <w:ind w:firstLine="0"/>
              <w:jc w:val="right"/>
            </w:pPr>
            <w:r>
              <w:rPr>
                <w:rFonts w:ascii="Times New Roman" w:hAnsi="Times New Roman"/>
                <w:sz w:val="16"/>
              </w:rPr>
              <w:t>0,49</w:t>
            </w:r>
          </w:p>
        </w:tc>
        <w:tc>
          <w:tcPr>
            <w:tcW w:type="dxa" w:w="1231"/>
          </w:tcPr>
          <w:p>
            <w:pPr>
              <w:pStyle w:val="Compact"/>
              <w:spacing w:line="240" w:lineRule="auto" w:before="20" w:after="20"/>
              <w:ind w:firstLine="0"/>
              <w:jc w:val="right"/>
            </w:pPr>
            <w:r>
              <w:rPr>
                <w:rFonts w:ascii="Times New Roman" w:hAnsi="Times New Roman"/>
                <w:sz w:val="16"/>
              </w:rPr>
              <w:t>−5,6%</w:t>
            </w:r>
          </w:p>
        </w:tc>
      </w:tr>
      <w:tr>
        <w:trPr>
          <w:cantSplit/>
        </w:trPr>
        <w:tc>
          <w:tcPr>
            <w:tcW w:type="dxa" w:w="518"/>
            <w:shd w:val="clear" w:color="auto" w:fill="E7E6E6"/>
          </w:tcPr>
          <w:p>
            <w:pPr>
              <w:pStyle w:val="Compact"/>
              <w:spacing w:line="240" w:lineRule="auto" w:before="20" w:after="20"/>
              <w:ind w:firstLine="0"/>
              <w:jc w:val="left"/>
            </w:pPr>
            <w:r>
              <w:rPr>
                <w:rFonts w:ascii="Times New Roman" w:hAnsi="Times New Roman"/>
                <w:sz w:val="16"/>
              </w:rPr>
            </w:r>
            <w:r>
              <w:rPr>
                <w:rFonts w:ascii="Times New Roman" w:hAnsi="Times New Roman"/>
                <w:b/>
                <w:bCs/>
                <w:sz w:val="16"/>
              </w:rPr>
              <w:t xml:space="preserve">PR</w:t>
            </w:r>
          </w:p>
        </w:tc>
        <w:tc>
          <w:tcPr>
            <w:tcW w:type="dxa" w:w="1879"/>
            <w:shd w:val="clear" w:color="auto" w:fill="E7E6E6"/>
          </w:tcPr>
          <w:p>
            <w:pPr>
              <w:pStyle w:val="Compact"/>
              <w:spacing w:line="240" w:lineRule="auto" w:before="20" w:after="20"/>
              <w:ind w:firstLine="0"/>
              <w:jc w:val="left"/>
            </w:pPr>
            <w:r>
              <w:rPr>
                <w:rFonts w:ascii="Times New Roman" w:hAnsi="Times New Roman"/>
                <w:b/>
                <w:bCs/>
                <w:sz w:val="16"/>
              </w:rPr>
              <w:t xml:space="preserve">Curitiba</w:t>
            </w:r>
          </w:p>
        </w:tc>
        <w:tc>
          <w:tcPr>
            <w:tcW w:type="dxa" w:w="1360"/>
            <w:shd w:val="clear" w:color="auto" w:fill="E7E6E6"/>
          </w:tcPr>
          <w:p>
            <w:pPr>
              <w:pStyle w:val="Compact"/>
              <w:spacing w:line="240" w:lineRule="auto" w:before="20" w:after="20"/>
              <w:ind w:firstLine="0"/>
              <w:jc w:val="right"/>
            </w:pPr>
            <w:r>
              <w:rPr>
                <w:rFonts w:ascii="Times New Roman" w:hAnsi="Times New Roman"/>
                <w:b/>
                <w:bCs/>
                <w:sz w:val="16"/>
              </w:rPr>
              <w:t>0,368%</w:t>
            </w:r>
          </w:p>
        </w:tc>
        <w:tc>
          <w:tcPr>
            <w:tcW w:type="dxa" w:w="1101"/>
            <w:shd w:val="clear" w:color="auto" w:fill="E7E6E6"/>
          </w:tcPr>
          <w:p>
            <w:pPr>
              <w:pStyle w:val="Compact"/>
              <w:spacing w:line="240" w:lineRule="auto" w:before="20" w:after="20"/>
              <w:ind w:firstLine="0"/>
              <w:jc w:val="right"/>
            </w:pPr>
            <w:r>
              <w:rPr>
                <w:rFonts w:ascii="Times New Roman" w:hAnsi="Times New Roman"/>
                <w:b/>
                <w:bCs/>
                <w:sz w:val="16"/>
              </w:rPr>
              <w:t>0,391%</w:t>
            </w:r>
          </w:p>
        </w:tc>
        <w:tc>
          <w:tcPr>
            <w:tcW w:type="dxa" w:w="1749"/>
            <w:shd w:val="clear" w:color="auto" w:fill="E7E6E6"/>
          </w:tcPr>
          <w:p>
            <w:pPr>
              <w:pStyle w:val="Compact"/>
              <w:spacing w:line="240" w:lineRule="auto" w:before="20" w:after="20"/>
              <w:ind w:firstLine="0"/>
              <w:jc w:val="right"/>
            </w:pPr>
            <w:r>
              <w:rPr>
                <w:rFonts w:ascii="Times New Roman" w:hAnsi="Times New Roman"/>
                <w:b/>
                <w:bCs/>
                <w:sz w:val="16"/>
              </w:rPr>
              <w:t xml:space="preserve">4,62</w:t>
            </w:r>
          </w:p>
        </w:tc>
        <w:tc>
          <w:tcPr>
            <w:tcW w:type="dxa" w:w="1231"/>
            <w:shd w:val="clear" w:color="auto" w:fill="E7E6E6"/>
          </w:tcPr>
          <w:p>
            <w:pPr>
              <w:pStyle w:val="Compact"/>
              <w:spacing w:line="240" w:lineRule="auto" w:before="20" w:after="20"/>
              <w:ind w:firstLine="0"/>
              <w:jc w:val="right"/>
            </w:pPr>
            <w:r>
              <w:rPr>
                <w:rFonts w:ascii="Times New Roman" w:hAnsi="Times New Roman"/>
                <w:b/>
                <w:bCs/>
                <w:sz w:val="16"/>
              </w:rPr>
              <w:t>4,35</w:t>
            </w:r>
          </w:p>
        </w:tc>
        <w:tc>
          <w:tcPr>
            <w:tcW w:type="dxa" w:w="1231"/>
            <w:shd w:val="clear" w:color="auto" w:fill="E7E6E6"/>
          </w:tcPr>
          <w:p>
            <w:pPr>
              <w:pStyle w:val="Compact"/>
              <w:spacing w:line="240" w:lineRule="auto" w:before="20" w:after="20"/>
              <w:ind w:firstLine="0"/>
              <w:jc w:val="right"/>
            </w:pPr>
            <w:r>
              <w:rPr>
                <w:rFonts w:ascii="Times New Roman" w:hAnsi="Times New Roman"/>
                <w:b/>
                <w:bCs/>
                <w:sz w:val="16"/>
              </w:rPr>
              <w:t>−6,0%</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MT</w:t>
            </w:r>
          </w:p>
        </w:tc>
        <w:tc>
          <w:tcPr>
            <w:tcW w:type="dxa" w:w="1879"/>
          </w:tcPr>
          <w:p>
            <w:pPr>
              <w:pStyle w:val="Compact"/>
              <w:spacing w:line="240" w:lineRule="auto" w:before="20" w:after="20"/>
              <w:ind w:firstLine="0"/>
              <w:jc w:val="left"/>
            </w:pPr>
            <w:r>
              <w:rPr>
                <w:rFonts w:ascii="Times New Roman" w:hAnsi="Times New Roman"/>
                <w:sz w:val="16"/>
              </w:rPr>
              <w:t xml:space="preserve">Cuiabá</w:t>
            </w:r>
          </w:p>
        </w:tc>
        <w:tc>
          <w:tcPr>
            <w:tcW w:type="dxa" w:w="1360"/>
          </w:tcPr>
          <w:p>
            <w:pPr>
              <w:pStyle w:val="Compact"/>
              <w:spacing w:line="240" w:lineRule="auto" w:before="20" w:after="20"/>
              <w:ind w:firstLine="0"/>
              <w:jc w:val="right"/>
            </w:pPr>
            <w:r>
              <w:rPr>
                <w:rFonts w:ascii="Times New Roman" w:hAnsi="Times New Roman"/>
                <w:sz w:val="16"/>
              </w:rPr>
              <w:t>0,131%</w:t>
            </w:r>
          </w:p>
        </w:tc>
        <w:tc>
          <w:tcPr>
            <w:tcW w:type="dxa" w:w="1101"/>
          </w:tcPr>
          <w:p>
            <w:pPr>
              <w:pStyle w:val="Compact"/>
              <w:spacing w:line="240" w:lineRule="auto" w:before="20" w:after="20"/>
              <w:ind w:firstLine="0"/>
              <w:jc w:val="right"/>
            </w:pPr>
            <w:r>
              <w:rPr>
                <w:rFonts w:ascii="Times New Roman" w:hAnsi="Times New Roman"/>
                <w:sz w:val="16"/>
              </w:rPr>
              <w:t>0,132%</w:t>
            </w:r>
          </w:p>
        </w:tc>
        <w:tc>
          <w:tcPr>
            <w:tcW w:type="dxa" w:w="1749"/>
          </w:tcPr>
          <w:p>
            <w:pPr>
              <w:pStyle w:val="Compact"/>
              <w:spacing w:line="240" w:lineRule="auto" w:before="20" w:after="20"/>
              <w:ind w:firstLine="0"/>
              <w:jc w:val="right"/>
            </w:pPr>
            <w:r>
              <w:rPr>
                <w:rFonts w:ascii="Times New Roman" w:hAnsi="Times New Roman"/>
                <w:sz w:val="16"/>
              </w:rPr>
              <w:t xml:space="preserve">1,61</w:t>
            </w:r>
          </w:p>
        </w:tc>
        <w:tc>
          <w:tcPr>
            <w:tcW w:type="dxa" w:w="1231"/>
          </w:tcPr>
          <w:p>
            <w:pPr>
              <w:pStyle w:val="Compact"/>
              <w:spacing w:line="240" w:lineRule="auto" w:before="20" w:after="20"/>
              <w:ind w:firstLine="0"/>
              <w:jc w:val="right"/>
            </w:pPr>
            <w:r>
              <w:rPr>
                <w:rFonts w:ascii="Times New Roman" w:hAnsi="Times New Roman"/>
                <w:sz w:val="16"/>
              </w:rPr>
              <w:t>1,56</w:t>
            </w:r>
          </w:p>
        </w:tc>
        <w:tc>
          <w:tcPr>
            <w:tcW w:type="dxa" w:w="1231"/>
          </w:tcPr>
          <w:p>
            <w:pPr>
              <w:pStyle w:val="Compact"/>
              <w:spacing w:line="240" w:lineRule="auto" w:before="20" w:after="20"/>
              <w:ind w:firstLine="0"/>
              <w:jc w:val="right"/>
            </w:pPr>
            <w:r>
              <w:rPr>
                <w:rFonts w:ascii="Times New Roman" w:hAnsi="Times New Roman"/>
                <w:sz w:val="16"/>
              </w:rPr>
              <w:t>−3,0%</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MA</w:t>
            </w:r>
          </w:p>
        </w:tc>
        <w:tc>
          <w:tcPr>
            <w:tcW w:type="dxa" w:w="1879"/>
          </w:tcPr>
          <w:p>
            <w:pPr>
              <w:pStyle w:val="Compact"/>
              <w:spacing w:line="240" w:lineRule="auto" w:before="20" w:after="20"/>
              <w:ind w:firstLine="0"/>
              <w:jc w:val="left"/>
            </w:pPr>
            <w:r>
              <w:rPr>
                <w:rFonts w:ascii="Times New Roman" w:hAnsi="Times New Roman"/>
                <w:sz w:val="16"/>
              </w:rPr>
              <w:t xml:space="preserve">São Luís</w:t>
            </w:r>
          </w:p>
        </w:tc>
        <w:tc>
          <w:tcPr>
            <w:tcW w:type="dxa" w:w="1360"/>
          </w:tcPr>
          <w:p>
            <w:pPr>
              <w:pStyle w:val="Compact"/>
              <w:spacing w:line="240" w:lineRule="auto" w:before="20" w:after="20"/>
              <w:ind w:firstLine="0"/>
              <w:jc w:val="right"/>
            </w:pPr>
            <w:r>
              <w:rPr>
                <w:rFonts w:ascii="Times New Roman" w:hAnsi="Times New Roman"/>
                <w:sz w:val="16"/>
              </w:rPr>
              <w:t>0,210%</w:t>
            </w:r>
          </w:p>
        </w:tc>
        <w:tc>
          <w:tcPr>
            <w:tcW w:type="dxa" w:w="1101"/>
          </w:tcPr>
          <w:p>
            <w:pPr>
              <w:pStyle w:val="Compact"/>
              <w:spacing w:line="240" w:lineRule="auto" w:before="20" w:after="20"/>
              <w:ind w:firstLine="0"/>
              <w:jc w:val="right"/>
            </w:pPr>
            <w:r>
              <w:rPr>
                <w:rFonts w:ascii="Times New Roman" w:hAnsi="Times New Roman"/>
                <w:sz w:val="16"/>
              </w:rPr>
              <w:t>0,121%</w:t>
            </w:r>
          </w:p>
        </w:tc>
        <w:tc>
          <w:tcPr>
            <w:tcW w:type="dxa" w:w="1749"/>
          </w:tcPr>
          <w:p>
            <w:pPr>
              <w:pStyle w:val="Compact"/>
              <w:spacing w:line="240" w:lineRule="auto" w:before="20" w:after="20"/>
              <w:ind w:firstLine="0"/>
              <w:jc w:val="right"/>
            </w:pPr>
            <w:r>
              <w:rPr>
                <w:rFonts w:ascii="Times New Roman" w:hAnsi="Times New Roman"/>
                <w:sz w:val="16"/>
              </w:rPr>
              <w:t xml:space="preserve">2,53</w:t>
            </w:r>
          </w:p>
        </w:tc>
        <w:tc>
          <w:tcPr>
            <w:tcW w:type="dxa" w:w="1231"/>
          </w:tcPr>
          <w:p>
            <w:pPr>
              <w:pStyle w:val="Compact"/>
              <w:spacing w:line="240" w:lineRule="auto" w:before="20" w:after="20"/>
              <w:ind w:firstLine="0"/>
              <w:jc w:val="right"/>
            </w:pPr>
            <w:r>
              <w:rPr>
                <w:rFonts w:ascii="Times New Roman" w:hAnsi="Times New Roman"/>
                <w:sz w:val="16"/>
              </w:rPr>
              <w:t>2,39</w:t>
            </w:r>
          </w:p>
        </w:tc>
        <w:tc>
          <w:tcPr>
            <w:tcW w:type="dxa" w:w="1231"/>
          </w:tcPr>
          <w:p>
            <w:pPr>
              <w:pStyle w:val="Compact"/>
              <w:spacing w:line="240" w:lineRule="auto" w:before="20" w:after="20"/>
              <w:ind w:firstLine="0"/>
              <w:jc w:val="right"/>
            </w:pPr>
            <w:r>
              <w:rPr>
                <w:rFonts w:ascii="Times New Roman" w:hAnsi="Times New Roman"/>
                <w:sz w:val="16"/>
              </w:rPr>
              <w:t>−5,5%</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ES</w:t>
            </w:r>
          </w:p>
        </w:tc>
        <w:tc>
          <w:tcPr>
            <w:tcW w:type="dxa" w:w="1879"/>
          </w:tcPr>
          <w:p>
            <w:pPr>
              <w:pStyle w:val="Compact"/>
              <w:spacing w:line="240" w:lineRule="auto" w:before="20" w:after="20"/>
              <w:ind w:firstLine="0"/>
              <w:jc w:val="left"/>
            </w:pPr>
            <w:r>
              <w:rPr>
                <w:rFonts w:ascii="Times New Roman" w:hAnsi="Times New Roman"/>
                <w:sz w:val="16"/>
              </w:rPr>
              <w:t xml:space="preserve">Vitória</w:t>
            </w:r>
          </w:p>
        </w:tc>
        <w:tc>
          <w:tcPr>
            <w:tcW w:type="dxa" w:w="1360"/>
          </w:tcPr>
          <w:p>
            <w:pPr>
              <w:pStyle w:val="Compact"/>
              <w:spacing w:line="240" w:lineRule="auto" w:before="20" w:after="20"/>
              <w:ind w:firstLine="0"/>
              <w:jc w:val="right"/>
            </w:pPr>
            <w:r>
              <w:rPr>
                <w:rFonts w:ascii="Times New Roman" w:hAnsi="Times New Roman"/>
                <w:sz w:val="16"/>
              </w:rPr>
              <w:t xml:space="preserve">0,162%</w:t>
            </w:r>
          </w:p>
        </w:tc>
        <w:tc>
          <w:tcPr>
            <w:tcW w:type="dxa" w:w="1101"/>
          </w:tcPr>
          <w:p>
            <w:pPr>
              <w:pStyle w:val="Compact"/>
              <w:spacing w:line="240" w:lineRule="auto" w:before="20" w:after="20"/>
              <w:ind w:firstLine="0"/>
              <w:jc w:val="right"/>
            </w:pPr>
            <w:r>
              <w:rPr>
                <w:rFonts w:ascii="Times New Roman" w:hAnsi="Times New Roman"/>
                <w:sz w:val="16"/>
              </w:rPr>
              <w:t>0,074%</w:t>
            </w:r>
          </w:p>
        </w:tc>
        <w:tc>
          <w:tcPr>
            <w:tcW w:type="dxa" w:w="1749"/>
          </w:tcPr>
          <w:p>
            <w:pPr>
              <w:pStyle w:val="Compact"/>
              <w:spacing w:line="240" w:lineRule="auto" w:before="20" w:after="20"/>
              <w:ind w:firstLine="0"/>
              <w:jc w:val="right"/>
            </w:pPr>
            <w:r>
              <w:rPr>
                <w:rFonts w:ascii="Times New Roman" w:hAnsi="Times New Roman"/>
                <w:sz w:val="16"/>
              </w:rPr>
              <w:t xml:space="preserve">1,96</w:t>
            </w:r>
          </w:p>
        </w:tc>
        <w:tc>
          <w:tcPr>
            <w:tcW w:type="dxa" w:w="1231"/>
          </w:tcPr>
          <w:p>
            <w:pPr>
              <w:pStyle w:val="Compact"/>
              <w:spacing w:line="240" w:lineRule="auto" w:before="20" w:after="20"/>
              <w:ind w:firstLine="0"/>
              <w:jc w:val="right"/>
            </w:pPr>
            <w:r>
              <w:rPr>
                <w:rFonts w:ascii="Times New Roman" w:hAnsi="Times New Roman"/>
                <w:sz w:val="16"/>
              </w:rPr>
              <w:t>2,04</w:t>
            </w:r>
          </w:p>
        </w:tc>
        <w:tc>
          <w:tcPr>
            <w:tcW w:type="dxa" w:w="1231"/>
          </w:tcPr>
          <w:p>
            <w:pPr>
              <w:pStyle w:val="Compact"/>
              <w:spacing w:line="240" w:lineRule="auto" w:before="20" w:after="20"/>
              <w:ind w:firstLine="0"/>
              <w:jc w:val="right"/>
            </w:pPr>
            <w:r>
              <w:rPr>
                <w:rFonts w:ascii="Times New Roman" w:hAnsi="Times New Roman"/>
                <w:sz w:val="16"/>
              </w:rPr>
              <w:t>+3,9%</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MG</w:t>
            </w:r>
          </w:p>
        </w:tc>
        <w:tc>
          <w:tcPr>
            <w:tcW w:type="dxa" w:w="1879"/>
          </w:tcPr>
          <w:p>
            <w:pPr>
              <w:pStyle w:val="Compact"/>
              <w:spacing w:line="240" w:lineRule="auto" w:before="20" w:after="20"/>
              <w:ind w:firstLine="0"/>
              <w:jc w:val="left"/>
            </w:pPr>
            <w:r>
              <w:rPr>
                <w:rFonts w:ascii="Times New Roman" w:hAnsi="Times New Roman"/>
                <w:sz w:val="16"/>
              </w:rPr>
              <w:t xml:space="preserve">Belo Horizonte</w:t>
            </w:r>
          </w:p>
        </w:tc>
        <w:tc>
          <w:tcPr>
            <w:tcW w:type="dxa" w:w="1360"/>
          </w:tcPr>
          <w:p>
            <w:pPr>
              <w:pStyle w:val="Compact"/>
              <w:spacing w:line="240" w:lineRule="auto" w:before="20" w:after="20"/>
              <w:ind w:firstLine="0"/>
              <w:jc w:val="right"/>
            </w:pPr>
            <w:r>
              <w:rPr>
                <w:rFonts w:ascii="Times New Roman" w:hAnsi="Times New Roman"/>
                <w:sz w:val="16"/>
              </w:rPr>
              <w:t>0,432%</w:t>
            </w:r>
          </w:p>
        </w:tc>
        <w:tc>
          <w:tcPr>
            <w:tcW w:type="dxa" w:w="1101"/>
          </w:tcPr>
          <w:p>
            <w:pPr>
              <w:pStyle w:val="Compact"/>
              <w:spacing w:line="240" w:lineRule="auto" w:before="20" w:after="20"/>
              <w:ind w:firstLine="0"/>
              <w:jc w:val="right"/>
            </w:pPr>
            <w:r>
              <w:rPr>
                <w:rFonts w:ascii="Times New Roman" w:hAnsi="Times New Roman"/>
                <w:sz w:val="16"/>
              </w:rPr>
              <w:t>0,475%</w:t>
            </w:r>
          </w:p>
        </w:tc>
        <w:tc>
          <w:tcPr>
            <w:tcW w:type="dxa" w:w="1749"/>
          </w:tcPr>
          <w:p>
            <w:pPr>
              <w:pStyle w:val="Compact"/>
              <w:spacing w:line="240" w:lineRule="auto" w:before="20" w:after="20"/>
              <w:ind w:firstLine="0"/>
              <w:jc w:val="right"/>
            </w:pPr>
            <w:r>
              <w:rPr>
                <w:rFonts w:ascii="Times New Roman" w:hAnsi="Times New Roman"/>
                <w:sz w:val="16"/>
              </w:rPr>
              <w:t xml:space="preserve">5,38</w:t>
            </w:r>
          </w:p>
        </w:tc>
        <w:tc>
          <w:tcPr>
            <w:tcW w:type="dxa" w:w="1231"/>
          </w:tcPr>
          <w:p>
            <w:pPr>
              <w:pStyle w:val="Compact"/>
              <w:spacing w:line="240" w:lineRule="auto" w:before="20" w:after="20"/>
              <w:ind w:firstLine="0"/>
              <w:jc w:val="right"/>
            </w:pPr>
            <w:r>
              <w:rPr>
                <w:rFonts w:ascii="Times New Roman" w:hAnsi="Times New Roman"/>
                <w:sz w:val="16"/>
              </w:rPr>
              <w:t>5,18</w:t>
            </w:r>
          </w:p>
        </w:tc>
        <w:tc>
          <w:tcPr>
            <w:tcW w:type="dxa" w:w="1231"/>
          </w:tcPr>
          <w:p>
            <w:pPr>
              <w:pStyle w:val="Compact"/>
              <w:spacing w:line="240" w:lineRule="auto" w:before="20" w:after="20"/>
              <w:ind w:firstLine="0"/>
              <w:jc w:val="right"/>
            </w:pPr>
            <w:r>
              <w:rPr>
                <w:rFonts w:ascii="Times New Roman" w:hAnsi="Times New Roman"/>
                <w:sz w:val="16"/>
              </w:rPr>
              <w:t>−3,6%</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AL</w:t>
            </w:r>
          </w:p>
        </w:tc>
        <w:tc>
          <w:tcPr>
            <w:tcW w:type="dxa" w:w="1879"/>
          </w:tcPr>
          <w:p>
            <w:pPr>
              <w:pStyle w:val="Compact"/>
              <w:spacing w:line="240" w:lineRule="auto" w:before="20" w:after="20"/>
              <w:ind w:firstLine="0"/>
              <w:jc w:val="left"/>
            </w:pPr>
            <w:r>
              <w:rPr>
                <w:rFonts w:ascii="Times New Roman" w:hAnsi="Times New Roman"/>
                <w:sz w:val="16"/>
              </w:rPr>
              <w:t xml:space="preserve">Maceió</w:t>
            </w:r>
          </w:p>
        </w:tc>
        <w:tc>
          <w:tcPr>
            <w:tcW w:type="dxa" w:w="1360"/>
          </w:tcPr>
          <w:p>
            <w:pPr>
              <w:pStyle w:val="Compact"/>
              <w:spacing w:line="240" w:lineRule="auto" w:before="20" w:after="20"/>
              <w:ind w:firstLine="0"/>
              <w:jc w:val="right"/>
            </w:pPr>
            <w:r>
              <w:rPr>
                <w:rFonts w:ascii="Times New Roman" w:hAnsi="Times New Roman"/>
                <w:sz w:val="16"/>
              </w:rPr>
              <w:t xml:space="preserve">0,096%</w:t>
            </w:r>
          </w:p>
        </w:tc>
        <w:tc>
          <w:tcPr>
            <w:tcW w:type="dxa" w:w="1101"/>
          </w:tcPr>
          <w:p>
            <w:pPr>
              <w:pStyle w:val="Compact"/>
              <w:spacing w:line="240" w:lineRule="auto" w:before="20" w:after="20"/>
              <w:ind w:firstLine="0"/>
              <w:jc w:val="right"/>
            </w:pPr>
            <w:r>
              <w:rPr>
                <w:rFonts w:ascii="Times New Roman" w:hAnsi="Times New Roman"/>
                <w:sz w:val="16"/>
              </w:rPr>
              <w:t>0,111%</w:t>
            </w:r>
          </w:p>
        </w:tc>
        <w:tc>
          <w:tcPr>
            <w:tcW w:type="dxa" w:w="1749"/>
          </w:tcPr>
          <w:p>
            <w:pPr>
              <w:pStyle w:val="Compact"/>
              <w:spacing w:line="240" w:lineRule="auto" w:before="20" w:after="20"/>
              <w:ind w:firstLine="0"/>
              <w:jc w:val="right"/>
            </w:pPr>
            <w:r>
              <w:rPr>
                <w:rFonts w:ascii="Times New Roman" w:hAnsi="Times New Roman"/>
                <w:sz w:val="16"/>
              </w:rPr>
              <w:t xml:space="preserve">1,17</w:t>
            </w:r>
          </w:p>
        </w:tc>
        <w:tc>
          <w:tcPr>
            <w:tcW w:type="dxa" w:w="1231"/>
          </w:tcPr>
          <w:p>
            <w:pPr>
              <w:pStyle w:val="Compact"/>
              <w:spacing w:line="240" w:lineRule="auto" w:before="20" w:after="20"/>
              <w:ind w:firstLine="0"/>
              <w:jc w:val="right"/>
            </w:pPr>
            <w:r>
              <w:rPr>
                <w:rFonts w:ascii="Times New Roman" w:hAnsi="Times New Roman"/>
                <w:sz w:val="16"/>
              </w:rPr>
              <w:t>1,16</w:t>
            </w:r>
          </w:p>
        </w:tc>
        <w:tc>
          <w:tcPr>
            <w:tcW w:type="dxa" w:w="1231"/>
          </w:tcPr>
          <w:p>
            <w:pPr>
              <w:pStyle w:val="Compact"/>
              <w:spacing w:line="240" w:lineRule="auto" w:before="20" w:after="20"/>
              <w:ind w:firstLine="0"/>
              <w:jc w:val="right"/>
            </w:pPr>
            <w:r>
              <w:rPr>
                <w:rFonts w:ascii="Times New Roman" w:hAnsi="Times New Roman"/>
                <w:sz w:val="16"/>
              </w:rPr>
              <w:t>−1,2%</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GO</w:t>
            </w:r>
          </w:p>
        </w:tc>
        <w:tc>
          <w:tcPr>
            <w:tcW w:type="dxa" w:w="1879"/>
          </w:tcPr>
          <w:p>
            <w:pPr>
              <w:pStyle w:val="Compact"/>
              <w:spacing w:line="240" w:lineRule="auto" w:before="20" w:after="20"/>
              <w:ind w:firstLine="0"/>
              <w:jc w:val="left"/>
            </w:pPr>
            <w:r>
              <w:rPr>
                <w:rFonts w:ascii="Times New Roman" w:hAnsi="Times New Roman"/>
                <w:sz w:val="16"/>
              </w:rPr>
              <w:t xml:space="preserve">Goiânia</w:t>
            </w:r>
          </w:p>
        </w:tc>
        <w:tc>
          <w:tcPr>
            <w:tcW w:type="dxa" w:w="1360"/>
          </w:tcPr>
          <w:p>
            <w:pPr>
              <w:pStyle w:val="Compact"/>
              <w:spacing w:line="240" w:lineRule="auto" w:before="20" w:after="20"/>
              <w:ind w:firstLine="0"/>
              <w:jc w:val="right"/>
            </w:pPr>
            <w:r>
              <w:rPr>
                <w:rFonts w:ascii="Times New Roman" w:hAnsi="Times New Roman"/>
                <w:sz w:val="16"/>
              </w:rPr>
              <w:t>0,238%</w:t>
            </w:r>
          </w:p>
        </w:tc>
        <w:tc>
          <w:tcPr>
            <w:tcW w:type="dxa" w:w="1101"/>
          </w:tcPr>
          <w:p>
            <w:pPr>
              <w:pStyle w:val="Compact"/>
              <w:spacing w:line="240" w:lineRule="auto" w:before="20" w:after="20"/>
              <w:ind w:firstLine="0"/>
              <w:jc w:val="right"/>
            </w:pPr>
            <w:r>
              <w:rPr>
                <w:rFonts w:ascii="Times New Roman" w:hAnsi="Times New Roman"/>
                <w:sz w:val="16"/>
              </w:rPr>
              <w:t>0,285%</w:t>
            </w:r>
          </w:p>
        </w:tc>
        <w:tc>
          <w:tcPr>
            <w:tcW w:type="dxa" w:w="1749"/>
          </w:tcPr>
          <w:p>
            <w:pPr>
              <w:pStyle w:val="Compact"/>
              <w:spacing w:line="240" w:lineRule="auto" w:before="20" w:after="20"/>
              <w:ind w:firstLine="0"/>
              <w:jc w:val="right"/>
            </w:pPr>
            <w:r>
              <w:rPr>
                <w:rFonts w:ascii="Times New Roman" w:hAnsi="Times New Roman"/>
                <w:sz w:val="16"/>
              </w:rPr>
              <w:t xml:space="preserve">2,96</w:t>
            </w:r>
          </w:p>
        </w:tc>
        <w:tc>
          <w:tcPr>
            <w:tcW w:type="dxa" w:w="1231"/>
          </w:tcPr>
          <w:p>
            <w:pPr>
              <w:pStyle w:val="Compact"/>
              <w:spacing w:line="240" w:lineRule="auto" w:before="20" w:after="20"/>
              <w:ind w:firstLine="0"/>
              <w:jc w:val="right"/>
            </w:pPr>
            <w:r>
              <w:rPr>
                <w:rFonts w:ascii="Times New Roman" w:hAnsi="Times New Roman"/>
                <w:sz w:val="16"/>
              </w:rPr>
              <w:t>2,89</w:t>
            </w:r>
          </w:p>
        </w:tc>
        <w:tc>
          <w:tcPr>
            <w:tcW w:type="dxa" w:w="1231"/>
          </w:tcPr>
          <w:p>
            <w:pPr>
              <w:pStyle w:val="Compact"/>
              <w:spacing w:line="240" w:lineRule="auto" w:before="20" w:after="20"/>
              <w:ind w:firstLine="0"/>
              <w:jc w:val="right"/>
            </w:pPr>
            <w:r>
              <w:rPr>
                <w:rFonts w:ascii="Times New Roman" w:hAnsi="Times New Roman"/>
                <w:sz w:val="16"/>
              </w:rPr>
              <w:t>−2,5%</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BA</w:t>
            </w:r>
          </w:p>
        </w:tc>
        <w:tc>
          <w:tcPr>
            <w:tcW w:type="dxa" w:w="1879"/>
          </w:tcPr>
          <w:p>
            <w:pPr>
              <w:pStyle w:val="Compact"/>
              <w:spacing w:line="240" w:lineRule="auto" w:before="20" w:after="20"/>
              <w:ind w:firstLine="0"/>
              <w:jc w:val="left"/>
            </w:pPr>
            <w:r>
              <w:rPr>
                <w:rFonts w:ascii="Times New Roman" w:hAnsi="Times New Roman"/>
                <w:sz w:val="16"/>
              </w:rPr>
              <w:t xml:space="preserve">Salvador</w:t>
            </w:r>
          </w:p>
        </w:tc>
        <w:tc>
          <w:tcPr>
            <w:tcW w:type="dxa" w:w="1360"/>
          </w:tcPr>
          <w:p>
            <w:pPr>
              <w:pStyle w:val="Compact"/>
              <w:spacing w:line="240" w:lineRule="auto" w:before="20" w:after="20"/>
              <w:ind w:firstLine="0"/>
              <w:jc w:val="right"/>
            </w:pPr>
            <w:r>
              <w:rPr>
                <w:rFonts w:ascii="Times New Roman" w:hAnsi="Times New Roman"/>
                <w:sz w:val="16"/>
              </w:rPr>
              <w:t>0,320%</w:t>
            </w:r>
          </w:p>
        </w:tc>
        <w:tc>
          <w:tcPr>
            <w:tcW w:type="dxa" w:w="1101"/>
          </w:tcPr>
          <w:p>
            <w:pPr>
              <w:pStyle w:val="Compact"/>
              <w:spacing w:line="240" w:lineRule="auto" w:before="20" w:after="20"/>
              <w:ind w:firstLine="0"/>
              <w:jc w:val="right"/>
            </w:pPr>
            <w:r>
              <w:rPr>
                <w:rFonts w:ascii="Times New Roman" w:hAnsi="Times New Roman"/>
                <w:sz w:val="16"/>
              </w:rPr>
              <w:t>0,382%</w:t>
            </w:r>
          </w:p>
        </w:tc>
        <w:tc>
          <w:tcPr>
            <w:tcW w:type="dxa" w:w="1749"/>
          </w:tcPr>
          <w:p>
            <w:pPr>
              <w:pStyle w:val="Compact"/>
              <w:spacing w:line="240" w:lineRule="auto" w:before="20" w:after="20"/>
              <w:ind w:firstLine="0"/>
              <w:jc w:val="right"/>
            </w:pPr>
            <w:r>
              <w:rPr>
                <w:rFonts w:ascii="Times New Roman" w:hAnsi="Times New Roman"/>
                <w:sz w:val="16"/>
              </w:rPr>
              <w:t xml:space="preserve">3,99</w:t>
            </w:r>
          </w:p>
        </w:tc>
        <w:tc>
          <w:tcPr>
            <w:tcW w:type="dxa" w:w="1231"/>
          </w:tcPr>
          <w:p>
            <w:pPr>
              <w:pStyle w:val="Compact"/>
              <w:spacing w:line="240" w:lineRule="auto" w:before="20" w:after="20"/>
              <w:ind w:firstLine="0"/>
              <w:jc w:val="right"/>
            </w:pPr>
            <w:r>
              <w:rPr>
                <w:rFonts w:ascii="Times New Roman" w:hAnsi="Times New Roman"/>
                <w:sz w:val="16"/>
              </w:rPr>
              <w:t>3,88</w:t>
            </w:r>
          </w:p>
        </w:tc>
        <w:tc>
          <w:tcPr>
            <w:tcW w:type="dxa" w:w="1231"/>
          </w:tcPr>
          <w:p>
            <w:pPr>
              <w:pStyle w:val="Compact"/>
              <w:spacing w:line="240" w:lineRule="auto" w:before="20" w:after="20"/>
              <w:ind w:firstLine="0"/>
              <w:jc w:val="right"/>
            </w:pPr>
            <w:r>
              <w:rPr>
                <w:rFonts w:ascii="Times New Roman" w:hAnsi="Times New Roman"/>
                <w:sz w:val="16"/>
              </w:rPr>
              <w:t>−2,7%</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AC</w:t>
            </w:r>
          </w:p>
        </w:tc>
        <w:tc>
          <w:tcPr>
            <w:tcW w:type="dxa" w:w="1879"/>
          </w:tcPr>
          <w:p>
            <w:pPr>
              <w:pStyle w:val="Compact"/>
              <w:spacing w:line="240" w:lineRule="auto" w:before="20" w:after="20"/>
              <w:ind w:firstLine="0"/>
              <w:jc w:val="left"/>
            </w:pPr>
            <w:r>
              <w:rPr>
                <w:rFonts w:ascii="Times New Roman" w:hAnsi="Times New Roman"/>
                <w:sz w:val="16"/>
              </w:rPr>
              <w:t xml:space="preserve">Rio Branco</w:t>
            </w:r>
          </w:p>
        </w:tc>
        <w:tc>
          <w:tcPr>
            <w:tcW w:type="dxa" w:w="1360"/>
          </w:tcPr>
          <w:p>
            <w:pPr>
              <w:pStyle w:val="Compact"/>
              <w:spacing w:line="240" w:lineRule="auto" w:before="20" w:after="20"/>
              <w:ind w:firstLine="0"/>
              <w:jc w:val="right"/>
            </w:pPr>
            <w:r>
              <w:rPr>
                <w:rFonts w:ascii="Times New Roman" w:hAnsi="Times New Roman"/>
                <w:sz w:val="16"/>
              </w:rPr>
              <w:t xml:space="preserve">0,041%</w:t>
            </w:r>
          </w:p>
        </w:tc>
        <w:tc>
          <w:tcPr>
            <w:tcW w:type="dxa" w:w="1101"/>
          </w:tcPr>
          <w:p>
            <w:pPr>
              <w:pStyle w:val="Compact"/>
              <w:spacing w:line="240" w:lineRule="auto" w:before="20" w:after="20"/>
              <w:ind w:firstLine="0"/>
              <w:jc w:val="right"/>
            </w:pPr>
            <w:r>
              <w:rPr>
                <w:rFonts w:ascii="Times New Roman" w:hAnsi="Times New Roman"/>
                <w:sz w:val="16"/>
              </w:rPr>
              <w:t>0,052%</w:t>
            </w:r>
          </w:p>
        </w:tc>
        <w:tc>
          <w:tcPr>
            <w:tcW w:type="dxa" w:w="1749"/>
          </w:tcPr>
          <w:p>
            <w:pPr>
              <w:pStyle w:val="Compact"/>
              <w:spacing w:line="240" w:lineRule="auto" w:before="20" w:after="20"/>
              <w:ind w:firstLine="0"/>
              <w:jc w:val="right"/>
            </w:pPr>
            <w:r>
              <w:rPr>
                <w:rFonts w:ascii="Times New Roman" w:hAnsi="Times New Roman"/>
                <w:sz w:val="16"/>
              </w:rPr>
              <w:t xml:space="preserve">0,50</w:t>
            </w:r>
          </w:p>
        </w:tc>
        <w:tc>
          <w:tcPr>
            <w:tcW w:type="dxa" w:w="1231"/>
          </w:tcPr>
          <w:p>
            <w:pPr>
              <w:pStyle w:val="Compact"/>
              <w:spacing w:line="240" w:lineRule="auto" w:before="20" w:after="20"/>
              <w:ind w:firstLine="0"/>
              <w:jc w:val="right"/>
            </w:pPr>
            <w:r>
              <w:rPr>
                <w:rFonts w:ascii="Times New Roman" w:hAnsi="Times New Roman"/>
                <w:sz w:val="16"/>
              </w:rPr>
              <w:t xml:space="preserve">0,50</w:t>
            </w:r>
          </w:p>
        </w:tc>
        <w:tc>
          <w:tcPr>
            <w:tcW w:type="dxa" w:w="1231"/>
          </w:tcPr>
          <w:p>
            <w:pPr>
              <w:pStyle w:val="Compact"/>
              <w:spacing w:line="240" w:lineRule="auto" w:before="20" w:after="20"/>
              <w:ind w:firstLine="0"/>
              <w:jc w:val="right"/>
            </w:pPr>
            <w:r>
              <w:rPr>
                <w:rFonts w:ascii="Times New Roman" w:hAnsi="Times New Roman"/>
                <w:sz w:val="16"/>
              </w:rPr>
              <w:t>+0,2%</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SE</w:t>
            </w:r>
          </w:p>
        </w:tc>
        <w:tc>
          <w:tcPr>
            <w:tcW w:type="dxa" w:w="1879"/>
          </w:tcPr>
          <w:p>
            <w:pPr>
              <w:pStyle w:val="Compact"/>
              <w:spacing w:line="240" w:lineRule="auto" w:before="20" w:after="20"/>
              <w:ind w:firstLine="0"/>
              <w:jc w:val="left"/>
            </w:pPr>
            <w:r>
              <w:rPr>
                <w:rFonts w:ascii="Times New Roman" w:hAnsi="Times New Roman"/>
                <w:sz w:val="16"/>
              </w:rPr>
              <w:t xml:space="preserve">Aracaju</w:t>
            </w:r>
          </w:p>
        </w:tc>
        <w:tc>
          <w:tcPr>
            <w:tcW w:type="dxa" w:w="1360"/>
          </w:tcPr>
          <w:p>
            <w:pPr>
              <w:pStyle w:val="Compact"/>
              <w:spacing w:line="240" w:lineRule="auto" w:before="20" w:after="20"/>
              <w:ind w:firstLine="0"/>
              <w:jc w:val="right"/>
            </w:pPr>
            <w:r>
              <w:rPr>
                <w:rFonts w:ascii="Times New Roman" w:hAnsi="Times New Roman"/>
                <w:sz w:val="16"/>
              </w:rPr>
              <w:t xml:space="preserve">0,090%</w:t>
            </w:r>
          </w:p>
        </w:tc>
        <w:tc>
          <w:tcPr>
            <w:tcW w:type="dxa" w:w="1101"/>
          </w:tcPr>
          <w:p>
            <w:pPr>
              <w:pStyle w:val="Compact"/>
              <w:spacing w:line="240" w:lineRule="auto" w:before="20" w:after="20"/>
              <w:ind w:firstLine="0"/>
              <w:jc w:val="right"/>
            </w:pPr>
            <w:r>
              <w:rPr>
                <w:rFonts w:ascii="Times New Roman" w:hAnsi="Times New Roman"/>
                <w:sz w:val="16"/>
              </w:rPr>
              <w:t>0,108%</w:t>
            </w:r>
          </w:p>
        </w:tc>
        <w:tc>
          <w:tcPr>
            <w:tcW w:type="dxa" w:w="1749"/>
          </w:tcPr>
          <w:p>
            <w:pPr>
              <w:pStyle w:val="Compact"/>
              <w:spacing w:line="240" w:lineRule="auto" w:before="20" w:after="20"/>
              <w:ind w:firstLine="0"/>
              <w:jc w:val="right"/>
            </w:pPr>
            <w:r>
              <w:rPr>
                <w:rFonts w:ascii="Times New Roman" w:hAnsi="Times New Roman"/>
                <w:sz w:val="16"/>
              </w:rPr>
              <w:t xml:space="preserve">1,09</w:t>
            </w:r>
          </w:p>
        </w:tc>
        <w:tc>
          <w:tcPr>
            <w:tcW w:type="dxa" w:w="1231"/>
          </w:tcPr>
          <w:p>
            <w:pPr>
              <w:pStyle w:val="Compact"/>
              <w:spacing w:line="240" w:lineRule="auto" w:before="20" w:after="20"/>
              <w:ind w:firstLine="0"/>
              <w:jc w:val="right"/>
            </w:pPr>
            <w:r>
              <w:rPr>
                <w:rFonts w:ascii="Times New Roman" w:hAnsi="Times New Roman"/>
                <w:sz w:val="16"/>
              </w:rPr>
              <w:t>1,09</w:t>
            </w:r>
          </w:p>
        </w:tc>
        <w:tc>
          <w:tcPr>
            <w:tcW w:type="dxa" w:w="1231"/>
          </w:tcPr>
          <w:p>
            <w:pPr>
              <w:pStyle w:val="Compact"/>
              <w:spacing w:line="240" w:lineRule="auto" w:before="20" w:after="20"/>
              <w:ind w:firstLine="0"/>
              <w:jc w:val="right"/>
            </w:pPr>
            <w:r>
              <w:rPr>
                <w:rFonts w:ascii="Times New Roman" w:hAnsi="Times New Roman"/>
                <w:sz w:val="16"/>
              </w:rPr>
              <w:t>+0,1%</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PE</w:t>
            </w:r>
          </w:p>
        </w:tc>
        <w:tc>
          <w:tcPr>
            <w:tcW w:type="dxa" w:w="1879"/>
          </w:tcPr>
          <w:p>
            <w:pPr>
              <w:pStyle w:val="Compact"/>
              <w:spacing w:line="240" w:lineRule="auto" w:before="20" w:after="20"/>
              <w:ind w:firstLine="0"/>
              <w:jc w:val="left"/>
            </w:pPr>
            <w:r>
              <w:rPr>
                <w:rFonts w:ascii="Times New Roman" w:hAnsi="Times New Roman"/>
                <w:sz w:val="16"/>
              </w:rPr>
              <w:t xml:space="preserve">Recife</w:t>
            </w:r>
          </w:p>
        </w:tc>
        <w:tc>
          <w:tcPr>
            <w:tcW w:type="dxa" w:w="1360"/>
          </w:tcPr>
          <w:p>
            <w:pPr>
              <w:pStyle w:val="Compact"/>
              <w:spacing w:line="240" w:lineRule="auto" w:before="20" w:after="20"/>
              <w:ind w:firstLine="0"/>
              <w:jc w:val="right"/>
            </w:pPr>
            <w:r>
              <w:rPr>
                <w:rFonts w:ascii="Times New Roman" w:hAnsi="Times New Roman"/>
                <w:sz w:val="16"/>
              </w:rPr>
              <w:t>0,275%</w:t>
            </w:r>
          </w:p>
        </w:tc>
        <w:tc>
          <w:tcPr>
            <w:tcW w:type="dxa" w:w="1101"/>
          </w:tcPr>
          <w:p>
            <w:pPr>
              <w:pStyle w:val="Compact"/>
              <w:spacing w:line="240" w:lineRule="auto" w:before="20" w:after="20"/>
              <w:ind w:firstLine="0"/>
              <w:jc w:val="right"/>
            </w:pPr>
            <w:r>
              <w:rPr>
                <w:rFonts w:ascii="Times New Roman" w:hAnsi="Times New Roman"/>
                <w:sz w:val="16"/>
              </w:rPr>
              <w:t>0,236%</w:t>
            </w:r>
          </w:p>
        </w:tc>
        <w:tc>
          <w:tcPr>
            <w:tcW w:type="dxa" w:w="1749"/>
          </w:tcPr>
          <w:p>
            <w:pPr>
              <w:pStyle w:val="Compact"/>
              <w:spacing w:line="240" w:lineRule="auto" w:before="20" w:after="20"/>
              <w:ind w:firstLine="0"/>
              <w:jc w:val="right"/>
            </w:pPr>
            <w:r>
              <w:rPr>
                <w:rFonts w:ascii="Times New Roman" w:hAnsi="Times New Roman"/>
                <w:sz w:val="16"/>
              </w:rPr>
              <w:t xml:space="preserve">3,22</w:t>
            </w:r>
          </w:p>
        </w:tc>
        <w:tc>
          <w:tcPr>
            <w:tcW w:type="dxa" w:w="1231"/>
          </w:tcPr>
          <w:p>
            <w:pPr>
              <w:pStyle w:val="Compact"/>
              <w:spacing w:line="240" w:lineRule="auto" w:before="20" w:after="20"/>
              <w:ind w:firstLine="0"/>
              <w:jc w:val="right"/>
            </w:pPr>
            <w:r>
              <w:rPr>
                <w:rFonts w:ascii="Times New Roman" w:hAnsi="Times New Roman"/>
                <w:sz w:val="16"/>
              </w:rPr>
              <w:t>3,23</w:t>
            </w:r>
          </w:p>
        </w:tc>
        <w:tc>
          <w:tcPr>
            <w:tcW w:type="dxa" w:w="1231"/>
          </w:tcPr>
          <w:p>
            <w:pPr>
              <w:pStyle w:val="Compact"/>
              <w:spacing w:line="240" w:lineRule="auto" w:before="20" w:after="20"/>
              <w:ind w:firstLine="0"/>
              <w:jc w:val="right"/>
            </w:pPr>
            <w:r>
              <w:rPr>
                <w:rFonts w:ascii="Times New Roman" w:hAnsi="Times New Roman"/>
                <w:sz w:val="16"/>
              </w:rPr>
              <w:t>+0,4%</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CE</w:t>
            </w:r>
          </w:p>
        </w:tc>
        <w:tc>
          <w:tcPr>
            <w:tcW w:type="dxa" w:w="1879"/>
          </w:tcPr>
          <w:p>
            <w:pPr>
              <w:pStyle w:val="Compact"/>
              <w:spacing w:line="240" w:lineRule="auto" w:before="20" w:after="20"/>
              <w:ind w:firstLine="0"/>
              <w:jc w:val="left"/>
            </w:pPr>
            <w:r>
              <w:rPr>
                <w:rFonts w:ascii="Times New Roman" w:hAnsi="Times New Roman"/>
                <w:sz w:val="16"/>
              </w:rPr>
              <w:t xml:space="preserve">Fortaleza</w:t>
            </w:r>
          </w:p>
        </w:tc>
        <w:tc>
          <w:tcPr>
            <w:tcW w:type="dxa" w:w="1360"/>
          </w:tcPr>
          <w:p>
            <w:pPr>
              <w:pStyle w:val="Compact"/>
              <w:spacing w:line="240" w:lineRule="auto" w:before="20" w:after="20"/>
              <w:ind w:firstLine="0"/>
              <w:jc w:val="right"/>
            </w:pPr>
            <w:r>
              <w:rPr>
                <w:rFonts w:ascii="Times New Roman" w:hAnsi="Times New Roman"/>
                <w:sz w:val="16"/>
              </w:rPr>
              <w:t>0,312%</w:t>
            </w:r>
          </w:p>
        </w:tc>
        <w:tc>
          <w:tcPr>
            <w:tcW w:type="dxa" w:w="1101"/>
          </w:tcPr>
          <w:p>
            <w:pPr>
              <w:pStyle w:val="Compact"/>
              <w:spacing w:line="240" w:lineRule="auto" w:before="20" w:after="20"/>
              <w:ind w:firstLine="0"/>
              <w:jc w:val="right"/>
            </w:pPr>
            <w:r>
              <w:rPr>
                <w:rFonts w:ascii="Times New Roman" w:hAnsi="Times New Roman"/>
                <w:sz w:val="16"/>
              </w:rPr>
              <w:t>0,296%</w:t>
            </w:r>
          </w:p>
        </w:tc>
        <w:tc>
          <w:tcPr>
            <w:tcW w:type="dxa" w:w="1749"/>
          </w:tcPr>
          <w:p>
            <w:pPr>
              <w:pStyle w:val="Compact"/>
              <w:spacing w:line="240" w:lineRule="auto" w:before="20" w:after="20"/>
              <w:ind w:firstLine="0"/>
              <w:jc w:val="right"/>
            </w:pPr>
            <w:r>
              <w:rPr>
                <w:rFonts w:ascii="Times New Roman" w:hAnsi="Times New Roman"/>
                <w:sz w:val="16"/>
              </w:rPr>
              <w:t xml:space="preserve">3,65</w:t>
            </w:r>
          </w:p>
        </w:tc>
        <w:tc>
          <w:tcPr>
            <w:tcW w:type="dxa" w:w="1231"/>
          </w:tcPr>
          <w:p>
            <w:pPr>
              <w:pStyle w:val="Compact"/>
              <w:spacing w:line="240" w:lineRule="auto" w:before="20" w:after="20"/>
              <w:ind w:firstLine="0"/>
              <w:jc w:val="right"/>
            </w:pPr>
            <w:r>
              <w:rPr>
                <w:rFonts w:ascii="Times New Roman" w:hAnsi="Times New Roman"/>
                <w:sz w:val="16"/>
              </w:rPr>
              <w:t>3,70</w:t>
            </w:r>
          </w:p>
        </w:tc>
        <w:tc>
          <w:tcPr>
            <w:tcW w:type="dxa" w:w="1231"/>
          </w:tcPr>
          <w:p>
            <w:pPr>
              <w:pStyle w:val="Compact"/>
              <w:spacing w:line="240" w:lineRule="auto" w:before="20" w:after="20"/>
              <w:ind w:firstLine="0"/>
              <w:jc w:val="right"/>
            </w:pPr>
            <w:r>
              <w:rPr>
                <w:rFonts w:ascii="Times New Roman" w:hAnsi="Times New Roman"/>
                <w:sz w:val="16"/>
              </w:rPr>
              <w:t>+1,2%</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RJ</w:t>
            </w:r>
          </w:p>
        </w:tc>
        <w:tc>
          <w:tcPr>
            <w:tcW w:type="dxa" w:w="1879"/>
          </w:tcPr>
          <w:p>
            <w:pPr>
              <w:pStyle w:val="Compact"/>
              <w:spacing w:line="240" w:lineRule="auto" w:before="20" w:after="20"/>
              <w:ind w:firstLine="0"/>
              <w:jc w:val="left"/>
            </w:pPr>
            <w:r>
              <w:rPr>
                <w:rFonts w:ascii="Times New Roman" w:hAnsi="Times New Roman"/>
                <w:sz w:val="16"/>
              </w:rPr>
              <w:t xml:space="preserve">Rio de Janeiro</w:t>
            </w:r>
          </w:p>
        </w:tc>
        <w:tc>
          <w:tcPr>
            <w:tcW w:type="dxa" w:w="1360"/>
          </w:tcPr>
          <w:p>
            <w:pPr>
              <w:pStyle w:val="Compact"/>
              <w:spacing w:line="240" w:lineRule="auto" w:before="20" w:after="20"/>
              <w:ind w:firstLine="0"/>
              <w:jc w:val="right"/>
            </w:pPr>
            <w:r>
              <w:rPr>
                <w:rFonts w:ascii="Times New Roman" w:hAnsi="Times New Roman"/>
                <w:sz w:val="16"/>
              </w:rPr>
              <w:t>1,283%</w:t>
            </w:r>
          </w:p>
        </w:tc>
        <w:tc>
          <w:tcPr>
            <w:tcW w:type="dxa" w:w="1101"/>
          </w:tcPr>
          <w:p>
            <w:pPr>
              <w:pStyle w:val="Compact"/>
              <w:spacing w:line="240" w:lineRule="auto" w:before="20" w:after="20"/>
              <w:ind w:firstLine="0"/>
              <w:jc w:val="right"/>
            </w:pPr>
            <w:r>
              <w:rPr>
                <w:rFonts w:ascii="Times New Roman" w:hAnsi="Times New Roman"/>
                <w:sz w:val="16"/>
              </w:rPr>
              <w:t>1,074%</w:t>
            </w:r>
          </w:p>
        </w:tc>
        <w:tc>
          <w:tcPr>
            <w:tcW w:type="dxa" w:w="1749"/>
          </w:tcPr>
          <w:p>
            <w:pPr>
              <w:pStyle w:val="Compact"/>
              <w:spacing w:line="240" w:lineRule="auto" w:before="20" w:after="20"/>
              <w:ind w:firstLine="0"/>
              <w:jc w:val="right"/>
            </w:pPr>
            <w:r>
              <w:rPr>
                <w:rFonts w:ascii="Times New Roman" w:hAnsi="Times New Roman"/>
                <w:sz w:val="16"/>
              </w:rPr>
              <w:t xml:space="preserve">14,79</w:t>
            </w:r>
          </w:p>
        </w:tc>
        <w:tc>
          <w:tcPr>
            <w:tcW w:type="dxa" w:w="1231"/>
          </w:tcPr>
          <w:p>
            <w:pPr>
              <w:pStyle w:val="Compact"/>
              <w:spacing w:line="240" w:lineRule="auto" w:before="20" w:after="20"/>
              <w:ind w:firstLine="0"/>
              <w:jc w:val="right"/>
            </w:pPr>
            <w:r>
              <w:rPr>
                <w:rFonts w:ascii="Times New Roman" w:hAnsi="Times New Roman"/>
                <w:sz w:val="16"/>
              </w:rPr>
              <w:t>15,02</w:t>
            </w:r>
          </w:p>
        </w:tc>
        <w:tc>
          <w:tcPr>
            <w:tcW w:type="dxa" w:w="1231"/>
          </w:tcPr>
          <w:p>
            <w:pPr>
              <w:pStyle w:val="Compact"/>
              <w:spacing w:line="240" w:lineRule="auto" w:before="20" w:after="20"/>
              <w:ind w:firstLine="0"/>
              <w:jc w:val="right"/>
            </w:pPr>
            <w:r>
              <w:rPr>
                <w:rFonts w:ascii="Times New Roman" w:hAnsi="Times New Roman"/>
                <w:sz w:val="16"/>
              </w:rPr>
              <w:t>+1,6%</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RO</w:t>
            </w:r>
          </w:p>
        </w:tc>
        <w:tc>
          <w:tcPr>
            <w:tcW w:type="dxa" w:w="1879"/>
          </w:tcPr>
          <w:p>
            <w:pPr>
              <w:pStyle w:val="Compact"/>
              <w:spacing w:line="240" w:lineRule="auto" w:before="20" w:after="20"/>
              <w:ind w:firstLine="0"/>
              <w:jc w:val="left"/>
            </w:pPr>
            <w:r>
              <w:rPr>
                <w:rFonts w:ascii="Times New Roman" w:hAnsi="Times New Roman"/>
                <w:sz w:val="16"/>
              </w:rPr>
              <w:t xml:space="preserve">Porto Velho</w:t>
            </w:r>
          </w:p>
        </w:tc>
        <w:tc>
          <w:tcPr>
            <w:tcW w:type="dxa" w:w="1360"/>
          </w:tcPr>
          <w:p>
            <w:pPr>
              <w:pStyle w:val="Compact"/>
              <w:spacing w:line="240" w:lineRule="auto" w:before="20" w:after="20"/>
              <w:ind w:firstLine="0"/>
              <w:jc w:val="right"/>
            </w:pPr>
            <w:r>
              <w:rPr>
                <w:rFonts w:ascii="Times New Roman" w:hAnsi="Times New Roman"/>
                <w:sz w:val="16"/>
              </w:rPr>
              <w:t xml:space="preserve">0,073%</w:t>
            </w:r>
          </w:p>
        </w:tc>
        <w:tc>
          <w:tcPr>
            <w:tcW w:type="dxa" w:w="1101"/>
          </w:tcPr>
          <w:p>
            <w:pPr>
              <w:pStyle w:val="Compact"/>
              <w:spacing w:line="240" w:lineRule="auto" w:before="20" w:after="20"/>
              <w:ind w:firstLine="0"/>
              <w:jc w:val="right"/>
            </w:pPr>
            <w:r>
              <w:rPr>
                <w:rFonts w:ascii="Times New Roman" w:hAnsi="Times New Roman"/>
                <w:sz w:val="16"/>
              </w:rPr>
              <w:t>0,062%</w:t>
            </w:r>
          </w:p>
        </w:tc>
        <w:tc>
          <w:tcPr>
            <w:tcW w:type="dxa" w:w="1749"/>
          </w:tcPr>
          <w:p>
            <w:pPr>
              <w:pStyle w:val="Compact"/>
              <w:spacing w:line="240" w:lineRule="auto" w:before="20" w:after="20"/>
              <w:ind w:firstLine="0"/>
              <w:jc w:val="right"/>
            </w:pPr>
            <w:r>
              <w:rPr>
                <w:rFonts w:ascii="Times New Roman" w:hAnsi="Times New Roman"/>
                <w:sz w:val="16"/>
              </w:rPr>
              <w:t xml:space="preserve">0,82</w:t>
            </w:r>
          </w:p>
        </w:tc>
        <w:tc>
          <w:tcPr>
            <w:tcW w:type="dxa" w:w="1231"/>
          </w:tcPr>
          <w:p>
            <w:pPr>
              <w:pStyle w:val="Compact"/>
              <w:spacing w:line="240" w:lineRule="auto" w:before="20" w:after="20"/>
              <w:ind w:firstLine="0"/>
              <w:jc w:val="right"/>
            </w:pPr>
            <w:r>
              <w:rPr>
                <w:rFonts w:ascii="Times New Roman" w:hAnsi="Times New Roman"/>
                <w:sz w:val="16"/>
              </w:rPr>
              <w:t>0,85</w:t>
            </w:r>
          </w:p>
        </w:tc>
        <w:tc>
          <w:tcPr>
            <w:tcW w:type="dxa" w:w="1231"/>
          </w:tcPr>
          <w:p>
            <w:pPr>
              <w:pStyle w:val="Compact"/>
              <w:spacing w:line="240" w:lineRule="auto" w:before="20" w:after="20"/>
              <w:ind w:firstLine="0"/>
              <w:jc w:val="right"/>
            </w:pPr>
            <w:r>
              <w:rPr>
                <w:rFonts w:ascii="Times New Roman" w:hAnsi="Times New Roman"/>
                <w:sz w:val="16"/>
              </w:rPr>
              <w:t>+4,3%</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MS</w:t>
            </w:r>
          </w:p>
        </w:tc>
        <w:tc>
          <w:tcPr>
            <w:tcW w:type="dxa" w:w="1879"/>
          </w:tcPr>
          <w:p>
            <w:pPr>
              <w:pStyle w:val="Compact"/>
              <w:spacing w:line="240" w:lineRule="auto" w:before="20" w:after="20"/>
              <w:ind w:firstLine="0"/>
              <w:jc w:val="left"/>
            </w:pPr>
            <w:r>
              <w:rPr>
                <w:rFonts w:ascii="Times New Roman" w:hAnsi="Times New Roman"/>
                <w:sz w:val="16"/>
              </w:rPr>
              <w:t xml:space="preserve">Campo Grande</w:t>
            </w:r>
          </w:p>
        </w:tc>
        <w:tc>
          <w:tcPr>
            <w:tcW w:type="dxa" w:w="1360"/>
          </w:tcPr>
          <w:p>
            <w:pPr>
              <w:pStyle w:val="Compact"/>
              <w:spacing w:line="240" w:lineRule="auto" w:before="20" w:after="20"/>
              <w:ind w:firstLine="0"/>
              <w:jc w:val="right"/>
            </w:pPr>
            <w:r>
              <w:rPr>
                <w:rFonts w:ascii="Times New Roman" w:hAnsi="Times New Roman"/>
                <w:sz w:val="16"/>
              </w:rPr>
              <w:t>0,131%</w:t>
            </w:r>
          </w:p>
        </w:tc>
        <w:tc>
          <w:tcPr>
            <w:tcW w:type="dxa" w:w="1101"/>
          </w:tcPr>
          <w:p>
            <w:pPr>
              <w:pStyle w:val="Compact"/>
              <w:spacing w:line="240" w:lineRule="auto" w:before="20" w:after="20"/>
              <w:ind w:firstLine="0"/>
              <w:jc w:val="right"/>
            </w:pPr>
            <w:r>
              <w:rPr>
                <w:rFonts w:ascii="Times New Roman" w:hAnsi="Times New Roman"/>
                <w:sz w:val="16"/>
              </w:rPr>
              <w:t>0,179%</w:t>
            </w:r>
          </w:p>
        </w:tc>
        <w:tc>
          <w:tcPr>
            <w:tcW w:type="dxa" w:w="1749"/>
          </w:tcPr>
          <w:p>
            <w:pPr>
              <w:pStyle w:val="Compact"/>
              <w:spacing w:line="240" w:lineRule="auto" w:before="20" w:after="20"/>
              <w:ind w:firstLine="0"/>
              <w:jc w:val="right"/>
            </w:pPr>
            <w:r>
              <w:rPr>
                <w:rFonts w:ascii="Times New Roman" w:hAnsi="Times New Roman"/>
                <w:sz w:val="16"/>
              </w:rPr>
              <w:t xml:space="preserve">1,53</w:t>
            </w:r>
          </w:p>
        </w:tc>
        <w:tc>
          <w:tcPr>
            <w:tcW w:type="dxa" w:w="1231"/>
          </w:tcPr>
          <w:p>
            <w:pPr>
              <w:pStyle w:val="Compact"/>
              <w:spacing w:line="240" w:lineRule="auto" w:before="20" w:after="20"/>
              <w:ind w:firstLine="0"/>
              <w:jc w:val="right"/>
            </w:pPr>
            <w:r>
              <w:rPr>
                <w:rFonts w:ascii="Times New Roman" w:hAnsi="Times New Roman"/>
                <w:sz w:val="16"/>
              </w:rPr>
              <w:t>1,61</w:t>
            </w:r>
          </w:p>
        </w:tc>
        <w:tc>
          <w:tcPr>
            <w:tcW w:type="dxa" w:w="1231"/>
          </w:tcPr>
          <w:p>
            <w:pPr>
              <w:pStyle w:val="Compact"/>
              <w:spacing w:line="240" w:lineRule="auto" w:before="20" w:after="20"/>
              <w:ind w:firstLine="0"/>
              <w:jc w:val="right"/>
            </w:pPr>
            <w:r>
              <w:rPr>
                <w:rFonts w:ascii="Times New Roman" w:hAnsi="Times New Roman"/>
                <w:sz w:val="16"/>
              </w:rPr>
              <w:t>+5,4%</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PI</w:t>
            </w:r>
          </w:p>
        </w:tc>
        <w:tc>
          <w:tcPr>
            <w:tcW w:type="dxa" w:w="1879"/>
          </w:tcPr>
          <w:p>
            <w:pPr>
              <w:pStyle w:val="Compact"/>
              <w:spacing w:line="240" w:lineRule="auto" w:before="20" w:after="20"/>
              <w:ind w:firstLine="0"/>
              <w:jc w:val="left"/>
            </w:pPr>
            <w:r>
              <w:rPr>
                <w:rFonts w:ascii="Times New Roman" w:hAnsi="Times New Roman"/>
                <w:sz w:val="16"/>
              </w:rPr>
              <w:t xml:space="preserve">Teresina</w:t>
            </w:r>
          </w:p>
        </w:tc>
        <w:tc>
          <w:tcPr>
            <w:tcW w:type="dxa" w:w="1360"/>
          </w:tcPr>
          <w:p>
            <w:pPr>
              <w:pStyle w:val="Compact"/>
              <w:spacing w:line="240" w:lineRule="auto" w:before="20" w:after="20"/>
              <w:ind w:firstLine="0"/>
              <w:jc w:val="right"/>
            </w:pPr>
            <w:r>
              <w:rPr>
                <w:rFonts w:ascii="Times New Roman" w:hAnsi="Times New Roman"/>
                <w:sz w:val="16"/>
              </w:rPr>
              <w:t>0,114%</w:t>
            </w:r>
          </w:p>
        </w:tc>
        <w:tc>
          <w:tcPr>
            <w:tcW w:type="dxa" w:w="1101"/>
          </w:tcPr>
          <w:p>
            <w:pPr>
              <w:pStyle w:val="Compact"/>
              <w:spacing w:line="240" w:lineRule="auto" w:before="20" w:after="20"/>
              <w:ind w:firstLine="0"/>
              <w:jc w:val="right"/>
            </w:pPr>
            <w:r>
              <w:rPr>
                <w:rFonts w:ascii="Times New Roman" w:hAnsi="Times New Roman"/>
                <w:sz w:val="16"/>
              </w:rPr>
              <w:t>0,114%</w:t>
            </w:r>
          </w:p>
        </w:tc>
        <w:tc>
          <w:tcPr>
            <w:tcW w:type="dxa" w:w="1749"/>
          </w:tcPr>
          <w:p>
            <w:pPr>
              <w:pStyle w:val="Compact"/>
              <w:spacing w:line="240" w:lineRule="auto" w:before="20" w:after="20"/>
              <w:ind w:firstLine="0"/>
              <w:jc w:val="right"/>
            </w:pPr>
            <w:r>
              <w:rPr>
                <w:rFonts w:ascii="Times New Roman" w:hAnsi="Times New Roman"/>
                <w:sz w:val="16"/>
              </w:rPr>
              <w:t xml:space="preserve">1,28</w:t>
            </w:r>
          </w:p>
        </w:tc>
        <w:tc>
          <w:tcPr>
            <w:tcW w:type="dxa" w:w="1231"/>
          </w:tcPr>
          <w:p>
            <w:pPr>
              <w:pStyle w:val="Compact"/>
              <w:spacing w:line="240" w:lineRule="auto" w:before="20" w:after="20"/>
              <w:ind w:firstLine="0"/>
              <w:jc w:val="right"/>
            </w:pPr>
            <w:r>
              <w:rPr>
                <w:rFonts w:ascii="Times New Roman" w:hAnsi="Times New Roman"/>
                <w:sz w:val="16"/>
              </w:rPr>
              <w:t xml:space="preserve">1,36</w:t>
            </w:r>
          </w:p>
        </w:tc>
        <w:tc>
          <w:tcPr>
            <w:tcW w:type="dxa" w:w="1231"/>
          </w:tcPr>
          <w:p>
            <w:pPr>
              <w:pStyle w:val="Compact"/>
              <w:spacing w:line="240" w:lineRule="auto" w:before="20" w:after="20"/>
              <w:ind w:firstLine="0"/>
              <w:jc w:val="right"/>
            </w:pPr>
            <w:r>
              <w:rPr>
                <w:rFonts w:ascii="Times New Roman" w:hAnsi="Times New Roman"/>
                <w:sz w:val="16"/>
              </w:rPr>
              <w:t>+6,0%</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DF</w:t>
            </w:r>
          </w:p>
        </w:tc>
        <w:tc>
          <w:tcPr>
            <w:tcW w:type="dxa" w:w="1879"/>
          </w:tcPr>
          <w:p>
            <w:pPr>
              <w:pStyle w:val="Compact"/>
              <w:spacing w:line="240" w:lineRule="auto" w:before="20" w:after="20"/>
              <w:ind w:firstLine="0"/>
              <w:jc w:val="left"/>
            </w:pPr>
            <w:r>
              <w:rPr>
                <w:rFonts w:ascii="Times New Roman" w:hAnsi="Times New Roman"/>
                <w:sz w:val="16"/>
              </w:rPr>
              <w:t xml:space="preserve">Brasília</w:t>
            </w:r>
          </w:p>
        </w:tc>
        <w:tc>
          <w:tcPr>
            <w:tcW w:type="dxa" w:w="1360"/>
          </w:tcPr>
          <w:p>
            <w:pPr>
              <w:pStyle w:val="Compact"/>
              <w:spacing w:line="240" w:lineRule="auto" w:before="20" w:after="20"/>
              <w:ind w:firstLine="0"/>
              <w:jc w:val="right"/>
            </w:pPr>
            <w:r>
              <w:rPr>
                <w:rFonts w:ascii="Times New Roman" w:hAnsi="Times New Roman"/>
                <w:sz w:val="16"/>
              </w:rPr>
              <w:t>1,640%</w:t>
            </w:r>
          </w:p>
        </w:tc>
        <w:tc>
          <w:tcPr>
            <w:tcW w:type="dxa" w:w="1101"/>
          </w:tcPr>
          <w:p>
            <w:pPr>
              <w:pStyle w:val="Compact"/>
              <w:spacing w:line="240" w:lineRule="auto" w:before="20" w:after="20"/>
              <w:ind w:firstLine="0"/>
              <w:jc w:val="right"/>
            </w:pPr>
            <w:r>
              <w:rPr>
                <w:rFonts w:ascii="Times New Roman" w:hAnsi="Times New Roman"/>
                <w:sz w:val="16"/>
              </w:rPr>
              <w:t>2,479%</w:t>
            </w:r>
          </w:p>
        </w:tc>
        <w:tc>
          <w:tcPr>
            <w:tcW w:type="dxa" w:w="1749"/>
          </w:tcPr>
          <w:p>
            <w:pPr>
              <w:pStyle w:val="Compact"/>
              <w:spacing w:line="240" w:lineRule="auto" w:before="20" w:after="20"/>
              <w:ind w:firstLine="0"/>
              <w:jc w:val="right"/>
            </w:pPr>
            <w:r>
              <w:rPr>
                <w:rFonts w:ascii="Times New Roman" w:hAnsi="Times New Roman"/>
                <w:sz w:val="16"/>
              </w:rPr>
              <w:t xml:space="preserve">19,34</w:t>
            </w:r>
          </w:p>
        </w:tc>
        <w:tc>
          <w:tcPr>
            <w:tcW w:type="dxa" w:w="1231"/>
          </w:tcPr>
          <w:p>
            <w:pPr>
              <w:pStyle w:val="Compact"/>
              <w:spacing w:line="240" w:lineRule="auto" w:before="20" w:after="20"/>
              <w:ind w:firstLine="0"/>
              <w:jc w:val="right"/>
            </w:pPr>
            <w:r>
              <w:rPr>
                <w:rFonts w:ascii="Times New Roman" w:hAnsi="Times New Roman"/>
                <w:sz w:val="16"/>
              </w:rPr>
              <w:t>20,47</w:t>
            </w:r>
          </w:p>
        </w:tc>
        <w:tc>
          <w:tcPr>
            <w:tcW w:type="dxa" w:w="1231"/>
          </w:tcPr>
          <w:p>
            <w:pPr>
              <w:pStyle w:val="Compact"/>
              <w:spacing w:line="240" w:lineRule="auto" w:before="20" w:after="20"/>
              <w:ind w:firstLine="0"/>
              <w:jc w:val="right"/>
            </w:pPr>
            <w:r>
              <w:rPr>
                <w:rFonts w:ascii="Times New Roman" w:hAnsi="Times New Roman"/>
                <w:sz w:val="16"/>
              </w:rPr>
              <w:t>+5,8%</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RS</w:t>
            </w:r>
          </w:p>
        </w:tc>
        <w:tc>
          <w:tcPr>
            <w:tcW w:type="dxa" w:w="1879"/>
          </w:tcPr>
          <w:p>
            <w:pPr>
              <w:pStyle w:val="Compact"/>
              <w:spacing w:line="240" w:lineRule="auto" w:before="20" w:after="20"/>
              <w:ind w:firstLine="0"/>
              <w:jc w:val="left"/>
            </w:pPr>
            <w:r>
              <w:rPr>
                <w:rFonts w:ascii="Times New Roman" w:hAnsi="Times New Roman"/>
                <w:sz w:val="16"/>
              </w:rPr>
              <w:t xml:space="preserve">Porto Alegre</w:t>
            </w:r>
          </w:p>
        </w:tc>
        <w:tc>
          <w:tcPr>
            <w:tcW w:type="dxa" w:w="1360"/>
          </w:tcPr>
          <w:p>
            <w:pPr>
              <w:pStyle w:val="Compact"/>
              <w:spacing w:line="240" w:lineRule="auto" w:before="20" w:after="20"/>
              <w:ind w:firstLine="0"/>
              <w:jc w:val="right"/>
            </w:pPr>
            <w:r>
              <w:rPr>
                <w:rFonts w:ascii="Times New Roman" w:hAnsi="Times New Roman"/>
                <w:sz w:val="16"/>
              </w:rPr>
              <w:t>0,274%</w:t>
            </w:r>
          </w:p>
        </w:tc>
        <w:tc>
          <w:tcPr>
            <w:tcW w:type="dxa" w:w="1101"/>
          </w:tcPr>
          <w:p>
            <w:pPr>
              <w:pStyle w:val="Compact"/>
              <w:spacing w:line="240" w:lineRule="auto" w:before="20" w:after="20"/>
              <w:ind w:firstLine="0"/>
              <w:jc w:val="right"/>
            </w:pPr>
            <w:r>
              <w:rPr>
                <w:rFonts w:ascii="Times New Roman" w:hAnsi="Times New Roman"/>
                <w:sz w:val="16"/>
              </w:rPr>
              <w:t>0,312%</w:t>
            </w:r>
          </w:p>
        </w:tc>
        <w:tc>
          <w:tcPr>
            <w:tcW w:type="dxa" w:w="1749"/>
          </w:tcPr>
          <w:p>
            <w:pPr>
              <w:pStyle w:val="Compact"/>
              <w:spacing w:line="240" w:lineRule="auto" w:before="20" w:after="20"/>
              <w:ind w:firstLine="0"/>
              <w:jc w:val="right"/>
            </w:pPr>
            <w:r>
              <w:rPr>
                <w:rFonts w:ascii="Times New Roman" w:hAnsi="Times New Roman"/>
                <w:sz w:val="16"/>
              </w:rPr>
              <w:t xml:space="preserve">3,14</w:t>
            </w:r>
          </w:p>
        </w:tc>
        <w:tc>
          <w:tcPr>
            <w:tcW w:type="dxa" w:w="1231"/>
          </w:tcPr>
          <w:p>
            <w:pPr>
              <w:pStyle w:val="Compact"/>
              <w:spacing w:line="240" w:lineRule="auto" w:before="20" w:after="20"/>
              <w:ind w:firstLine="0"/>
              <w:jc w:val="right"/>
            </w:pPr>
            <w:r>
              <w:rPr>
                <w:rFonts w:ascii="Times New Roman" w:hAnsi="Times New Roman"/>
                <w:sz w:val="16"/>
              </w:rPr>
              <w:t>3,31</w:t>
            </w:r>
          </w:p>
        </w:tc>
        <w:tc>
          <w:tcPr>
            <w:tcW w:type="dxa" w:w="1231"/>
          </w:tcPr>
          <w:p>
            <w:pPr>
              <w:pStyle w:val="Compact"/>
              <w:spacing w:line="240" w:lineRule="auto" w:before="20" w:after="20"/>
              <w:ind w:firstLine="0"/>
              <w:jc w:val="right"/>
            </w:pPr>
            <w:r>
              <w:rPr>
                <w:rFonts w:ascii="Times New Roman" w:hAnsi="Times New Roman"/>
                <w:sz w:val="16"/>
              </w:rPr>
              <w:t>+5,1%</w:t>
            </w:r>
          </w:p>
        </w:tc>
      </w:tr>
      <w:tr>
        <w:trPr>
          <w:cantSplit/>
        </w:trPr>
        <w:tc>
          <w:tcPr>
            <w:tcW w:type="dxa" w:w="518"/>
          </w:tcPr>
          <w:p>
            <w:pPr>
              <w:pStyle w:val="Compact"/>
              <w:spacing w:line="240" w:lineRule="auto" w:before="20" w:after="20"/>
              <w:ind w:firstLine="0"/>
              <w:jc w:val="left"/>
            </w:pPr>
            <w:r>
              <w:rPr>
                <w:rFonts w:ascii="Times New Roman" w:hAnsi="Times New Roman"/>
                <w:sz w:val="16"/>
              </w:rPr>
              <w:t xml:space="preserve">RN</w:t>
            </w:r>
          </w:p>
        </w:tc>
        <w:tc>
          <w:tcPr>
            <w:tcW w:type="dxa" w:w="1879"/>
          </w:tcPr>
          <w:p>
            <w:pPr>
              <w:pStyle w:val="Compact"/>
              <w:spacing w:line="240" w:lineRule="auto" w:before="20" w:after="20"/>
              <w:ind w:firstLine="0"/>
              <w:jc w:val="left"/>
            </w:pPr>
            <w:r>
              <w:rPr>
                <w:rFonts w:ascii="Times New Roman" w:hAnsi="Times New Roman"/>
                <w:sz w:val="16"/>
              </w:rPr>
              <w:t xml:space="preserve">Natal</w:t>
            </w:r>
          </w:p>
        </w:tc>
        <w:tc>
          <w:tcPr>
            <w:tcW w:type="dxa" w:w="1360"/>
          </w:tcPr>
          <w:p>
            <w:pPr>
              <w:pStyle w:val="Compact"/>
              <w:spacing w:line="240" w:lineRule="auto" w:before="20" w:after="20"/>
              <w:ind w:firstLine="0"/>
              <w:jc w:val="right"/>
            </w:pPr>
            <w:r>
              <w:rPr>
                <w:rFonts w:ascii="Times New Roman" w:hAnsi="Times New Roman"/>
                <w:sz w:val="16"/>
              </w:rPr>
              <w:t>0,106%</w:t>
            </w:r>
          </w:p>
        </w:tc>
        <w:tc>
          <w:tcPr>
            <w:tcW w:type="dxa" w:w="1101"/>
          </w:tcPr>
          <w:p>
            <w:pPr>
              <w:pStyle w:val="Compact"/>
              <w:spacing w:line="240" w:lineRule="auto" w:before="20" w:after="20"/>
              <w:ind w:firstLine="0"/>
              <w:jc w:val="right"/>
            </w:pPr>
            <w:r>
              <w:rPr>
                <w:rFonts w:ascii="Times New Roman" w:hAnsi="Times New Roman"/>
                <w:sz w:val="16"/>
              </w:rPr>
              <w:t>0,126%</w:t>
            </w:r>
          </w:p>
        </w:tc>
        <w:tc>
          <w:tcPr>
            <w:tcW w:type="dxa" w:w="1749"/>
          </w:tcPr>
          <w:p>
            <w:pPr>
              <w:pStyle w:val="Compact"/>
              <w:spacing w:line="240" w:lineRule="auto" w:before="20" w:after="20"/>
              <w:ind w:firstLine="0"/>
              <w:jc w:val="right"/>
            </w:pPr>
            <w:r>
              <w:rPr>
                <w:rFonts w:ascii="Times New Roman" w:hAnsi="Times New Roman"/>
                <w:sz w:val="16"/>
              </w:rPr>
              <w:t xml:space="preserve">1,20</w:t>
            </w:r>
          </w:p>
        </w:tc>
        <w:tc>
          <w:tcPr>
            <w:tcW w:type="dxa" w:w="1231"/>
          </w:tcPr>
          <w:p>
            <w:pPr>
              <w:pStyle w:val="Compact"/>
              <w:spacing w:line="240" w:lineRule="auto" w:before="20" w:after="20"/>
              <w:ind w:firstLine="0"/>
              <w:jc w:val="right"/>
            </w:pPr>
            <w:r>
              <w:rPr>
                <w:rFonts w:ascii="Times New Roman" w:hAnsi="Times New Roman"/>
                <w:sz w:val="16"/>
              </w:rPr>
              <w:t>1,28</w:t>
            </w:r>
          </w:p>
        </w:tc>
        <w:tc>
          <w:tcPr>
            <w:tcW w:type="dxa" w:w="1231"/>
          </w:tcPr>
          <w:p>
            <w:pPr>
              <w:pStyle w:val="Compact"/>
              <w:spacing w:line="240" w:lineRule="auto" w:before="20" w:after="20"/>
              <w:ind w:firstLine="0"/>
              <w:jc w:val="right"/>
            </w:pPr>
            <w:r>
              <w:rPr>
                <w:rFonts w:ascii="Times New Roman" w:hAnsi="Times New Roman"/>
                <w:sz w:val="16"/>
              </w:rPr>
              <w:t>+6,8%</w:t>
            </w:r>
          </w:p>
        </w:tc>
      </w:tr>
    </w:tbl>
    <w:bookmarkEnd w:id="69"/>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As capitais estão ordenadas da maior perda para o maior ganho relativo em 2033. A variação compara a receita projetada sob a reforma com o cenário sem reforma no mesmo ano. Brasília é apresentada apenas como referência comparativa, pois o Distrito Federal não possui esfera municipal própria.</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SICONFI/STN; IBGE; Censo Demográfico 2022; parâmetros do modelo. Elaboração própria.</w:t>
      </w:r>
    </w:p>
    <w:bookmarkStart w:id="70" w:name="tab:simbolos"/>
    <w:p>
      <w:pPr>
        <w:pStyle w:val="TableCaption"/>
      </w:pPr>
      <w:r>
        <w:rPr>
          <w:b/>
          <w:bCs/>
        </w:rPr>
        <w:t xml:space="preserve">Tabela A.5:</w:t>
      </w:r>
      <w:r>
        <w:t xml:space="preserve"> Símbolos e definições do modelo de projeção</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A.5: Símbolos e definições do modelo de projeção"/>
      </w:tblPr>
      <w:tblGrid>
        <w:gridCol w:w="2225"/>
        <w:gridCol w:w="6846"/>
      </w:tblGrid>
      <w:tr>
        <w:trPr>
          <w:tblHeader w:val="on"/>
          <w:cantSplit/>
          <w:tblHeader/>
        </w:trPr>
        <w:tc>
          <w:tcPr>
            <w:tcW w:type="dxa" w:w="222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Termo</w:t>
            </w:r>
          </w:p>
        </w:tc>
        <w:tc>
          <w:tcPr>
            <w:tcW w:type="dxa" w:w="684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Definição</w:t>
            </w:r>
          </w:p>
        </w:tc>
      </w:tr>
      <w:tr>
        <w:trPr>
          <w:cantSplit/>
        </w:trPr>
        <w:tc>
          <w:tcPr>
            <w:tcW w:type="dxa" w:w="2225"/>
          </w:tcPr>
          <w:p>
            <w:pPr>
              <w:pStyle w:val="Compact"/>
              <w:spacing w:line="240" w:lineRule="auto" w:before="20" w:after="20"/>
              <w:ind w:firstLine="0"/>
              <w:jc w:val="left"/>
            </w:pPr>
            <m:oMath>
              <m:sSubSup>
                <m:e>
                  <m:r>
                    <m:t>R</m:t>
                  </m:r>
                </m:e>
                <m:sub>
                  <m:r>
                    <m:t>i</m:t>
                  </m:r>
                  <m:r>
                    <m:t>t</m:t>
                  </m:r>
                </m:sub>
                <m:sup>
                  <m:r>
                    <m:t>R</m:t>
                  </m:r>
                </m:sup>
              </m:sSubSup>
            </m:oMath>
          </w:p>
        </w:tc>
        <w:tc>
          <w:tcPr>
            <w:tcW w:type="dxa" w:w="6846"/>
          </w:tcPr>
          <w:p>
            <w:pPr>
              <w:pStyle w:val="Compact"/>
              <w:spacing w:line="240" w:lineRule="auto" w:before="20" w:after="20"/>
              <w:ind w:firstLine="0"/>
              <w:jc w:val="left"/>
            </w:pPr>
            <w:r>
              <w:rPr>
                <w:rFonts w:ascii="Times New Roman" w:hAnsi="Times New Roman"/>
                <w:sz w:val="18"/>
              </w:rPr>
              <w:t xml:space="preserve">Receita projetada do ente</w:t>
            </w:r>
            <w:r>
              <w:rPr>
                <w:rFonts w:ascii="Times New Roman" w:hAnsi="Times New Roman"/>
                <w:sz w:val="18"/>
              </w:rPr>
              <w:t xml:space="preserve"> </w:t>
            </w:r>
            <m:oMath>
              <m:r>
                <m:t>i</m:t>
              </m:r>
            </m:oMath>
            <w:r>
              <w:rPr>
                <w:rFonts w:ascii="Times New Roman" w:hAnsi="Times New Roman"/>
                <w:sz w:val="18"/>
              </w:rPr>
              <w:t xml:space="preserve">, no ano</w:t>
            </w:r>
            <w:r>
              <w:rPr>
                <w:rFonts w:ascii="Times New Roman" w:hAnsi="Times New Roman"/>
                <w:sz w:val="18"/>
              </w:rPr>
              <w:t xml:space="preserve"> </w:t>
            </w:r>
            <m:oMath>
              <m:r>
                <m:t>t</m:t>
              </m:r>
            </m:oMath>
            <w:r>
              <w:rPr>
                <w:rFonts w:ascii="Times New Roman" w:hAnsi="Times New Roman"/>
                <w:sz w:val="18"/>
              </w:rPr>
              <w:t xml:space="preserve">, sob o regime da reforma.</w:t>
            </w:r>
          </w:p>
        </w:tc>
      </w:tr>
      <w:tr>
        <w:trPr>
          <w:cantSplit/>
        </w:trPr>
        <w:tc>
          <w:tcPr>
            <w:tcW w:type="dxa" w:w="2225"/>
          </w:tcPr>
          <w:p>
            <w:pPr>
              <w:pStyle w:val="Compact"/>
              <w:spacing w:line="240" w:lineRule="auto" w:before="20" w:after="20"/>
              <w:ind w:firstLine="0"/>
              <w:jc w:val="left"/>
            </w:pPr>
            <m:oMath>
              <m:sSub>
                <m:e>
                  <m:r>
                    <m:t>A</m:t>
                  </m:r>
                </m:e>
                <m:sub>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Arrecadação nacional de referência no ano</w:t>
            </w:r>
            <w:r>
              <w:rPr>
                <w:rFonts w:ascii="Times New Roman" w:hAnsi="Times New Roman"/>
                <w:sz w:val="18"/>
              </w:rPr>
              <w:t xml:space="preserve"> </w:t>
            </w:r>
            <m:oMath>
              <m:r>
                <m:t>t</m:t>
              </m:r>
            </m:oMath>
            <w:r>
              <w:rPr>
                <w:rFonts w:ascii="Times New Roman" w:hAnsi="Times New Roman"/>
                <w:sz w:val="18"/>
              </w:rPr>
              <w:t xml:space="preserve">.</w:t>
            </w:r>
          </w:p>
        </w:tc>
      </w:tr>
      <w:tr>
        <w:trPr>
          <w:cantSplit/>
        </w:trPr>
        <w:tc>
          <w:tcPr>
            <w:tcW w:type="dxa" w:w="2225"/>
          </w:tcPr>
          <w:p>
            <w:pPr>
              <w:pStyle w:val="Compact"/>
              <w:spacing w:line="240" w:lineRule="auto" w:before="20" w:after="20"/>
              <w:ind w:firstLine="0"/>
              <w:jc w:val="left"/>
            </w:pPr>
            <m:oMath>
              <m:sSub>
                <m:e>
                  <m:r>
                    <m:t>f</m:t>
                  </m:r>
                </m:e>
                <m:sub>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Fração de</w:t>
            </w:r>
            <w:r>
              <w:rPr>
                <w:rFonts w:ascii="Times New Roman" w:hAnsi="Times New Roman"/>
                <w:sz w:val="18"/>
              </w:rPr>
              <w:t xml:space="preserve"> </w:t>
            </w:r>
            <m:oMath>
              <m:sSub>
                <m:e>
                  <m:r>
                    <m:t>A</m:t>
                  </m:r>
                </m:e>
                <m:sub>
                  <m:r>
                    <m:t>t</m:t>
                  </m:r>
                </m:sub>
              </m:sSub>
            </m:oMath>
            <w:r>
              <w:rPr>
                <w:rFonts w:ascii="Times New Roman" w:hAnsi="Times New Roman"/>
                <w:sz w:val="18"/>
              </w:rPr>
              <w:t xml:space="preserve"> </w:t>
            </w:r>
            <w:r>
              <w:rPr>
                <w:rFonts w:ascii="Times New Roman" w:hAnsi="Times New Roman"/>
                <w:sz w:val="18"/>
              </w:rPr>
              <w:t xml:space="preserve">ainda correspondente ao ICMS ou ISS.</w:t>
            </w:r>
          </w:p>
        </w:tc>
      </w:tr>
      <w:tr>
        <w:trPr>
          <w:cantSplit/>
        </w:trPr>
        <w:tc>
          <w:tcPr>
            <w:tcW w:type="dxa" w:w="2225"/>
          </w:tcPr>
          <w:p>
            <w:pPr>
              <w:pStyle w:val="Compact"/>
              <w:spacing w:line="240" w:lineRule="auto" w:before="20" w:after="20"/>
              <w:ind w:firstLine="0"/>
              <w:jc w:val="left"/>
            </w:pPr>
            <m:oMath>
              <m:sSub>
                <m:e>
                  <m:r>
                    <m:t>s</m:t>
                  </m:r>
                </m:e>
                <m:sub>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Fração de</w:t>
            </w:r>
            <w:r>
              <w:rPr>
                <w:rFonts w:ascii="Times New Roman" w:hAnsi="Times New Roman"/>
                <w:sz w:val="18"/>
              </w:rPr>
              <w:t xml:space="preserve"> </w:t>
            </w:r>
            <m:oMath>
              <m:sSub>
                <m:e>
                  <m:r>
                    <m:t>A</m:t>
                  </m:r>
                </m:e>
                <m:sub>
                  <m:r>
                    <m:t>t</m:t>
                  </m:r>
                </m:sub>
              </m:sSub>
            </m:oMath>
            <w:r>
              <w:rPr>
                <w:rFonts w:ascii="Times New Roman" w:hAnsi="Times New Roman"/>
                <w:sz w:val="18"/>
              </w:rPr>
              <w:t xml:space="preserve"> </w:t>
            </w:r>
            <w:r>
              <w:rPr>
                <w:rFonts w:ascii="Times New Roman" w:hAnsi="Times New Roman"/>
                <w:sz w:val="18"/>
              </w:rPr>
              <w:t xml:space="preserve">convertida em IBS, com</w:t>
            </w:r>
            <w:r>
              <w:rPr>
                <w:rFonts w:ascii="Times New Roman" w:hAnsi="Times New Roman"/>
                <w:sz w:val="18"/>
              </w:rPr>
              <w:t xml:space="preserve"> </w:t>
            </w:r>
            <m:oMath>
              <m:sSub>
                <m:e>
                  <m:r>
                    <m:t>s</m:t>
                  </m:r>
                </m:e>
                <m:sub>
                  <m:r>
                    <m:t>t</m:t>
                  </m:r>
                </m:sub>
              </m:sSub>
              <m:r>
                <m:rPr>
                  <m:sty m:val="p"/>
                </m:rPr>
                <m:t>=</m:t>
              </m:r>
              <m:r>
                <m:t>1</m:t>
              </m:r>
              <m:r>
                <m:rPr>
                  <m:sty m:val="p"/>
                </m:rPr>
                <m:t>−</m:t>
              </m:r>
              <m:sSub>
                <m:e>
                  <m:r>
                    <m:t>f</m:t>
                  </m:r>
                </m:e>
                <m:sub>
                  <m:r>
                    <m:t>t</m:t>
                  </m:r>
                </m:sub>
              </m:sSub>
            </m:oMath>
            <w:r>
              <w:rPr>
                <w:rFonts w:ascii="Times New Roman" w:hAnsi="Times New Roman"/>
                <w:sz w:val="18"/>
              </w:rPr>
              <w:t xml:space="preserve">.</w:t>
            </w:r>
          </w:p>
        </w:tc>
      </w:tr>
      <w:tr>
        <w:trPr>
          <w:cantSplit/>
        </w:trPr>
        <w:tc>
          <w:tcPr>
            <w:tcW w:type="dxa" w:w="2225"/>
          </w:tcPr>
          <w:p>
            <w:pPr>
              <w:pStyle w:val="Compact"/>
              <w:spacing w:line="240" w:lineRule="auto" w:before="20" w:after="20"/>
              <w:ind w:firstLine="0"/>
              <w:jc w:val="left"/>
            </w:pPr>
            <m:oMath>
              <m:sSubSup>
                <m:e>
                  <m:r>
                    <m:t>w</m:t>
                  </m:r>
                </m:e>
                <m:sub>
                  <m:r>
                    <m:t>i</m:t>
                  </m:r>
                </m:sub>
                <m:sup>
                  <m:r>
                    <m:t>0</m:t>
                  </m:r>
                </m:sup>
              </m:sSubSup>
            </m:oMath>
          </w:p>
        </w:tc>
        <w:tc>
          <w:tcPr>
            <w:tcW w:type="dxa" w:w="6846"/>
          </w:tcPr>
          <w:p>
            <w:pPr>
              <w:pStyle w:val="Compact"/>
              <w:spacing w:line="240" w:lineRule="auto" w:before="20" w:after="20"/>
              <w:ind w:firstLine="0"/>
              <w:jc w:val="left"/>
            </w:pPr>
            <w:r>
              <w:rPr>
                <w:rFonts w:ascii="Times New Roman" w:hAnsi="Times New Roman"/>
                <w:sz w:val="18"/>
              </w:rPr>
              <w:t xml:space="preserve">Participação do ente na receita nacional de referência em 2025.</w:t>
            </w:r>
          </w:p>
        </w:tc>
      </w:tr>
      <w:tr>
        <w:trPr>
          <w:cantSplit/>
        </w:trPr>
        <w:tc>
          <w:tcPr>
            <w:tcW w:type="dxa" w:w="2225"/>
          </w:tcPr>
          <w:p>
            <w:pPr>
              <w:pStyle w:val="Compact"/>
              <w:spacing w:line="240" w:lineRule="auto" w:before="20" w:after="20"/>
              <w:ind w:firstLine="0"/>
              <w:jc w:val="left"/>
            </w:pPr>
            <m:oMath>
              <m:sSub>
                <m:e>
                  <m:r>
                    <m:t>λ</m:t>
                  </m:r>
                </m:e>
                <m:sub>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Parcela do IBS distribuída segundo a transição federativa.</w:t>
            </w:r>
          </w:p>
        </w:tc>
      </w:tr>
      <w:tr>
        <w:trPr>
          <w:cantSplit/>
        </w:trPr>
        <w:tc>
          <w:tcPr>
            <w:tcW w:type="dxa" w:w="2225"/>
          </w:tcPr>
          <w:p>
            <w:pPr>
              <w:pStyle w:val="Compact"/>
              <w:spacing w:line="240" w:lineRule="auto" w:before="20" w:after="20"/>
              <w:ind w:firstLine="0"/>
              <w:jc w:val="left"/>
            </w:pPr>
            <m:oMath>
              <m:sSubSup>
                <m:e>
                  <m:r>
                    <m:t>w</m:t>
                  </m:r>
                </m:e>
                <m:sub>
                  <m:r>
                    <m:t>i</m:t>
                  </m:r>
                </m:sub>
                <m:sup>
                  <m:r>
                    <m:t>H</m:t>
                  </m:r>
                </m:sup>
              </m:sSubSup>
            </m:oMath>
          </w:p>
        </w:tc>
        <w:tc>
          <w:tcPr>
            <w:tcW w:type="dxa" w:w="6846"/>
          </w:tcPr>
          <w:p>
            <w:pPr>
              <w:pStyle w:val="Compact"/>
              <w:spacing w:line="240" w:lineRule="auto" w:before="20" w:after="20"/>
              <w:ind w:firstLine="0"/>
              <w:jc w:val="left"/>
            </w:pPr>
            <w:r>
              <w:rPr>
                <w:rFonts w:ascii="Times New Roman" w:hAnsi="Times New Roman"/>
                <w:sz w:val="18"/>
              </w:rPr>
              <w:t xml:space="preserve">Coeficiente de participação do ente na transição federativa.</w:t>
            </w:r>
          </w:p>
        </w:tc>
      </w:tr>
      <w:tr>
        <w:trPr>
          <w:cantSplit/>
        </w:trPr>
        <w:tc>
          <w:tcPr>
            <w:tcW w:type="dxa" w:w="2225"/>
          </w:tcPr>
          <w:p>
            <w:pPr>
              <w:pStyle w:val="Compact"/>
              <w:spacing w:line="240" w:lineRule="auto" w:before="20" w:after="20"/>
              <w:ind w:firstLine="0"/>
              <w:jc w:val="left"/>
            </w:pPr>
            <m:oMath>
              <m:sSub>
                <m:e>
                  <m:r>
                    <m:t>ρ</m:t>
                  </m:r>
                </m:e>
                <m:sub>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Percentual retido para constituição do Seguro-Receita.</w:t>
            </w:r>
          </w:p>
        </w:tc>
      </w:tr>
      <w:tr>
        <w:trPr>
          <w:cantSplit/>
        </w:trPr>
        <w:tc>
          <w:tcPr>
            <w:tcW w:type="dxa" w:w="2225"/>
          </w:tcPr>
          <w:p>
            <w:pPr>
              <w:pStyle w:val="Compact"/>
              <w:spacing w:line="240" w:lineRule="auto" w:before="20" w:after="20"/>
              <w:ind w:firstLine="0"/>
              <w:jc w:val="left"/>
            </w:pPr>
            <m:oMath>
              <m:sSubSup>
                <m:e>
                  <m:r>
                    <m:t>w</m:t>
                  </m:r>
                </m:e>
                <m:sub>
                  <m:r>
                    <m:t>i</m:t>
                  </m:r>
                </m:sub>
                <m:sup>
                  <m:r>
                    <m:t>D</m:t>
                  </m:r>
                </m:sup>
              </m:sSubSup>
            </m:oMath>
          </w:p>
        </w:tc>
        <w:tc>
          <w:tcPr>
            <w:tcW w:type="dxa" w:w="6846"/>
          </w:tcPr>
          <w:p>
            <w:pPr>
              <w:pStyle w:val="Compact"/>
              <w:spacing w:line="240" w:lineRule="auto" w:before="20" w:after="20"/>
              <w:ind w:firstLine="0"/>
              <w:jc w:val="left"/>
            </w:pPr>
            <w:r>
              <w:rPr>
                <w:rFonts w:ascii="Times New Roman" w:hAnsi="Times New Roman"/>
                <w:sz w:val="18"/>
              </w:rPr>
              <w:t xml:space="preserve">Coeficiente de participação do ente na distribuição pelo destino.</w:t>
            </w:r>
          </w:p>
        </w:tc>
      </w:tr>
      <w:tr>
        <w:trPr>
          <w:cantSplit/>
        </w:trPr>
        <w:tc>
          <w:tcPr>
            <w:tcW w:type="dxa" w:w="2225"/>
          </w:tcPr>
          <w:p>
            <w:pPr>
              <w:pStyle w:val="Compact"/>
              <w:spacing w:line="240" w:lineRule="auto" w:before="20" w:after="20"/>
              <w:ind w:firstLine="0"/>
              <w:jc w:val="left"/>
            </w:pPr>
            <m:oMath>
              <m:sSub>
                <m:e>
                  <m:r>
                    <m:t>S</m:t>
                  </m:r>
                </m:e>
                <m:sub>
                  <m:r>
                    <m:t>i</m:t>
                  </m:r>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Valor recebido pelo Seguro-Receita no ano</w:t>
            </w:r>
            <w:r>
              <w:rPr>
                <w:rFonts w:ascii="Times New Roman" w:hAnsi="Times New Roman"/>
                <w:sz w:val="18"/>
              </w:rPr>
              <w:t xml:space="preserve"> </w:t>
            </w:r>
            <m:oMath>
              <m:r>
                <m:t>t</m:t>
              </m:r>
            </m:oMath>
            <w:r>
              <w:rPr>
                <w:rFonts w:ascii="Times New Roman" w:hAnsi="Times New Roman"/>
                <w:sz w:val="18"/>
              </w:rPr>
              <w:t xml:space="preserve">.</w:t>
            </w:r>
          </w:p>
        </w:tc>
      </w:tr>
      <w:tr>
        <w:trPr>
          <w:cantSplit/>
        </w:trPr>
        <w:tc>
          <w:tcPr>
            <w:tcW w:type="dxa" w:w="2225"/>
          </w:tcPr>
          <w:p>
            <w:pPr>
              <w:pStyle w:val="Compact"/>
              <w:spacing w:line="240" w:lineRule="auto" w:before="20" w:after="20"/>
              <w:ind w:firstLine="0"/>
              <w:jc w:val="left"/>
            </w:pPr>
            <m:oMath>
              <m:sSub>
                <m:e>
                  <m:r>
                    <m:t>G</m:t>
                  </m:r>
                </m:e>
                <m:sub>
                  <m:r>
                    <m:t>i</m:t>
                  </m:r>
                  <m:r>
                    <m:t>t</m:t>
                  </m:r>
                </m:sub>
              </m:sSub>
            </m:oMath>
          </w:p>
        </w:tc>
        <w:tc>
          <w:tcPr>
            <w:tcW w:type="dxa" w:w="6846"/>
          </w:tcPr>
          <w:p>
            <w:pPr>
              <w:pStyle w:val="Compact"/>
              <w:spacing w:line="240" w:lineRule="auto" w:before="20" w:after="20"/>
              <w:ind w:firstLine="0"/>
              <w:jc w:val="left"/>
            </w:pPr>
            <w:r>
              <w:rPr>
                <w:rFonts w:ascii="Times New Roman" w:hAnsi="Times New Roman"/>
                <w:sz w:val="18"/>
              </w:rPr>
              <w:t xml:space="preserve">Dedução destinada ao financiamento do CGIBS no ano</w:t>
            </w:r>
            <w:r>
              <w:rPr>
                <w:rFonts w:ascii="Times New Roman" w:hAnsi="Times New Roman"/>
                <w:sz w:val="18"/>
              </w:rPr>
              <w:t xml:space="preserve"> </w:t>
            </w:r>
            <m:oMath>
              <m:r>
                <m:t>t</m:t>
              </m:r>
            </m:oMath>
            <w:r>
              <w:rPr>
                <w:rFonts w:ascii="Times New Roman" w:hAnsi="Times New Roman"/>
                <w:sz w:val="18"/>
              </w:rPr>
              <w:t xml:space="preserve">.</w:t>
            </w:r>
          </w:p>
        </w:tc>
      </w:tr>
    </w:tbl>
    <w:bookmarkEnd w:id="70"/>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w:t>
      </w:r>
    </w:p>
    <w:p>
      <w:pPr>
        <w:pStyle w:val="TableCaption"/>
      </w:pPr>
      <w:r>
        <w:rPr>
          <w:b/>
          <w:bCs/>
        </w:rPr>
        <w:t>Tabela A.6:</w:t>
      </w:r>
      <w:r>
        <w:t xml:space="preserve"> Sensibilidade da variação da receita estadual do Paraná em 2033 ao ano-base do contrafactual e ao coeficiente de destino</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3: Projeção da receita estadual do Paraná, 2029 a 2033"/>
      </w:tblPr>
      <w:tblGrid>
        <w:gridCol w:w="968"/>
        <w:gridCol w:w="2290"/>
        <w:gridCol w:w="2290"/>
        <w:gridCol w:w="1673"/>
        <w:gridCol w:w="1849"/>
      </w:tblGrid>
      <w:tr>
        <w:trPr>
          <w:tblHeader w:val="on"/>
          <w:cantSplit/>
          <w:tblHeader/>
        </w:trPr>
        <w:tc>
          <w:tcPr>
            <w:tcW w:type="dxa" w:w="968"/>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Ano-base do contrafactual</w:t>
            </w:r>
          </w:p>
        </w:tc>
        <w:tc>
          <w:tcPr>
            <w:tcW w:type="dxa" w:w="229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Participação do Estado (%)</w:t>
            </w:r>
            <w:r>
              <w:rPr>
                <w:rFonts w:ascii="Times New Roman" w:hAnsi="Times New Roman"/>
                <w:b/>
                <w:sz w:val="18"/>
              </w:rPr>
            </w:r>
            <w:r>
              <w:rPr>
                <w:rFonts w:ascii="Times New Roman" w:hAnsi="Times New Roman"/>
                <w:b/>
                <w:bCs/>
                <w:sz w:val="18"/>
              </w:rPr>
            </w:r>
          </w:p>
        </w:tc>
        <w:tc>
          <w:tcPr>
            <w:tcW w:type="dxa" w:w="229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Destino −8%</w:t>
            </w:r>
            <w:r>
              <w:rPr>
                <w:rFonts w:ascii="Times New Roman" w:hAnsi="Times New Roman"/>
                <w:b/>
                <w:sz w:val="18"/>
              </w:rPr>
            </w:r>
            <w:r>
              <w:rPr>
                <w:rFonts w:ascii="Times New Roman" w:hAnsi="Times New Roman"/>
                <w:b/>
                <w:bCs/>
                <w:sz w:val="18"/>
              </w:rPr>
            </w:r>
          </w:p>
        </w:tc>
        <w:tc>
          <w:tcPr>
            <w:tcW w:type="dxa" w:w="167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Destino central</w:t>
            </w:r>
          </w:p>
        </w:tc>
        <w:tc>
          <w:tcPr>
            <w:tcW w:type="dxa" w:w="184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Destino +8%</w:t>
            </w:r>
            <w:r>
              <w:rPr>
                <w:rFonts w:ascii="Times New Roman" w:hAnsi="Times New Roman"/>
                <w:b/>
                <w:sz w:val="18"/>
              </w:rPr>
            </w:r>
            <w:r>
              <w:rPr>
                <w:rFonts w:ascii="Times New Roman" w:hAnsi="Times New Roman"/>
                <w:b/>
                <w:bCs/>
                <w:sz w:val="18"/>
              </w:rPr>
            </w:r>
          </w:p>
        </w:tc>
      </w:tr>
      <w:tr>
        <w:trPr>
          <w:cantSplit/>
        </w:trPr>
        <w:tc>
          <w:tcPr>
            <w:tcW w:type="dxa" w:w="968"/>
          </w:tcPr>
          <w:p>
            <w:pPr>
              <w:pStyle w:val="Compact"/>
              <w:spacing w:line="240" w:lineRule="auto" w:before="20" w:after="20"/>
              <w:ind w:firstLine="0"/>
              <w:jc w:val="left"/>
            </w:pPr>
            <w:r>
              <w:rPr>
                <w:rFonts w:ascii="Times New Roman" w:hAnsi="Times New Roman"/>
                <w:sz w:val="18"/>
              </w:rPr>
              <w:t>2025 (ano-base adotado)</w:t>
            </w:r>
          </w:p>
        </w:tc>
        <w:tc>
          <w:tcPr>
            <w:tcW w:type="dxa" w:w="2290"/>
          </w:tcPr>
          <w:p>
            <w:pPr>
              <w:pStyle w:val="Compact"/>
              <w:spacing w:line="240" w:lineRule="auto" w:before="20" w:after="20"/>
              <w:ind w:firstLine="0"/>
              <w:jc w:val="right"/>
            </w:pPr>
            <w:r>
              <w:rPr>
                <w:rFonts w:ascii="Times New Roman" w:hAnsi="Times New Roman"/>
                <w:sz w:val="18"/>
              </w:rPr>
              <w:t>3,9360</w:t>
            </w:r>
          </w:p>
        </w:tc>
        <w:tc>
          <w:tcPr>
            <w:tcW w:type="dxa" w:w="2290"/>
          </w:tcPr>
          <w:p>
            <w:pPr>
              <w:pStyle w:val="Compact"/>
              <w:spacing w:line="240" w:lineRule="auto" w:before="20" w:after="20"/>
              <w:ind w:firstLine="0"/>
              <w:jc w:val="right"/>
            </w:pPr>
            <w:r>
              <w:rPr>
                <w:rFonts w:ascii="Times New Roman" w:hAnsi="Times New Roman"/>
                <w:sz w:val="18"/>
              </w:rPr>
              <w:t>−0,03%</w:t>
            </w:r>
          </w:p>
        </w:tc>
        <w:tc>
          <w:tcPr>
            <w:tcW w:type="dxa" w:w="1673"/>
          </w:tcPr>
          <w:p>
            <w:pPr>
              <w:pStyle w:val="Compact"/>
              <w:spacing w:line="240" w:lineRule="auto" w:before="20" w:after="20"/>
              <w:ind w:firstLine="0"/>
              <w:jc w:val="right"/>
            </w:pPr>
            <w:r>
              <w:rPr>
                <w:rFonts w:ascii="Times New Roman" w:hAnsi="Times New Roman"/>
                <w:sz w:val="18"/>
              </w:rPr>
              <w:t>+0,77%</w:t>
            </w:r>
          </w:p>
        </w:tc>
        <w:tc>
          <w:tcPr>
            <w:tcW w:type="dxa" w:w="1849"/>
          </w:tcPr>
          <w:p>
            <w:pPr>
              <w:pStyle w:val="Compact"/>
              <w:spacing w:line="240" w:lineRule="auto" w:before="20" w:after="20"/>
              <w:ind w:firstLine="0"/>
              <w:jc w:val="right"/>
            </w:pPr>
            <w:r>
              <w:rPr>
                <w:rFonts w:ascii="Times New Roman" w:hAnsi="Times New Roman"/>
                <w:sz w:val="18"/>
              </w:rPr>
              <w:t>+1,56%</w:t>
            </w:r>
          </w:p>
        </w:tc>
      </w:tr>
      <w:tr>
        <w:trPr>
          <w:cantSplit/>
        </w:trPr>
        <w:tc>
          <w:tcPr>
            <w:tcW w:type="dxa" w:w="968"/>
          </w:tcPr>
          <w:p>
            <w:pPr>
              <w:pStyle w:val="Compact"/>
              <w:spacing w:line="240" w:lineRule="auto" w:before="20" w:after="20"/>
              <w:ind w:firstLine="0"/>
              <w:jc w:val="left"/>
            </w:pPr>
            <w:r>
              <w:rPr>
                <w:rFonts w:ascii="Times New Roman" w:hAnsi="Times New Roman"/>
                <w:sz w:val="18"/>
              </w:rPr>
              <w:t>2026 (estimado)</w:t>
            </w:r>
          </w:p>
        </w:tc>
        <w:tc>
          <w:tcPr>
            <w:tcW w:type="dxa" w:w="2290"/>
          </w:tcPr>
          <w:p>
            <w:pPr>
              <w:pStyle w:val="Compact"/>
              <w:spacing w:line="240" w:lineRule="auto" w:before="20" w:after="20"/>
              <w:ind w:firstLine="0"/>
              <w:jc w:val="right"/>
            </w:pPr>
            <w:r>
              <w:rPr>
                <w:rFonts w:ascii="Times New Roman" w:hAnsi="Times New Roman"/>
                <w:sz w:val="18"/>
              </w:rPr>
              <w:t>3,8645</w:t>
            </w:r>
          </w:p>
        </w:tc>
        <w:tc>
          <w:tcPr>
            <w:tcW w:type="dxa" w:w="2290"/>
          </w:tcPr>
          <w:p>
            <w:pPr>
              <w:pStyle w:val="Compact"/>
              <w:spacing w:line="240" w:lineRule="auto" w:before="20" w:after="20"/>
              <w:ind w:firstLine="0"/>
              <w:jc w:val="right"/>
            </w:pPr>
            <w:r>
              <w:rPr>
                <w:rFonts w:ascii="Times New Roman" w:hAnsi="Times New Roman"/>
                <w:sz w:val="18"/>
              </w:rPr>
              <w:t>+1,82%</w:t>
            </w:r>
          </w:p>
        </w:tc>
        <w:tc>
          <w:tcPr>
            <w:tcW w:type="dxa" w:w="1673"/>
          </w:tcPr>
          <w:p>
            <w:pPr>
              <w:pStyle w:val="Compact"/>
              <w:spacing w:line="240" w:lineRule="auto" w:before="20" w:after="20"/>
              <w:ind w:firstLine="0"/>
              <w:jc w:val="right"/>
            </w:pPr>
            <w:r>
              <w:rPr>
                <w:rFonts w:ascii="Times New Roman" w:hAnsi="Times New Roman"/>
                <w:sz w:val="18"/>
              </w:rPr>
              <w:t>+2,63%</w:t>
            </w:r>
          </w:p>
        </w:tc>
        <w:tc>
          <w:tcPr>
            <w:tcW w:type="dxa" w:w="1849"/>
          </w:tcPr>
          <w:p>
            <w:pPr>
              <w:pStyle w:val="Compact"/>
              <w:spacing w:line="240" w:lineRule="auto" w:before="20" w:after="20"/>
              <w:ind w:firstLine="0"/>
              <w:jc w:val="right"/>
            </w:pPr>
            <w:r>
              <w:rPr>
                <w:rFonts w:ascii="Times New Roman" w:hAnsi="Times New Roman"/>
                <w:sz w:val="18"/>
              </w:rPr>
              <w:t>+3,44%</w:t>
            </w:r>
          </w:p>
        </w:tc>
      </w:tr>
      <w:tr>
        <w:trPr>
          <w:cantSplit/>
        </w:trPr>
        <w:tc>
          <w:tcPr>
            <w:tcW w:type="dxa" w:w="968"/>
          </w:tcPr>
          <w:p>
            <w:pPr>
              <w:pStyle w:val="Compact"/>
              <w:spacing w:line="240" w:lineRule="auto" w:before="20" w:after="20"/>
              <w:ind w:firstLine="0"/>
              <w:jc w:val="left"/>
            </w:pPr>
            <w:r>
              <w:rPr>
                <w:rFonts w:ascii="Times New Roman" w:hAnsi="Times New Roman"/>
                <w:sz w:val="18"/>
              </w:rPr>
              <w:t>Média de 2019 a 2026</w:t>
            </w:r>
          </w:p>
        </w:tc>
        <w:tc>
          <w:tcPr>
            <w:tcW w:type="dxa" w:w="2290"/>
          </w:tcPr>
          <w:p>
            <w:pPr>
              <w:pStyle w:val="Compact"/>
              <w:spacing w:line="240" w:lineRule="auto" w:before="20" w:after="20"/>
              <w:ind w:firstLine="0"/>
              <w:jc w:val="right"/>
            </w:pPr>
            <w:r>
              <w:rPr>
                <w:rFonts w:ascii="Times New Roman" w:hAnsi="Times New Roman"/>
                <w:sz w:val="18"/>
              </w:rPr>
              <w:t>3,9798</w:t>
            </w:r>
          </w:p>
        </w:tc>
        <w:tc>
          <w:tcPr>
            <w:tcW w:type="dxa" w:w="2290"/>
          </w:tcPr>
          <w:p>
            <w:pPr>
              <w:pStyle w:val="Compact"/>
              <w:spacing w:line="240" w:lineRule="auto" w:before="20" w:after="20"/>
              <w:ind w:firstLine="0"/>
              <w:jc w:val="right"/>
            </w:pPr>
            <w:r>
              <w:rPr>
                <w:rFonts w:ascii="Times New Roman" w:hAnsi="Times New Roman"/>
                <w:sz w:val="18"/>
              </w:rPr>
              <w:t>−1,13%</w:t>
            </w:r>
          </w:p>
        </w:tc>
        <w:tc>
          <w:tcPr>
            <w:tcW w:type="dxa" w:w="1673"/>
          </w:tcPr>
          <w:p>
            <w:pPr>
              <w:pStyle w:val="Compact"/>
              <w:spacing w:line="240" w:lineRule="auto" w:before="20" w:after="20"/>
              <w:ind w:firstLine="0"/>
              <w:jc w:val="right"/>
            </w:pPr>
            <w:r>
              <w:rPr>
                <w:rFonts w:ascii="Times New Roman" w:hAnsi="Times New Roman"/>
                <w:sz w:val="18"/>
              </w:rPr>
              <w:t>−0,34%</w:t>
            </w:r>
          </w:p>
        </w:tc>
        <w:tc>
          <w:tcPr>
            <w:tcW w:type="dxa" w:w="1849"/>
          </w:tcPr>
          <w:p>
            <w:pPr>
              <w:pStyle w:val="Compact"/>
              <w:spacing w:line="240" w:lineRule="auto" w:before="20" w:after="20"/>
              <w:ind w:firstLine="0"/>
              <w:jc w:val="right"/>
            </w:pPr>
            <w:r>
              <w:rPr>
                <w:rFonts w:ascii="Times New Roman" w:hAnsi="Times New Roman"/>
                <w:sz w:val="18"/>
              </w:rPr>
              <w:t>+0,45%</w:t>
            </w:r>
          </w:p>
        </w:tc>
      </w:tr>
      <w:tr>
        <w:trPr>
          <w:cantSplit/>
        </w:trPr>
        <w:tc>
          <w:tcPr>
            <w:tcW w:type="dxa" w:w="968"/>
          </w:tcPr>
          <w:p>
            <w:pPr>
              <w:pStyle w:val="Compact"/>
              <w:spacing w:line="240" w:lineRule="auto" w:before="20" w:after="20"/>
              <w:ind w:firstLine="0"/>
              <w:jc w:val="left"/>
            </w:pPr>
            <w:r>
              <w:rPr>
                <w:rFonts w:ascii="Times New Roman" w:hAnsi="Times New Roman"/>
                <w:sz w:val="18"/>
              </w:rPr>
              <w:t>2019</w:t>
            </w:r>
          </w:p>
        </w:tc>
        <w:tc>
          <w:tcPr>
            <w:tcW w:type="dxa" w:w="2290"/>
          </w:tcPr>
          <w:p>
            <w:pPr>
              <w:pStyle w:val="Compact"/>
              <w:spacing w:line="240" w:lineRule="auto" w:before="20" w:after="20"/>
              <w:ind w:firstLine="0"/>
              <w:jc w:val="right"/>
            </w:pPr>
            <w:r>
              <w:rPr>
                <w:rFonts w:ascii="Times New Roman" w:hAnsi="Times New Roman"/>
                <w:sz w:val="18"/>
              </w:rPr>
              <w:t>4,0325</w:t>
            </w:r>
          </w:p>
        </w:tc>
        <w:tc>
          <w:tcPr>
            <w:tcW w:type="dxa" w:w="2290"/>
          </w:tcPr>
          <w:p>
            <w:pPr>
              <w:pStyle w:val="Compact"/>
              <w:spacing w:line="240" w:lineRule="auto" w:before="20" w:after="20"/>
              <w:ind w:firstLine="0"/>
              <w:jc w:val="right"/>
            </w:pPr>
            <w:r>
              <w:rPr>
                <w:rFonts w:ascii="Times New Roman" w:hAnsi="Times New Roman"/>
                <w:sz w:val="18"/>
              </w:rPr>
              <w:t>−2,42%</w:t>
            </w:r>
          </w:p>
        </w:tc>
        <w:tc>
          <w:tcPr>
            <w:tcW w:type="dxa" w:w="1673"/>
          </w:tcPr>
          <w:p>
            <w:pPr>
              <w:pStyle w:val="Compact"/>
              <w:spacing w:line="240" w:lineRule="auto" w:before="20" w:after="20"/>
              <w:ind w:firstLine="0"/>
              <w:jc w:val="right"/>
            </w:pPr>
            <w:r>
              <w:rPr>
                <w:rFonts w:ascii="Times New Roman" w:hAnsi="Times New Roman"/>
                <w:sz w:val="18"/>
              </w:rPr>
              <w:t>−1,64%</w:t>
            </w:r>
          </w:p>
        </w:tc>
        <w:tc>
          <w:tcPr>
            <w:tcW w:type="dxa" w:w="1849"/>
          </w:tcPr>
          <w:p>
            <w:pPr>
              <w:pStyle w:val="Compact"/>
              <w:spacing w:line="240" w:lineRule="auto" w:before="20" w:after="20"/>
              <w:ind w:firstLine="0"/>
              <w:jc w:val="right"/>
            </w:pPr>
            <w:r>
              <w:rPr>
                <w:rFonts w:ascii="Times New Roman" w:hAnsi="Times New Roman"/>
                <w:sz w:val="18"/>
              </w:rPr>
              <w:t>−0,87%</w:t>
            </w:r>
          </w:p>
        </w:tc>
      </w:tr>
    </w:tbl>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Variação da receita estadual projetada para 2033 em relação ao cenário sem reforma definido pelo ano-base indicado. A variação do coeficiente de destino é de 8% para mais e para menos, correspondente à incerteza relativa estimada para o coeficiente. Variar o peso das compras públicas no IBS estadual entre 0% e 12% altera o coeficiente de destino estadual entre 4,14% e 4,12% e a variação de 2033 entre +0,79% e +0,74%, no ano-base de 2025.</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Elaboração própria, com base nos coeficientes estimados e nas projeções nacionais do modelo.</w:t>
      </w:r>
    </w:p>
    <w:bookmarkEnd w:id="71"/>
    <w:bookmarkStart w:id="75" w:name="X72e72ea8d9dd46fde6e445fc8485680d11923df"/>
    <w:p>
      <w:pPr>
        <w:pStyle w:val="Heading1"/>
        <w:pageBreakBefore/>
      </w:pPr>
      <w:r>
        <w:t xml:space="preserve">Anexo B: Auditoria dos dados municipais e comparação de fontes</w:t>
      </w:r>
    </w:p>
    <w:p>
      <w:pPr>
        <w:pStyle w:val="FirstParagraph"/>
      </w:pPr>
      <w:r>
        <w:t xml:space="preserve">Este anexo documenta como a escolha e a reconciliação das fontes afetam os resultados municipais. A primeira coluna utiliza diretamente os registros municipais disponíveis na DCA/SICONFI. A metodologia adotada no cenário principal mantém o agregado estadual da cota-parte, mas utiliza o Portal da Transparência do Paraná para sua distribuição entre municípios; para o ISS, mantém a DCA como fonte principal e substitui observações apenas quando uma divergência material é confirmada pelo PIT/TCE-PR.</w:t>
      </w:r>
    </w:p>
    <w:bookmarkStart w:id="72" w:name="tab:auditoria_resumo"/>
    <w:p>
      <w:pPr>
        <w:pStyle w:val="TableCaption"/>
      </w:pPr>
      <w:r>
        <w:rPr>
          <w:b/>
          <w:bCs/>
        </w:rPr>
        <w:t xml:space="preserve">Tabela B.1:</w:t>
      </w:r>
      <w:r>
        <w:t xml:space="preserve"> Resultados com uso direto da DCA municipal e com a base auditada</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B.1: Resultados com uso direto da DCA municipal e com a base auditada"/>
      </w:tblPr>
      <w:tblGrid>
        <w:gridCol w:w="4536"/>
        <w:gridCol w:w="2381"/>
        <w:gridCol w:w="2154"/>
      </w:tblGrid>
      <w:tr>
        <w:trPr>
          <w:tblHeader w:val="on"/>
          <w:cantSplit/>
          <w:tblHeader/>
        </w:trPr>
        <w:tc>
          <w:tcPr>
            <w:tcW w:type="dxa" w:w="453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Indicador</w:t>
            </w:r>
          </w:p>
        </w:tc>
        <w:tc>
          <w:tcPr>
            <w:tcW w:type="dxa" w:w="238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DCA municipal</w:t>
            </w:r>
          </w:p>
        </w:tc>
        <w:tc>
          <w:tcPr>
            <w:tcW w:type="dxa" w:w="215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Base auditada</w:t>
            </w:r>
          </w:p>
        </w:tc>
      </w:tr>
      <w:tr>
        <w:trPr>
          <w:cantSplit/>
        </w:trPr>
        <w:tc>
          <w:tcPr>
            <w:tcW w:type="dxa" w:w="4536"/>
          </w:tcPr>
          <w:p>
            <w:pPr>
              <w:pStyle w:val="Compact"/>
              <w:spacing w:line="240" w:lineRule="auto" w:before="20" w:after="20"/>
              <w:ind w:firstLine="0"/>
              <w:jc w:val="left"/>
            </w:pPr>
            <w:r>
              <w:rPr>
                <w:rFonts w:ascii="Times New Roman" w:hAnsi="Times New Roman"/>
                <w:sz w:val="18"/>
              </w:rPr>
              <w:t>Municípios</w:t>
            </w:r>
          </w:p>
        </w:tc>
        <w:tc>
          <w:tcPr>
            <w:tcW w:type="dxa" w:w="2381"/>
          </w:tcPr>
          <w:p>
            <w:pPr>
              <w:pStyle w:val="Compact"/>
              <w:spacing w:line="240" w:lineRule="auto" w:before="20" w:after="20"/>
              <w:ind w:firstLine="0"/>
              <w:jc w:val="right"/>
            </w:pPr>
            <w:r>
              <w:rPr>
                <w:rFonts w:ascii="Times New Roman" w:hAnsi="Times New Roman"/>
                <w:sz w:val="18"/>
              </w:rPr>
              <w:t>399</w:t>
            </w:r>
          </w:p>
        </w:tc>
        <w:tc>
          <w:tcPr>
            <w:tcW w:type="dxa" w:w="2154"/>
          </w:tcPr>
          <w:p>
            <w:pPr>
              <w:pStyle w:val="Compact"/>
              <w:spacing w:line="240" w:lineRule="auto" w:before="20" w:after="20"/>
              <w:ind w:firstLine="0"/>
              <w:jc w:val="right"/>
            </w:pPr>
            <w:r>
              <w:rPr>
                <w:rFonts w:ascii="Times New Roman" w:hAnsi="Times New Roman"/>
                <w:sz w:val="18"/>
              </w:rPr>
              <w:t>399</w:t>
            </w:r>
          </w:p>
        </w:tc>
      </w:tr>
      <w:tr>
        <w:trPr>
          <w:cantSplit/>
        </w:trPr>
        <w:tc>
          <w:tcPr>
            <w:tcW w:type="dxa" w:w="4536"/>
          </w:tcPr>
          <w:p>
            <w:pPr>
              <w:pStyle w:val="Compact"/>
              <w:spacing w:line="240" w:lineRule="auto" w:before="20" w:after="20"/>
              <w:ind w:firstLine="0"/>
              <w:jc w:val="left"/>
            </w:pPr>
            <w:r>
              <w:rPr>
                <w:rFonts w:ascii="Times New Roman" w:hAnsi="Times New Roman"/>
                <w:sz w:val="18"/>
              </w:rPr>
              <w:t xml:space="preserve">Resultado negativo em 2033</w:t>
            </w:r>
          </w:p>
        </w:tc>
        <w:tc>
          <w:tcPr>
            <w:tcW w:type="dxa" w:w="2381"/>
          </w:tcPr>
          <w:p>
            <w:pPr>
              <w:pStyle w:val="Compact"/>
              <w:spacing w:line="240" w:lineRule="auto" w:before="20" w:after="20"/>
              <w:ind w:firstLine="0"/>
              <w:jc w:val="right"/>
            </w:pPr>
            <w:r>
              <w:rPr>
                <w:rFonts w:ascii="Times New Roman" w:hAnsi="Times New Roman"/>
                <w:sz w:val="18"/>
              </w:rPr>
              <w:t>315</w:t>
            </w:r>
          </w:p>
        </w:tc>
        <w:tc>
          <w:tcPr>
            <w:tcW w:type="dxa" w:w="2154"/>
          </w:tcPr>
          <w:p>
            <w:pPr>
              <w:pStyle w:val="Compact"/>
              <w:spacing w:line="240" w:lineRule="auto" w:before="20" w:after="20"/>
              <w:ind w:firstLine="0"/>
              <w:jc w:val="right"/>
            </w:pPr>
            <w:r>
              <w:rPr>
                <w:rFonts w:ascii="Times New Roman" w:hAnsi="Times New Roman"/>
                <w:sz w:val="18"/>
              </w:rPr>
              <w:t>229</w:t>
            </w:r>
          </w:p>
        </w:tc>
      </w:tr>
      <w:tr>
        <w:trPr>
          <w:cantSplit/>
        </w:trPr>
        <w:tc>
          <w:tcPr>
            <w:tcW w:type="dxa" w:w="4536"/>
          </w:tcPr>
          <w:p>
            <w:pPr>
              <w:pStyle w:val="Compact"/>
              <w:spacing w:line="240" w:lineRule="auto" w:before="20" w:after="20"/>
              <w:ind w:firstLine="0"/>
              <w:jc w:val="left"/>
            </w:pPr>
            <w:r>
              <w:rPr>
                <w:rFonts w:ascii="Times New Roman" w:hAnsi="Times New Roman"/>
                <w:sz w:val="18"/>
              </w:rPr>
              <w:t xml:space="preserve">Resultado positivo em 2033</w:t>
            </w:r>
          </w:p>
        </w:tc>
        <w:tc>
          <w:tcPr>
            <w:tcW w:type="dxa" w:w="2381"/>
          </w:tcPr>
          <w:p>
            <w:pPr>
              <w:pStyle w:val="Compact"/>
              <w:spacing w:line="240" w:lineRule="auto" w:before="20" w:after="20"/>
              <w:ind w:firstLine="0"/>
              <w:jc w:val="right"/>
            </w:pPr>
            <w:r>
              <w:rPr>
                <w:rFonts w:ascii="Times New Roman" w:hAnsi="Times New Roman"/>
                <w:sz w:val="18"/>
              </w:rPr>
              <w:t>84</w:t>
            </w:r>
          </w:p>
        </w:tc>
        <w:tc>
          <w:tcPr>
            <w:tcW w:type="dxa" w:w="2154"/>
          </w:tcPr>
          <w:p>
            <w:pPr>
              <w:pStyle w:val="Compact"/>
              <w:spacing w:line="240" w:lineRule="auto" w:before="20" w:after="20"/>
              <w:ind w:firstLine="0"/>
              <w:jc w:val="right"/>
            </w:pPr>
            <w:r>
              <w:rPr>
                <w:rFonts w:ascii="Times New Roman" w:hAnsi="Times New Roman"/>
                <w:sz w:val="18"/>
              </w:rPr>
              <w:t>170</w:t>
            </w:r>
          </w:p>
        </w:tc>
      </w:tr>
      <w:tr>
        <w:trPr>
          <w:cantSplit/>
        </w:trPr>
        <w:tc>
          <w:tcPr>
            <w:tcW w:type="dxa" w:w="4536"/>
          </w:tcPr>
          <w:p>
            <w:pPr>
              <w:pStyle w:val="Compact"/>
              <w:spacing w:line="240" w:lineRule="auto" w:before="20" w:after="20"/>
              <w:ind w:firstLine="0"/>
              <w:jc w:val="left"/>
            </w:pPr>
            <w:r>
              <w:rPr>
                <w:rFonts w:ascii="Times New Roman" w:hAnsi="Times New Roman"/>
                <w:sz w:val="18"/>
              </w:rPr>
              <w:t xml:space="preserve">Mediana da variação em 2033</w:t>
            </w:r>
          </w:p>
        </w:tc>
        <w:tc>
          <w:tcPr>
            <w:tcW w:type="dxa" w:w="2381"/>
          </w:tcPr>
          <w:p>
            <w:pPr>
              <w:pStyle w:val="Compact"/>
              <w:spacing w:line="240" w:lineRule="auto" w:before="20" w:after="20"/>
              <w:ind w:firstLine="0"/>
              <w:jc w:val="right"/>
            </w:pPr>
            <w:r>
              <w:rPr>
                <w:rFonts w:ascii="Times New Roman" w:hAnsi="Times New Roman"/>
                <w:sz w:val="18"/>
              </w:rPr>
              <w:t>−5,78%</w:t>
            </w:r>
          </w:p>
        </w:tc>
        <w:tc>
          <w:tcPr>
            <w:tcW w:type="dxa" w:w="2154"/>
          </w:tcPr>
          <w:p>
            <w:pPr>
              <w:pStyle w:val="Compact"/>
              <w:spacing w:line="240" w:lineRule="auto" w:before="20" w:after="20"/>
              <w:ind w:firstLine="0"/>
              <w:jc w:val="right"/>
            </w:pPr>
            <w:r>
              <w:rPr>
                <w:rFonts w:ascii="Times New Roman" w:hAnsi="Times New Roman"/>
                <w:sz w:val="18"/>
              </w:rPr>
              <w:t>−1,16%</w:t>
            </w:r>
          </w:p>
        </w:tc>
      </w:tr>
      <w:tr>
        <w:trPr>
          <w:cantSplit/>
        </w:trPr>
        <w:tc>
          <w:tcPr>
            <w:tcW w:type="dxa" w:w="4536"/>
          </w:tcPr>
          <w:p>
            <w:pPr>
              <w:pStyle w:val="Compact"/>
              <w:spacing w:line="240" w:lineRule="auto" w:before="20" w:after="20"/>
              <w:ind w:firstLine="0"/>
              <w:jc w:val="left"/>
            </w:pPr>
            <w:r>
              <w:rPr>
                <w:rFonts w:ascii="Times New Roman" w:hAnsi="Times New Roman"/>
                <w:sz w:val="18"/>
              </w:rPr>
              <w:t xml:space="preserve">Repasse municipal do Seguro-Receita, 2029 a 2033</w:t>
            </w:r>
          </w:p>
        </w:tc>
        <w:tc>
          <w:tcPr>
            <w:tcW w:type="dxa" w:w="2381"/>
          </w:tcPr>
          <w:p>
            <w:pPr>
              <w:pStyle w:val="Compact"/>
              <w:spacing w:line="240" w:lineRule="auto" w:before="20" w:after="20"/>
              <w:ind w:firstLine="0"/>
              <w:jc w:val="right"/>
            </w:pPr>
            <w:r>
              <w:rPr>
                <w:rFonts w:ascii="Times New Roman" w:hAnsi="Times New Roman"/>
                <w:sz w:val="18"/>
              </w:rPr>
              <w:t>R$ 598,8 mi</w:t>
            </w:r>
          </w:p>
        </w:tc>
        <w:tc>
          <w:tcPr>
            <w:tcW w:type="dxa" w:w="2154"/>
          </w:tcPr>
          <w:p>
            <w:pPr>
              <w:pStyle w:val="Compact"/>
              <w:spacing w:line="240" w:lineRule="auto" w:before="20" w:after="20"/>
              <w:ind w:firstLine="0"/>
              <w:jc w:val="right"/>
            </w:pPr>
            <w:r>
              <w:rPr>
                <w:rFonts w:ascii="Times New Roman" w:hAnsi="Times New Roman"/>
                <w:sz w:val="18"/>
              </w:rPr>
              <w:t>R$ 562,3 mi</w:t>
            </w:r>
          </w:p>
        </w:tc>
      </w:tr>
      <w:tr>
        <w:trPr>
          <w:cantSplit/>
        </w:trPr>
        <w:tc>
          <w:tcPr>
            <w:tcW w:type="dxa" w:w="4536"/>
          </w:tcPr>
          <w:p>
            <w:pPr>
              <w:pStyle w:val="Compact"/>
              <w:spacing w:line="240" w:lineRule="auto" w:before="20" w:after="20"/>
              <w:ind w:firstLine="0"/>
              <w:jc w:val="left"/>
            </w:pPr>
            <w:r>
              <w:rPr>
                <w:rFonts w:ascii="Times New Roman" w:hAnsi="Times New Roman"/>
                <w:sz w:val="18"/>
              </w:rPr>
              <w:t xml:space="preserve">Variação agregada dos municípios em 2033</w:t>
            </w:r>
          </w:p>
        </w:tc>
        <w:tc>
          <w:tcPr>
            <w:tcW w:type="dxa" w:w="2381"/>
          </w:tcPr>
          <w:p>
            <w:pPr>
              <w:pStyle w:val="Compact"/>
              <w:spacing w:line="240" w:lineRule="auto" w:before="20" w:after="20"/>
              <w:ind w:firstLine="0"/>
              <w:jc w:val="right"/>
            </w:pPr>
            <w:r>
              <w:rPr>
                <w:rFonts w:ascii="Times New Roman" w:hAnsi="Times New Roman"/>
                <w:sz w:val="18"/>
              </w:rPr>
              <w:t>−0,78%</w:t>
            </w:r>
          </w:p>
        </w:tc>
        <w:tc>
          <w:tcPr>
            <w:tcW w:type="dxa" w:w="2154"/>
          </w:tcPr>
          <w:p>
            <w:pPr>
              <w:pStyle w:val="Compact"/>
              <w:spacing w:line="240" w:lineRule="auto" w:before="20" w:after="20"/>
              <w:ind w:firstLine="0"/>
              <w:jc w:val="right"/>
            </w:pPr>
            <w:r>
              <w:rPr>
                <w:rFonts w:ascii="Times New Roman" w:hAnsi="Times New Roman"/>
                <w:sz w:val="18"/>
              </w:rPr>
              <w:t>−2,94%</w:t>
            </w:r>
          </w:p>
        </w:tc>
      </w:tr>
    </w:tbl>
    <w:bookmarkEnd w:id="72"/>
    <w:p>
      <w:pPr>
        <w:pStyle w:val="BodyText"/>
        <w:spacing w:line="240" w:lineRule="auto" w:before="40" w:after="0"/>
        <w:ind w:firstLine="0"/>
        <w:jc w:val="both"/>
      </w:pPr>
      <w:r>
        <w:rPr>
          <w:rFonts w:ascii="Times New Roman" w:hAnsi="Times New Roman"/>
          <w:i/>
          <w:iCs/>
          <w:sz w:val="18"/>
        </w:rPr>
        <w:t>Nota: Nos 399 municípios, 104 mudam de sinal entre as metodologias e a revisão absoluta média da variação de 2033 é de 6,65 pontos percentuais.</w:t>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 a partir das bases auditadas de DCA/SICONFI, Portal da Transparência do Paraná e PIT/TCE-PR.</w:t>
      </w:r>
    </w:p>
    <w:bookmarkStart w:id="73" w:name="tab:auditoria_casos"/>
    <w:p>
      <w:pPr>
        <w:pStyle w:val="TableCaption"/>
      </w:pPr>
      <w:r>
        <w:rPr>
          <w:b/>
          <w:bCs/>
        </w:rPr>
        <w:t xml:space="preserve">Tabela B.2:</w:t>
      </w:r>
      <w:r>
        <w:t xml:space="preserve"> Casos selecionados: uso direto da DCA municipal e base auditada em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B.2: Casos selecionados: uso direto da DCA municipal e base auditada em 2033"/>
      </w:tblPr>
      <w:tblGrid>
        <w:gridCol w:w="2007"/>
        <w:gridCol w:w="1561"/>
        <w:gridCol w:w="1412"/>
        <w:gridCol w:w="1115"/>
        <w:gridCol w:w="2974"/>
      </w:tblGrid>
      <w:tr>
        <w:trPr>
          <w:tblHeader w:val="on"/>
          <w:cantSplit/>
          <w:tblHeader/>
        </w:trPr>
        <w:tc>
          <w:tcPr>
            <w:tcW w:type="dxa" w:w="200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Município</w:t>
            </w:r>
          </w:p>
        </w:tc>
        <w:tc>
          <w:tcPr>
            <w:tcW w:type="dxa" w:w="156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DCA municipal</w:t>
            </w:r>
          </w:p>
        </w:tc>
        <w:tc>
          <w:tcPr>
            <w:tcW w:type="dxa" w:w="141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Auditada</w:t>
            </w:r>
          </w:p>
        </w:tc>
        <w:tc>
          <w:tcPr>
            <w:tcW w:type="dxa" w:w="1115"/>
            <w:tcBorders>
              <w:top w:val="single" w:sz="12" w:space="0" w:color="000000"/>
              <w:bottom w:val="single" w:sz="6" w:space="0" w:color="000000"/>
            </w:tcBorders>
          </w:tcPr>
          <w:p>
            <w:pPr>
              <w:pStyle w:val="Compact"/>
              <w:spacing w:line="240" w:lineRule="auto" w:before="20" w:after="20"/>
              <w:ind w:firstLine="0"/>
              <w:jc w:val="center"/>
            </w:pPr>
            <m:oMath>
              <m:r>
                <m:rPr>
                  <m:sty m:val="p"/>
                </m:rPr>
                <m:t>Δ</m:t>
              </m:r>
            </m:oMath>
            <w:r>
              <w:rPr>
                <w:rFonts w:ascii="Times New Roman" w:hAnsi="Times New Roman"/>
                <w:b/>
                <w:bCs/>
                <w:sz w:val="18"/>
              </w:rPr>
              <w:t xml:space="preserve"> </w:t>
            </w:r>
            <w:r>
              <w:rPr>
                <w:rFonts w:ascii="Times New Roman" w:hAnsi="Times New Roman"/>
                <w:b/>
                <w:bCs/>
                <w:sz w:val="18"/>
              </w:rPr>
              <w:t xml:space="preserve">p.p.</w:t>
            </w:r>
          </w:p>
        </w:tc>
        <w:tc>
          <w:tcPr>
            <w:tcW w:type="dxa" w:w="297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Principal diagnóstico</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Barbosa Ferraz</w:t>
            </w:r>
          </w:p>
        </w:tc>
        <w:tc>
          <w:tcPr>
            <w:tcW w:type="dxa" w:w="1561"/>
          </w:tcPr>
          <w:p>
            <w:pPr>
              <w:pStyle w:val="Compact"/>
              <w:spacing w:line="240" w:lineRule="auto" w:before="20" w:after="20"/>
              <w:ind w:firstLine="0"/>
              <w:jc w:val="right"/>
            </w:pPr>
            <w:r>
              <w:rPr>
                <w:rFonts w:ascii="Times New Roman" w:hAnsi="Times New Roman"/>
                <w:sz w:val="18"/>
              </w:rPr>
              <w:t>+451,9%</w:t>
            </w:r>
          </w:p>
        </w:tc>
        <w:tc>
          <w:tcPr>
            <w:tcW w:type="dxa" w:w="1412"/>
          </w:tcPr>
          <w:p>
            <w:pPr>
              <w:pStyle w:val="Compact"/>
              <w:spacing w:line="240" w:lineRule="auto" w:before="20" w:after="20"/>
              <w:ind w:firstLine="0"/>
              <w:jc w:val="right"/>
            </w:pPr>
            <w:r>
              <w:rPr>
                <w:rFonts w:ascii="Times New Roman" w:hAnsi="Times New Roman"/>
                <w:sz w:val="18"/>
              </w:rPr>
              <w:t>+4,2%</w:t>
            </w:r>
          </w:p>
        </w:tc>
        <w:tc>
          <w:tcPr>
            <w:tcW w:type="dxa" w:w="1115"/>
          </w:tcPr>
          <w:p>
            <w:pPr>
              <w:pStyle w:val="Compact"/>
              <w:spacing w:line="240" w:lineRule="auto" w:before="20" w:after="20"/>
              <w:ind w:firstLine="0"/>
              <w:jc w:val="right"/>
            </w:pPr>
            <w:r>
              <w:rPr>
                <w:rFonts w:ascii="Times New Roman" w:hAnsi="Times New Roman"/>
                <w:sz w:val="18"/>
              </w:rPr>
              <w:t>−447,7</w:t>
            </w:r>
          </w:p>
        </w:tc>
        <w:tc>
          <w:tcPr>
            <w:tcW w:type="dxa" w:w="2974"/>
          </w:tcPr>
          <w:p>
            <w:pPr>
              <w:pStyle w:val="Compact"/>
              <w:spacing w:line="240" w:lineRule="auto" w:before="20" w:after="20"/>
              <w:ind w:firstLine="0"/>
              <w:jc w:val="left"/>
            </w:pPr>
            <w:r>
              <w:rPr>
                <w:rFonts w:ascii="Times New Roman" w:hAnsi="Times New Roman"/>
                <w:sz w:val="18"/>
              </w:rPr>
              <w:t xml:space="preserve">Cota-parte de 2025 incompatível com o repasse estadual.</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Guaraqueçaba</w:t>
            </w:r>
          </w:p>
        </w:tc>
        <w:tc>
          <w:tcPr>
            <w:tcW w:type="dxa" w:w="1561"/>
          </w:tcPr>
          <w:p>
            <w:pPr>
              <w:pStyle w:val="Compact"/>
              <w:spacing w:line="240" w:lineRule="auto" w:before="20" w:after="20"/>
              <w:ind w:firstLine="0"/>
              <w:jc w:val="right"/>
            </w:pPr>
            <w:r>
              <w:rPr>
                <w:rFonts w:ascii="Times New Roman" w:hAnsi="Times New Roman"/>
                <w:sz w:val="18"/>
              </w:rPr>
              <w:t>−58,7%</w:t>
            </w:r>
          </w:p>
        </w:tc>
        <w:tc>
          <w:tcPr>
            <w:tcW w:type="dxa" w:w="1412"/>
          </w:tcPr>
          <w:p>
            <w:pPr>
              <w:pStyle w:val="Compact"/>
              <w:spacing w:line="240" w:lineRule="auto" w:before="20" w:after="20"/>
              <w:ind w:firstLine="0"/>
              <w:jc w:val="right"/>
            </w:pPr>
            <w:r>
              <w:rPr>
                <w:rFonts w:ascii="Times New Roman" w:hAnsi="Times New Roman"/>
                <w:sz w:val="18"/>
              </w:rPr>
              <w:t>+5,5%</w:t>
            </w:r>
          </w:p>
        </w:tc>
        <w:tc>
          <w:tcPr>
            <w:tcW w:type="dxa" w:w="1115"/>
          </w:tcPr>
          <w:p>
            <w:pPr>
              <w:pStyle w:val="Compact"/>
              <w:spacing w:line="240" w:lineRule="auto" w:before="20" w:after="20"/>
              <w:ind w:firstLine="0"/>
              <w:jc w:val="right"/>
            </w:pPr>
            <w:r>
              <w:rPr>
                <w:rFonts w:ascii="Times New Roman" w:hAnsi="Times New Roman"/>
                <w:sz w:val="18"/>
              </w:rPr>
              <w:t>+64,3</w:t>
            </w:r>
          </w:p>
        </w:tc>
        <w:tc>
          <w:tcPr>
            <w:tcW w:type="dxa" w:w="2974"/>
          </w:tcPr>
          <w:p>
            <w:pPr>
              <w:pStyle w:val="Compact"/>
              <w:spacing w:line="240" w:lineRule="auto" w:before="20" w:after="20"/>
              <w:ind w:firstLine="0"/>
              <w:jc w:val="left"/>
            </w:pPr>
            <w:r>
              <w:rPr>
                <w:rFonts w:ascii="Times New Roman" w:hAnsi="Times New Roman"/>
                <w:sz w:val="18"/>
              </w:rPr>
              <w:t xml:space="preserve">Divergência na cota-parte e ISS de 2025; ISS corrigido após confirmação no TCE-PR.</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Jataizinho</w:t>
            </w:r>
          </w:p>
        </w:tc>
        <w:tc>
          <w:tcPr>
            <w:tcW w:type="dxa" w:w="1561"/>
          </w:tcPr>
          <w:p>
            <w:pPr>
              <w:pStyle w:val="Compact"/>
              <w:spacing w:line="240" w:lineRule="auto" w:before="20" w:after="20"/>
              <w:ind w:firstLine="0"/>
              <w:jc w:val="right"/>
            </w:pPr>
            <w:r>
              <w:rPr>
                <w:rFonts w:ascii="Times New Roman" w:hAnsi="Times New Roman"/>
                <w:sz w:val="18"/>
              </w:rPr>
              <w:t>−25,9%</w:t>
            </w:r>
          </w:p>
        </w:tc>
        <w:tc>
          <w:tcPr>
            <w:tcW w:type="dxa" w:w="1412"/>
          </w:tcPr>
          <w:p>
            <w:pPr>
              <w:pStyle w:val="Compact"/>
              <w:spacing w:line="240" w:lineRule="auto" w:before="20" w:after="20"/>
              <w:ind w:firstLine="0"/>
              <w:jc w:val="right"/>
            </w:pPr>
            <w:r>
              <w:rPr>
                <w:rFonts w:ascii="Times New Roman" w:hAnsi="Times New Roman"/>
                <w:sz w:val="18"/>
              </w:rPr>
              <w:t>+11,4%</w:t>
            </w:r>
          </w:p>
        </w:tc>
        <w:tc>
          <w:tcPr>
            <w:tcW w:type="dxa" w:w="1115"/>
          </w:tcPr>
          <w:p>
            <w:pPr>
              <w:pStyle w:val="Compact"/>
              <w:spacing w:line="240" w:lineRule="auto" w:before="20" w:after="20"/>
              <w:ind w:firstLine="0"/>
              <w:jc w:val="right"/>
            </w:pPr>
            <w:r>
              <w:rPr>
                <w:rFonts w:ascii="Times New Roman" w:hAnsi="Times New Roman"/>
                <w:sz w:val="18"/>
              </w:rPr>
              <w:t>+37,3</w:t>
            </w:r>
          </w:p>
        </w:tc>
        <w:tc>
          <w:tcPr>
            <w:tcW w:type="dxa" w:w="2974"/>
          </w:tcPr>
          <w:p>
            <w:pPr>
              <w:pStyle w:val="Compact"/>
              <w:spacing w:line="240" w:lineRule="auto" w:before="20" w:after="20"/>
              <w:ind w:firstLine="0"/>
              <w:jc w:val="left"/>
            </w:pPr>
            <w:r>
              <w:rPr>
                <w:rFonts w:ascii="Times New Roman" w:hAnsi="Times New Roman"/>
                <w:sz w:val="18"/>
              </w:rPr>
              <w:t xml:space="preserve">Série incompleta; tratamento de faltantes alterava a média histórica.</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Alto Piquiri</w:t>
            </w:r>
          </w:p>
        </w:tc>
        <w:tc>
          <w:tcPr>
            <w:tcW w:type="dxa" w:w="1561"/>
          </w:tcPr>
          <w:p>
            <w:pPr>
              <w:pStyle w:val="Compact"/>
              <w:spacing w:line="240" w:lineRule="auto" w:before="20" w:after="20"/>
              <w:ind w:firstLine="0"/>
              <w:jc w:val="right"/>
            </w:pPr>
            <w:r>
              <w:rPr>
                <w:rFonts w:ascii="Times New Roman" w:hAnsi="Times New Roman"/>
                <w:sz w:val="18"/>
              </w:rPr>
              <w:t>−27,2%</w:t>
            </w:r>
          </w:p>
        </w:tc>
        <w:tc>
          <w:tcPr>
            <w:tcW w:type="dxa" w:w="1412"/>
          </w:tcPr>
          <w:p>
            <w:pPr>
              <w:pStyle w:val="Compact"/>
              <w:spacing w:line="240" w:lineRule="auto" w:before="20" w:after="20"/>
              <w:ind w:firstLine="0"/>
              <w:jc w:val="right"/>
            </w:pPr>
            <w:r>
              <w:rPr>
                <w:rFonts w:ascii="Times New Roman" w:hAnsi="Times New Roman"/>
                <w:sz w:val="18"/>
              </w:rPr>
              <w:t>−1,4%</w:t>
            </w:r>
          </w:p>
        </w:tc>
        <w:tc>
          <w:tcPr>
            <w:tcW w:type="dxa" w:w="1115"/>
          </w:tcPr>
          <w:p>
            <w:pPr>
              <w:pStyle w:val="Compact"/>
              <w:spacing w:line="240" w:lineRule="auto" w:before="20" w:after="20"/>
              <w:ind w:firstLine="0"/>
              <w:jc w:val="right"/>
            </w:pPr>
            <w:r>
              <w:rPr>
                <w:rFonts w:ascii="Times New Roman" w:hAnsi="Times New Roman"/>
                <w:sz w:val="18"/>
              </w:rPr>
              <w:t>+25,8</w:t>
            </w:r>
          </w:p>
        </w:tc>
        <w:tc>
          <w:tcPr>
            <w:tcW w:type="dxa" w:w="2974"/>
          </w:tcPr>
          <w:p>
            <w:pPr>
              <w:pStyle w:val="Compact"/>
              <w:spacing w:line="240" w:lineRule="auto" w:before="20" w:after="20"/>
              <w:ind w:firstLine="0"/>
              <w:jc w:val="left"/>
            </w:pPr>
            <w:r>
              <w:rPr>
                <w:rFonts w:ascii="Times New Roman" w:hAnsi="Times New Roman"/>
                <w:sz w:val="18"/>
              </w:rPr>
              <w:t xml:space="preserve">Cobertura parcial em anos da série histórica.</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Icaraíma</w:t>
            </w:r>
          </w:p>
        </w:tc>
        <w:tc>
          <w:tcPr>
            <w:tcW w:type="dxa" w:w="1561"/>
          </w:tcPr>
          <w:p>
            <w:pPr>
              <w:pStyle w:val="Compact"/>
              <w:spacing w:line="240" w:lineRule="auto" w:before="20" w:after="20"/>
              <w:ind w:firstLine="0"/>
              <w:jc w:val="right"/>
            </w:pPr>
            <w:r>
              <w:rPr>
                <w:rFonts w:ascii="Times New Roman" w:hAnsi="Times New Roman"/>
                <w:sz w:val="18"/>
              </w:rPr>
              <w:t>−18,7%</w:t>
            </w:r>
          </w:p>
        </w:tc>
        <w:tc>
          <w:tcPr>
            <w:tcW w:type="dxa" w:w="1412"/>
          </w:tcPr>
          <w:p>
            <w:pPr>
              <w:pStyle w:val="Compact"/>
              <w:spacing w:line="240" w:lineRule="auto" w:before="20" w:after="20"/>
              <w:ind w:firstLine="0"/>
              <w:jc w:val="right"/>
            </w:pPr>
            <w:r>
              <w:rPr>
                <w:rFonts w:ascii="Times New Roman" w:hAnsi="Times New Roman"/>
                <w:sz w:val="18"/>
              </w:rPr>
              <w:t>+4,2%</w:t>
            </w:r>
          </w:p>
        </w:tc>
        <w:tc>
          <w:tcPr>
            <w:tcW w:type="dxa" w:w="1115"/>
          </w:tcPr>
          <w:p>
            <w:pPr>
              <w:pStyle w:val="Compact"/>
              <w:spacing w:line="240" w:lineRule="auto" w:before="20" w:after="20"/>
              <w:ind w:firstLine="0"/>
              <w:jc w:val="right"/>
            </w:pPr>
            <w:r>
              <w:rPr>
                <w:rFonts w:ascii="Times New Roman" w:hAnsi="Times New Roman"/>
                <w:sz w:val="18"/>
              </w:rPr>
              <w:t>+22,9</w:t>
            </w:r>
          </w:p>
        </w:tc>
        <w:tc>
          <w:tcPr>
            <w:tcW w:type="dxa" w:w="2974"/>
          </w:tcPr>
          <w:p>
            <w:pPr>
              <w:pStyle w:val="Compact"/>
              <w:spacing w:line="240" w:lineRule="auto" w:before="20" w:after="20"/>
              <w:ind w:firstLine="0"/>
              <w:jc w:val="left"/>
            </w:pPr>
            <w:r>
              <w:rPr>
                <w:rFonts w:ascii="Times New Roman" w:hAnsi="Times New Roman"/>
                <w:sz w:val="18"/>
              </w:rPr>
              <w:t xml:space="preserve">Divergências na distribuição da cota-parte ao longo da série.</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Guaratuba</w:t>
            </w:r>
          </w:p>
        </w:tc>
        <w:tc>
          <w:tcPr>
            <w:tcW w:type="dxa" w:w="1561"/>
          </w:tcPr>
          <w:p>
            <w:pPr>
              <w:pStyle w:val="Compact"/>
              <w:spacing w:line="240" w:lineRule="auto" w:before="20" w:after="20"/>
              <w:ind w:firstLine="0"/>
              <w:jc w:val="right"/>
            </w:pPr>
            <w:r>
              <w:rPr>
                <w:rFonts w:ascii="Times New Roman" w:hAnsi="Times New Roman"/>
                <w:sz w:val="18"/>
              </w:rPr>
              <w:t>+9,4%</w:t>
            </w:r>
          </w:p>
        </w:tc>
        <w:tc>
          <w:tcPr>
            <w:tcW w:type="dxa" w:w="1412"/>
          </w:tcPr>
          <w:p>
            <w:pPr>
              <w:pStyle w:val="Compact"/>
              <w:spacing w:line="240" w:lineRule="auto" w:before="20" w:after="20"/>
              <w:ind w:firstLine="0"/>
              <w:jc w:val="right"/>
            </w:pPr>
            <w:r>
              <w:rPr>
                <w:rFonts w:ascii="Times New Roman" w:hAnsi="Times New Roman"/>
                <w:sz w:val="18"/>
              </w:rPr>
              <w:t>−15,0%</w:t>
            </w:r>
          </w:p>
        </w:tc>
        <w:tc>
          <w:tcPr>
            <w:tcW w:type="dxa" w:w="1115"/>
          </w:tcPr>
          <w:p>
            <w:pPr>
              <w:pStyle w:val="Compact"/>
              <w:spacing w:line="240" w:lineRule="auto" w:before="20" w:after="20"/>
              <w:ind w:firstLine="0"/>
              <w:jc w:val="right"/>
            </w:pPr>
            <w:r>
              <w:rPr>
                <w:rFonts w:ascii="Times New Roman" w:hAnsi="Times New Roman"/>
                <w:sz w:val="18"/>
              </w:rPr>
              <w:t>−24,4</w:t>
            </w:r>
          </w:p>
        </w:tc>
        <w:tc>
          <w:tcPr>
            <w:tcW w:type="dxa" w:w="2974"/>
          </w:tcPr>
          <w:p>
            <w:pPr>
              <w:pStyle w:val="Compact"/>
              <w:spacing w:line="240" w:lineRule="auto" w:before="20" w:after="20"/>
              <w:ind w:firstLine="0"/>
              <w:jc w:val="left"/>
            </w:pPr>
            <w:r>
              <w:rPr>
                <w:rFonts w:ascii="Times New Roman" w:hAnsi="Times New Roman"/>
                <w:sz w:val="18"/>
              </w:rPr>
              <w:t xml:space="preserve">Fotografia anterior de 2025 subestimava a cota-parte; nova coleta coincide com o Portal estadual.</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São João do Caiuá</w:t>
            </w:r>
          </w:p>
        </w:tc>
        <w:tc>
          <w:tcPr>
            <w:tcW w:type="dxa" w:w="1561"/>
          </w:tcPr>
          <w:p>
            <w:pPr>
              <w:pStyle w:val="Compact"/>
              <w:spacing w:line="240" w:lineRule="auto" w:before="20" w:after="20"/>
              <w:ind w:firstLine="0"/>
              <w:jc w:val="right"/>
            </w:pPr>
            <w:r>
              <w:rPr>
                <w:rFonts w:ascii="Times New Roman" w:hAnsi="Times New Roman"/>
                <w:sz w:val="18"/>
              </w:rPr>
              <w:t>+18,8%</w:t>
            </w:r>
          </w:p>
        </w:tc>
        <w:tc>
          <w:tcPr>
            <w:tcW w:type="dxa" w:w="1412"/>
          </w:tcPr>
          <w:p>
            <w:pPr>
              <w:pStyle w:val="Compact"/>
              <w:spacing w:line="240" w:lineRule="auto" w:before="20" w:after="20"/>
              <w:ind w:firstLine="0"/>
              <w:jc w:val="right"/>
            </w:pPr>
            <w:r>
              <w:rPr>
                <w:rFonts w:ascii="Times New Roman" w:hAnsi="Times New Roman"/>
                <w:sz w:val="18"/>
              </w:rPr>
              <w:t>−5,9%</w:t>
            </w:r>
          </w:p>
        </w:tc>
        <w:tc>
          <w:tcPr>
            <w:tcW w:type="dxa" w:w="1115"/>
          </w:tcPr>
          <w:p>
            <w:pPr>
              <w:pStyle w:val="Compact"/>
              <w:spacing w:line="240" w:lineRule="auto" w:before="20" w:after="20"/>
              <w:ind w:firstLine="0"/>
              <w:jc w:val="right"/>
            </w:pPr>
            <w:r>
              <w:rPr>
                <w:rFonts w:ascii="Times New Roman" w:hAnsi="Times New Roman"/>
                <w:sz w:val="18"/>
              </w:rPr>
              <w:t>−24,7</w:t>
            </w:r>
          </w:p>
        </w:tc>
        <w:tc>
          <w:tcPr>
            <w:tcW w:type="dxa" w:w="2974"/>
          </w:tcPr>
          <w:p>
            <w:pPr>
              <w:pStyle w:val="Compact"/>
              <w:spacing w:line="240" w:lineRule="auto" w:before="20" w:after="20"/>
              <w:ind w:firstLine="0"/>
              <w:jc w:val="left"/>
            </w:pPr>
            <w:r>
              <w:rPr>
                <w:rFonts w:ascii="Times New Roman" w:hAnsi="Times New Roman"/>
                <w:sz w:val="18"/>
              </w:rPr>
              <w:t xml:space="preserve">ISS de 2020 corrigido após confronto com o PIT/TCE-PR.</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Campo do Tenente</w:t>
            </w:r>
          </w:p>
        </w:tc>
        <w:tc>
          <w:tcPr>
            <w:tcW w:type="dxa" w:w="1561"/>
          </w:tcPr>
          <w:p>
            <w:pPr>
              <w:pStyle w:val="Compact"/>
              <w:spacing w:line="240" w:lineRule="auto" w:before="20" w:after="20"/>
              <w:ind w:firstLine="0"/>
              <w:jc w:val="right"/>
            </w:pPr>
            <w:r>
              <w:rPr>
                <w:rFonts w:ascii="Times New Roman" w:hAnsi="Times New Roman"/>
                <w:sz w:val="18"/>
              </w:rPr>
              <w:t>−21,7%</w:t>
            </w:r>
          </w:p>
        </w:tc>
        <w:tc>
          <w:tcPr>
            <w:tcW w:type="dxa" w:w="1412"/>
          </w:tcPr>
          <w:p>
            <w:pPr>
              <w:pStyle w:val="Compact"/>
              <w:spacing w:line="240" w:lineRule="auto" w:before="20" w:after="20"/>
              <w:ind w:firstLine="0"/>
              <w:jc w:val="right"/>
            </w:pPr>
            <w:r>
              <w:rPr>
                <w:rFonts w:ascii="Times New Roman" w:hAnsi="Times New Roman"/>
                <w:sz w:val="18"/>
              </w:rPr>
              <w:t>−4,3%</w:t>
            </w:r>
          </w:p>
        </w:tc>
        <w:tc>
          <w:tcPr>
            <w:tcW w:type="dxa" w:w="1115"/>
          </w:tcPr>
          <w:p>
            <w:pPr>
              <w:pStyle w:val="Compact"/>
              <w:spacing w:line="240" w:lineRule="auto" w:before="20" w:after="20"/>
              <w:ind w:firstLine="0"/>
              <w:jc w:val="right"/>
            </w:pPr>
            <w:r>
              <w:rPr>
                <w:rFonts w:ascii="Times New Roman" w:hAnsi="Times New Roman"/>
                <w:sz w:val="18"/>
              </w:rPr>
              <w:t>+17,5</w:t>
            </w:r>
          </w:p>
        </w:tc>
        <w:tc>
          <w:tcPr>
            <w:tcW w:type="dxa" w:w="2974"/>
          </w:tcPr>
          <w:p>
            <w:pPr>
              <w:pStyle w:val="Compact"/>
              <w:spacing w:line="240" w:lineRule="auto" w:before="20" w:after="20"/>
              <w:ind w:firstLine="0"/>
              <w:jc w:val="left"/>
            </w:pPr>
            <w:r>
              <w:rPr>
                <w:rFonts w:ascii="Times New Roman" w:hAnsi="Times New Roman"/>
                <w:sz w:val="18"/>
              </w:rPr>
              <w:t xml:space="preserve">Revisão da série de referência após reconciliação.</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Reserva do Iguaçu</w:t>
            </w:r>
          </w:p>
        </w:tc>
        <w:tc>
          <w:tcPr>
            <w:tcW w:type="dxa" w:w="1561"/>
          </w:tcPr>
          <w:p>
            <w:pPr>
              <w:pStyle w:val="Compact"/>
              <w:spacing w:line="240" w:lineRule="auto" w:before="20" w:after="20"/>
              <w:ind w:firstLine="0"/>
              <w:jc w:val="right"/>
            </w:pPr>
            <w:r>
              <w:rPr>
                <w:rFonts w:ascii="Times New Roman" w:hAnsi="Times New Roman"/>
                <w:sz w:val="18"/>
              </w:rPr>
              <w:t>+0,9%</w:t>
            </w:r>
          </w:p>
        </w:tc>
        <w:tc>
          <w:tcPr>
            <w:tcW w:type="dxa" w:w="1412"/>
          </w:tcPr>
          <w:p>
            <w:pPr>
              <w:pStyle w:val="Compact"/>
              <w:spacing w:line="240" w:lineRule="auto" w:before="20" w:after="20"/>
              <w:ind w:firstLine="0"/>
              <w:jc w:val="right"/>
            </w:pPr>
            <w:r>
              <w:rPr>
                <w:rFonts w:ascii="Times New Roman" w:hAnsi="Times New Roman"/>
                <w:sz w:val="18"/>
              </w:rPr>
              <w:t>−17,3%</w:t>
            </w:r>
          </w:p>
        </w:tc>
        <w:tc>
          <w:tcPr>
            <w:tcW w:type="dxa" w:w="1115"/>
          </w:tcPr>
          <w:p>
            <w:pPr>
              <w:pStyle w:val="Compact"/>
              <w:spacing w:line="240" w:lineRule="auto" w:before="20" w:after="20"/>
              <w:ind w:firstLine="0"/>
              <w:jc w:val="right"/>
            </w:pPr>
            <w:r>
              <w:rPr>
                <w:rFonts w:ascii="Times New Roman" w:hAnsi="Times New Roman"/>
                <w:sz w:val="18"/>
              </w:rPr>
              <w:t>−18,2</w:t>
            </w:r>
          </w:p>
        </w:tc>
        <w:tc>
          <w:tcPr>
            <w:tcW w:type="dxa" w:w="2974"/>
          </w:tcPr>
          <w:p>
            <w:pPr>
              <w:pStyle w:val="Compact"/>
              <w:spacing w:line="240" w:lineRule="auto" w:before="20" w:after="20"/>
              <w:ind w:firstLine="0"/>
              <w:jc w:val="left"/>
            </w:pPr>
            <w:r>
              <w:rPr>
                <w:rFonts w:ascii="Times New Roman" w:hAnsi="Times New Roman"/>
                <w:sz w:val="18"/>
              </w:rPr>
              <w:t xml:space="preserve">Nova série altera a relação entre base de 2025 e média histórica.</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Campina da Lagoa</w:t>
            </w:r>
          </w:p>
        </w:tc>
        <w:tc>
          <w:tcPr>
            <w:tcW w:type="dxa" w:w="1561"/>
          </w:tcPr>
          <w:p>
            <w:pPr>
              <w:pStyle w:val="Compact"/>
              <w:spacing w:line="240" w:lineRule="auto" w:before="20" w:after="20"/>
              <w:ind w:firstLine="0"/>
              <w:jc w:val="right"/>
            </w:pPr>
            <w:r>
              <w:rPr>
                <w:rFonts w:ascii="Times New Roman" w:hAnsi="Times New Roman"/>
                <w:sz w:val="18"/>
              </w:rPr>
              <w:t>−14,9%</w:t>
            </w:r>
          </w:p>
        </w:tc>
        <w:tc>
          <w:tcPr>
            <w:tcW w:type="dxa" w:w="1412"/>
          </w:tcPr>
          <w:p>
            <w:pPr>
              <w:pStyle w:val="Compact"/>
              <w:spacing w:line="240" w:lineRule="auto" w:before="20" w:after="20"/>
              <w:ind w:firstLine="0"/>
              <w:jc w:val="right"/>
            </w:pPr>
            <w:r>
              <w:rPr>
                <w:rFonts w:ascii="Times New Roman" w:hAnsi="Times New Roman"/>
                <w:sz w:val="18"/>
              </w:rPr>
              <w:t>+0,1%</w:t>
            </w:r>
          </w:p>
        </w:tc>
        <w:tc>
          <w:tcPr>
            <w:tcW w:type="dxa" w:w="1115"/>
          </w:tcPr>
          <w:p>
            <w:pPr>
              <w:pStyle w:val="Compact"/>
              <w:spacing w:line="240" w:lineRule="auto" w:before="20" w:after="20"/>
              <w:ind w:firstLine="0"/>
              <w:jc w:val="right"/>
            </w:pPr>
            <w:r>
              <w:rPr>
                <w:rFonts w:ascii="Times New Roman" w:hAnsi="Times New Roman"/>
                <w:sz w:val="18"/>
              </w:rPr>
              <w:t>+15,0</w:t>
            </w:r>
          </w:p>
        </w:tc>
        <w:tc>
          <w:tcPr>
            <w:tcW w:type="dxa" w:w="2974"/>
          </w:tcPr>
          <w:p>
            <w:pPr>
              <w:pStyle w:val="Compact"/>
              <w:spacing w:line="240" w:lineRule="auto" w:before="20" w:after="20"/>
              <w:ind w:firstLine="0"/>
              <w:jc w:val="left"/>
            </w:pPr>
            <w:r>
              <w:rPr>
                <w:rFonts w:ascii="Times New Roman" w:hAnsi="Times New Roman"/>
                <w:sz w:val="18"/>
              </w:rPr>
              <w:t xml:space="preserve">Cobertura da série e reconstrução da cota-parte.</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Almirante Tamandaré</w:t>
            </w:r>
          </w:p>
        </w:tc>
        <w:tc>
          <w:tcPr>
            <w:tcW w:type="dxa" w:w="1561"/>
          </w:tcPr>
          <w:p>
            <w:pPr>
              <w:pStyle w:val="Compact"/>
              <w:spacing w:line="240" w:lineRule="auto" w:before="20" w:after="20"/>
              <w:ind w:firstLine="0"/>
              <w:jc w:val="right"/>
            </w:pPr>
            <w:r>
              <w:rPr>
                <w:rFonts w:ascii="Times New Roman" w:hAnsi="Times New Roman"/>
                <w:sz w:val="18"/>
              </w:rPr>
              <w:t>+32,5%</w:t>
            </w:r>
          </w:p>
        </w:tc>
        <w:tc>
          <w:tcPr>
            <w:tcW w:type="dxa" w:w="1412"/>
          </w:tcPr>
          <w:p>
            <w:pPr>
              <w:pStyle w:val="Compact"/>
              <w:spacing w:line="240" w:lineRule="auto" w:before="20" w:after="20"/>
              <w:ind w:firstLine="0"/>
              <w:jc w:val="right"/>
            </w:pPr>
            <w:r>
              <w:rPr>
                <w:rFonts w:ascii="Times New Roman" w:hAnsi="Times New Roman"/>
                <w:sz w:val="18"/>
              </w:rPr>
              <w:t>+11,0%</w:t>
            </w:r>
          </w:p>
        </w:tc>
        <w:tc>
          <w:tcPr>
            <w:tcW w:type="dxa" w:w="1115"/>
          </w:tcPr>
          <w:p>
            <w:pPr>
              <w:pStyle w:val="Compact"/>
              <w:spacing w:line="240" w:lineRule="auto" w:before="20" w:after="20"/>
              <w:ind w:firstLine="0"/>
              <w:jc w:val="right"/>
            </w:pPr>
            <w:r>
              <w:rPr>
                <w:rFonts w:ascii="Times New Roman" w:hAnsi="Times New Roman"/>
                <w:sz w:val="18"/>
              </w:rPr>
              <w:t>−21,5</w:t>
            </w:r>
          </w:p>
        </w:tc>
        <w:tc>
          <w:tcPr>
            <w:tcW w:type="dxa" w:w="2974"/>
          </w:tcPr>
          <w:p>
            <w:pPr>
              <w:pStyle w:val="Compact"/>
              <w:spacing w:line="240" w:lineRule="auto" w:before="20" w:after="20"/>
              <w:ind w:firstLine="0"/>
              <w:jc w:val="left"/>
            </w:pPr>
            <w:r>
              <w:rPr>
                <w:rFonts w:ascii="Times New Roman" w:hAnsi="Times New Roman"/>
                <w:sz w:val="18"/>
              </w:rPr>
              <w:t xml:space="preserve">Revisão da base de 2025 e do coeficiente histórico municipal.</w:t>
            </w:r>
          </w:p>
        </w:tc>
      </w:tr>
      <w:tr>
        <w:trPr>
          <w:cantSplit/>
        </w:trPr>
        <w:tc>
          <w:tcPr>
            <w:tcW w:type="dxa" w:w="2007"/>
          </w:tcPr>
          <w:p>
            <w:pPr>
              <w:pStyle w:val="Compact"/>
              <w:spacing w:line="240" w:lineRule="auto" w:before="20" w:after="20"/>
              <w:ind w:firstLine="0"/>
              <w:jc w:val="left"/>
            </w:pPr>
            <w:r>
              <w:rPr>
                <w:rFonts w:ascii="Times New Roman" w:hAnsi="Times New Roman"/>
                <w:sz w:val="18"/>
              </w:rPr>
              <w:t xml:space="preserve">Pontal do Paraná</w:t>
            </w:r>
          </w:p>
        </w:tc>
        <w:tc>
          <w:tcPr>
            <w:tcW w:type="dxa" w:w="1561"/>
          </w:tcPr>
          <w:p>
            <w:pPr>
              <w:pStyle w:val="Compact"/>
              <w:spacing w:line="240" w:lineRule="auto" w:before="20" w:after="20"/>
              <w:ind w:firstLine="0"/>
              <w:jc w:val="right"/>
            </w:pPr>
            <w:r>
              <w:rPr>
                <w:rFonts w:ascii="Times New Roman" w:hAnsi="Times New Roman"/>
                <w:sz w:val="18"/>
              </w:rPr>
              <w:t>+102,4%</w:t>
            </w:r>
          </w:p>
        </w:tc>
        <w:tc>
          <w:tcPr>
            <w:tcW w:type="dxa" w:w="1412"/>
          </w:tcPr>
          <w:p>
            <w:pPr>
              <w:pStyle w:val="Compact"/>
              <w:spacing w:line="240" w:lineRule="auto" w:before="20" w:after="20"/>
              <w:ind w:firstLine="0"/>
              <w:jc w:val="right"/>
            </w:pPr>
            <w:r>
              <w:rPr>
                <w:rFonts w:ascii="Times New Roman" w:hAnsi="Times New Roman"/>
                <w:sz w:val="18"/>
              </w:rPr>
              <w:t>+111,0%</w:t>
            </w:r>
          </w:p>
        </w:tc>
        <w:tc>
          <w:tcPr>
            <w:tcW w:type="dxa" w:w="1115"/>
          </w:tcPr>
          <w:p>
            <w:pPr>
              <w:pStyle w:val="Compact"/>
              <w:spacing w:line="240" w:lineRule="auto" w:before="20" w:after="20"/>
              <w:ind w:firstLine="0"/>
              <w:jc w:val="right"/>
            </w:pPr>
            <w:r>
              <w:rPr>
                <w:rFonts w:ascii="Times New Roman" w:hAnsi="Times New Roman"/>
                <w:sz w:val="18"/>
              </w:rPr>
              <w:t>+8,6</w:t>
            </w:r>
          </w:p>
        </w:tc>
        <w:tc>
          <w:tcPr>
            <w:tcW w:type="dxa" w:w="2974"/>
          </w:tcPr>
          <w:p>
            <w:pPr>
              <w:pStyle w:val="Compact"/>
              <w:spacing w:line="240" w:lineRule="auto" w:before="20" w:after="20"/>
              <w:ind w:firstLine="0"/>
              <w:jc w:val="left"/>
            </w:pPr>
            <w:r>
              <w:rPr>
                <w:rFonts w:ascii="Times New Roman" w:hAnsi="Times New Roman"/>
                <w:sz w:val="18"/>
              </w:rPr>
              <w:t xml:space="preserve">Outlier preservado: valores históricos elevados são confirmados pela fonte estadual.</w:t>
            </w:r>
          </w:p>
        </w:tc>
      </w:tr>
    </w:tbl>
    <w:bookmarkEnd w:id="73"/>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A diferença em pontos percentuais corresponde à base auditada menos o resultado obtido com uso direto da DCA municipal. Os casos foram selecionados por magnitude da revisão e valor ilustrativo para a auditoria.</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w:t>
      </w:r>
    </w:p>
    <w:p>
      <w:pPr>
        <w:pStyle w:val="BodyText"/>
      </w:pPr>
      <w:r>
        <w:t xml:space="preserve">A auditoria encontrou cinco observações de ISS cuja divergência em relação ao PIT/TCE-PR superou 20% e foi, por isso, corrigida: São João do Caiuá em 2020, Terra Boa e Santo Antônio do Paraíso em 2021, Itaipulândia em 2022 e Guaraqueçaba em 2025. Em contraste, diversos sinais temporais extremos foram confirmados pela segunda fonte e permaneceram inalterados. Essa distinção evita que a rotina de consistência transforme automaticamente um valor raro em valor errado.</w:t>
      </w:r>
    </w:p>
    <w:p>
      <w:pPr>
        <w:pStyle w:val="BodyText"/>
      </w:pPr>
      <w:r>
        <w:t xml:space="preserve">A comparação mostra que a reconciliação entre fontes oficiais é material para um subconjunto de municípios. As implicações institucionais desse resultado, inclusive procedimentos de pré-validação e trilha de auditoria para dados que alimentem coeficientes de repartição, são desenvolvidas na seção de discussão.</w:t>
      </w:r>
    </w:p>
    <w:bookmarkStart w:id="74" w:name="tab:ranking20_municipios"/>
    <w:p>
      <w:pPr>
        <w:pStyle w:val="TableCaption"/>
      </w:pPr>
      <w:r>
        <w:rPr>
          <w:b/>
          <w:bCs/>
        </w:rPr>
        <w:t>Tabela B.3: Vinte maiores perdas e ganhos municipais em 2033, em R$ milhões e em variação percentual</w:t>
      </w:r>
      <w:r/>
    </w:p>
    <w:tbl>
      <w:tblPr>
        <w:tblStyle w:val="Table"/>
        <w:tblW w:type="dxa" w:w="9072"/>
        <w:tblBorders>
          <w:top w:val="single" w:sz="12" w:space="0" w:color="000000"/>
          <w:bottom w:val="single" w:sz="12" w:space="0" w:color="000000"/>
        </w:tblBorders>
        <w:tblLayout w:type="fixed"/>
        <w:tblCellMar>
          <w:left w:w="60" w:type="dxa"/>
          <w:right w:w="60" w:type="dxa"/>
        </w:tblCellMar>
        <w:tblLook w:firstRow="0" w:lastRow="0" w:firstColumn="0" w:lastColumn="0" w:noHBand="0" w:noVBand="0" w:val="0000"/>
        <w:tblCaption w:val="Tabela B.3: Vinte maiores perdas e ganhos municipais em 2033, amostra principal"/>
      </w:tblPr>
      <w:tblGrid>
        <w:gridCol w:w="2637"/>
        <w:gridCol w:w="2004"/>
        <w:gridCol w:w="2426"/>
        <w:gridCol w:w="2004"/>
      </w:tblGrid>
      <w:tr>
        <w:trPr>
          <w:cantSplit/>
          <w:tblHeader/>
        </w:trPr>
        <w:tc>
          <w:tcPr>
            <w:tcW w:type="dxa" w:w="4641"/>
            <w:gridSpan w:val="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Maiores perdas</w:t>
            </w:r>
          </w:p>
        </w:tc>
        <w:tc>
          <w:tcPr>
            <w:tcW w:type="dxa" w:w="4430"/>
            <w:gridSpan w:val="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8"/>
              </w:rPr>
              <w:t xml:space="preserve">Maiores ganhos</w:t>
            </w:r>
          </w:p>
        </w:tc>
      </w:tr>
      <w:tr>
        <w:trPr>
          <w:cantSplit/>
        </w:trPr>
        <w:tc>
          <w:tcPr>
            <w:tcW w:type="dxa" w:w="2637"/>
          </w:tcPr>
          <w:p>
            <w:pPr>
              <w:pStyle w:val="Compact"/>
              <w:spacing w:line="240" w:lineRule="auto" w:before="20" w:after="20"/>
              <w:ind w:firstLine="0"/>
              <w:jc w:val="left"/>
            </w:pPr>
            <w:r>
              <w:rPr>
                <w:rFonts w:ascii="Times New Roman" w:hAnsi="Times New Roman"/>
                <w:b/>
                <w:bCs/>
                <w:sz w:val="18"/>
              </w:rPr>
              <w:t xml:space="preserve">Município</w:t>
            </w:r>
          </w:p>
        </w:tc>
        <w:tc>
          <w:tcPr>
            <w:tcW w:type="dxa" w:w="2004"/>
          </w:tcPr>
          <w:p>
            <w:pPr>
              <w:pStyle w:val="Compact"/>
              <w:spacing w:line="240" w:lineRule="auto" w:before="20" w:after="20"/>
              <w:ind w:firstLine="0"/>
              <w:jc w:val="right"/>
            </w:pPr>
            <w:r>
              <w:rPr>
                <w:rFonts w:ascii="Times New Roman" w:hAnsi="Times New Roman"/>
                <w:b/>
                <w:bCs/>
                <w:sz w:val="18"/>
              </w:rPr>
              <w:t>R$ mi (%)</w:t>
            </w:r>
          </w:p>
        </w:tc>
        <w:tc>
          <w:tcPr>
            <w:tcW w:type="dxa" w:w="2426"/>
          </w:tcPr>
          <w:p>
            <w:pPr>
              <w:pStyle w:val="Compact"/>
              <w:spacing w:line="240" w:lineRule="auto" w:before="20" w:after="20"/>
              <w:ind w:firstLine="0"/>
              <w:jc w:val="left"/>
            </w:pPr>
            <w:r>
              <w:rPr>
                <w:rFonts w:ascii="Times New Roman" w:hAnsi="Times New Roman"/>
                <w:b/>
                <w:bCs/>
                <w:sz w:val="18"/>
              </w:rPr>
              <w:t xml:space="preserve">Município</w:t>
            </w:r>
          </w:p>
        </w:tc>
        <w:tc>
          <w:tcPr>
            <w:tcW w:type="dxa" w:w="2004"/>
          </w:tcPr>
          <w:p>
            <w:pPr>
              <w:pStyle w:val="Compact"/>
              <w:spacing w:line="240" w:lineRule="auto" w:before="20" w:after="20"/>
              <w:ind w:firstLine="0"/>
              <w:jc w:val="right"/>
            </w:pPr>
            <w:r>
              <w:rPr>
                <w:rFonts w:ascii="Times New Roman" w:hAnsi="Times New Roman"/>
                <w:b/>
                <w:bCs/>
                <w:sz w:val="18"/>
              </w:rPr>
              <w:t>R$ mi (%)</w:t>
            </w:r>
          </w:p>
        </w:tc>
      </w:tr>
      <w:tr>
        <w:trPr>
          <w:cantSplit/>
        </w:trPr>
        <w:tc>
          <w:tcPr>
            <w:tcW w:type="dxa" w:w="2637"/>
          </w:tcPr>
          <w:p>
            <w:pPr>
              <w:pStyle w:val="Compact"/>
              <w:spacing w:line="240" w:lineRule="auto" w:before="20" w:after="20"/>
              <w:ind w:firstLine="0"/>
              <w:jc w:val="left"/>
            </w:pPr>
            <w:r>
              <w:rPr>
                <w:rFonts w:ascii="Times New Roman" w:hAnsi="Times New Roman"/>
                <w:sz w:val="18"/>
              </w:rPr>
              <w:t>Curitiba</w:t>
            </w:r>
          </w:p>
        </w:tc>
        <w:tc>
          <w:tcPr>
            <w:tcW w:type="dxa" w:w="2004"/>
          </w:tcPr>
          <w:p>
            <w:pPr>
              <w:pStyle w:val="Compact"/>
              <w:spacing w:line="240" w:lineRule="auto" w:before="20" w:after="20"/>
              <w:ind w:firstLine="0"/>
              <w:jc w:val="right"/>
            </w:pPr>
            <w:r>
              <w:rPr>
                <w:rFonts w:ascii="Times New Roman" w:hAnsi="Times New Roman"/>
                <w:sz w:val="18"/>
              </w:rPr>
              <w:t>−276,4 (−6,0%)</w:t>
            </w:r>
          </w:p>
        </w:tc>
        <w:tc>
          <w:tcPr>
            <w:tcW w:type="dxa" w:w="2426"/>
          </w:tcPr>
          <w:p>
            <w:pPr>
              <w:pStyle w:val="Compact"/>
              <w:spacing w:line="240" w:lineRule="auto" w:before="20" w:after="20"/>
              <w:ind w:firstLine="0"/>
              <w:jc w:val="left"/>
            </w:pPr>
            <w:r>
              <w:rPr>
                <w:rFonts w:ascii="Times New Roman" w:hAnsi="Times New Roman"/>
                <w:sz w:val="18"/>
              </w:rPr>
              <w:t>Araucária</w:t>
            </w:r>
          </w:p>
        </w:tc>
        <w:tc>
          <w:tcPr>
            <w:tcW w:type="dxa" w:w="2004"/>
          </w:tcPr>
          <w:p>
            <w:pPr>
              <w:pStyle w:val="Compact"/>
              <w:spacing w:line="240" w:lineRule="auto" w:before="20" w:after="20"/>
              <w:ind w:firstLine="0"/>
              <w:jc w:val="right"/>
            </w:pPr>
            <w:r>
              <w:rPr>
                <w:rFonts w:ascii="Times New Roman" w:hAnsi="Times New Roman"/>
                <w:sz w:val="18"/>
              </w:rPr>
              <w:t>+114,4 (+9,9%)</w:t>
            </w:r>
          </w:p>
        </w:tc>
      </w:tr>
      <w:tr>
        <w:trPr>
          <w:cantSplit/>
        </w:trPr>
        <w:tc>
          <w:tcPr>
            <w:tcW w:type="dxa" w:w="2637"/>
          </w:tcPr>
          <w:p>
            <w:pPr>
              <w:pStyle w:val="Compact"/>
              <w:spacing w:line="240" w:lineRule="auto" w:before="20" w:after="20"/>
              <w:ind w:firstLine="0"/>
              <w:jc w:val="left"/>
            </w:pPr>
            <w:r>
              <w:rPr>
                <w:rFonts w:ascii="Times New Roman" w:hAnsi="Times New Roman"/>
                <w:sz w:val="18"/>
              </w:rPr>
              <w:t>Paranaguá</w:t>
            </w:r>
          </w:p>
        </w:tc>
        <w:tc>
          <w:tcPr>
            <w:tcW w:type="dxa" w:w="2004"/>
          </w:tcPr>
          <w:p>
            <w:pPr>
              <w:pStyle w:val="Compact"/>
              <w:spacing w:line="240" w:lineRule="auto" w:before="20" w:after="20"/>
              <w:ind w:firstLine="0"/>
              <w:jc w:val="right"/>
            </w:pPr>
            <w:r>
              <w:rPr>
                <w:rFonts w:ascii="Times New Roman" w:hAnsi="Times New Roman"/>
                <w:sz w:val="18"/>
              </w:rPr>
              <w:t>−86,2 (−11,9%)</w:t>
            </w:r>
          </w:p>
        </w:tc>
        <w:tc>
          <w:tcPr>
            <w:tcW w:type="dxa" w:w="2426"/>
          </w:tcPr>
          <w:p>
            <w:pPr>
              <w:pStyle w:val="Compact"/>
              <w:spacing w:line="240" w:lineRule="auto" w:before="20" w:after="20"/>
              <w:ind w:firstLine="0"/>
              <w:jc w:val="left"/>
            </w:pPr>
            <w:r>
              <w:rPr>
                <w:rFonts w:ascii="Times New Roman" w:hAnsi="Times New Roman"/>
                <w:sz w:val="18"/>
              </w:rPr>
              <w:t>Pontal do Paraná</w:t>
            </w:r>
          </w:p>
        </w:tc>
        <w:tc>
          <w:tcPr>
            <w:tcW w:type="dxa" w:w="2004"/>
          </w:tcPr>
          <w:p>
            <w:pPr>
              <w:pStyle w:val="Compact"/>
              <w:spacing w:line="240" w:lineRule="auto" w:before="20" w:after="20"/>
              <w:ind w:firstLine="0"/>
              <w:jc w:val="right"/>
            </w:pPr>
            <w:r>
              <w:rPr>
                <w:rFonts w:ascii="Times New Roman" w:hAnsi="Times New Roman"/>
                <w:sz w:val="18"/>
              </w:rPr>
              <w:t>+23,6 (+111,0%)</w:t>
            </w:r>
          </w:p>
        </w:tc>
      </w:tr>
      <w:tr>
        <w:trPr>
          <w:cantSplit/>
        </w:trPr>
        <w:tc>
          <w:tcPr>
            <w:tcW w:type="dxa" w:w="2637"/>
          </w:tcPr>
          <w:p>
            <w:pPr>
              <w:pStyle w:val="Compact"/>
              <w:spacing w:line="240" w:lineRule="auto" w:before="20" w:after="20"/>
              <w:ind w:firstLine="0"/>
              <w:jc w:val="left"/>
            </w:pPr>
            <w:r>
              <w:rPr>
                <w:rFonts w:ascii="Times New Roman" w:hAnsi="Times New Roman"/>
                <w:sz w:val="18"/>
              </w:rPr>
              <w:t>Ponta Grossa</w:t>
            </w:r>
          </w:p>
        </w:tc>
        <w:tc>
          <w:tcPr>
            <w:tcW w:type="dxa" w:w="2004"/>
          </w:tcPr>
          <w:p>
            <w:pPr>
              <w:pStyle w:val="Compact"/>
              <w:spacing w:line="240" w:lineRule="auto" w:before="20" w:after="20"/>
              <w:ind w:firstLine="0"/>
              <w:jc w:val="right"/>
            </w:pPr>
            <w:r>
              <w:rPr>
                <w:rFonts w:ascii="Times New Roman" w:hAnsi="Times New Roman"/>
                <w:sz w:val="18"/>
              </w:rPr>
              <w:t>−68,7 (−9,6%)</w:t>
            </w:r>
          </w:p>
        </w:tc>
        <w:tc>
          <w:tcPr>
            <w:tcW w:type="dxa" w:w="2426"/>
          </w:tcPr>
          <w:p>
            <w:pPr>
              <w:pStyle w:val="Compact"/>
              <w:spacing w:line="240" w:lineRule="auto" w:before="20" w:after="20"/>
              <w:ind w:firstLine="0"/>
              <w:jc w:val="left"/>
            </w:pPr>
            <w:r>
              <w:rPr>
                <w:rFonts w:ascii="Times New Roman" w:hAnsi="Times New Roman"/>
                <w:sz w:val="18"/>
              </w:rPr>
              <w:t>Telêmaco Borba</w:t>
            </w:r>
          </w:p>
        </w:tc>
        <w:tc>
          <w:tcPr>
            <w:tcW w:type="dxa" w:w="2004"/>
          </w:tcPr>
          <w:p>
            <w:pPr>
              <w:pStyle w:val="Compact"/>
              <w:spacing w:line="240" w:lineRule="auto" w:before="20" w:after="20"/>
              <w:ind w:firstLine="0"/>
              <w:jc w:val="right"/>
            </w:pPr>
            <w:r>
              <w:rPr>
                <w:rFonts w:ascii="Times New Roman" w:hAnsi="Times New Roman"/>
                <w:sz w:val="18"/>
              </w:rPr>
              <w:t>+20,2 (+12,4%)</w:t>
            </w:r>
          </w:p>
        </w:tc>
      </w:tr>
      <w:tr>
        <w:trPr>
          <w:cantSplit/>
        </w:trPr>
        <w:tc>
          <w:tcPr>
            <w:tcW w:type="dxa" w:w="2637"/>
          </w:tcPr>
          <w:p>
            <w:pPr>
              <w:pStyle w:val="Compact"/>
              <w:spacing w:line="240" w:lineRule="auto" w:before="20" w:after="20"/>
              <w:ind w:firstLine="0"/>
              <w:jc w:val="left"/>
            </w:pPr>
            <w:r>
              <w:rPr>
                <w:rFonts w:ascii="Times New Roman" w:hAnsi="Times New Roman"/>
                <w:sz w:val="18"/>
              </w:rPr>
              <w:t>Cascavel</w:t>
            </w:r>
          </w:p>
        </w:tc>
        <w:tc>
          <w:tcPr>
            <w:tcW w:type="dxa" w:w="2004"/>
          </w:tcPr>
          <w:p>
            <w:pPr>
              <w:pStyle w:val="Compact"/>
              <w:spacing w:line="240" w:lineRule="auto" w:before="20" w:after="20"/>
              <w:ind w:firstLine="0"/>
              <w:jc w:val="right"/>
            </w:pPr>
            <w:r>
              <w:rPr>
                <w:rFonts w:ascii="Times New Roman" w:hAnsi="Times New Roman"/>
                <w:sz w:val="18"/>
              </w:rPr>
              <w:t>−53,5 (−8,0%)</w:t>
            </w:r>
          </w:p>
        </w:tc>
        <w:tc>
          <w:tcPr>
            <w:tcW w:type="dxa" w:w="2426"/>
          </w:tcPr>
          <w:p>
            <w:pPr>
              <w:pStyle w:val="Compact"/>
              <w:spacing w:line="240" w:lineRule="auto" w:before="20" w:after="20"/>
              <w:ind w:firstLine="0"/>
              <w:jc w:val="left"/>
            </w:pPr>
            <w:r>
              <w:rPr>
                <w:rFonts w:ascii="Times New Roman" w:hAnsi="Times New Roman"/>
                <w:sz w:val="18"/>
              </w:rPr>
              <w:t>Ortigueira</w:t>
            </w:r>
          </w:p>
        </w:tc>
        <w:tc>
          <w:tcPr>
            <w:tcW w:type="dxa" w:w="2004"/>
          </w:tcPr>
          <w:p>
            <w:pPr>
              <w:pStyle w:val="Compact"/>
              <w:spacing w:line="240" w:lineRule="auto" w:before="20" w:after="20"/>
              <w:ind w:firstLine="0"/>
              <w:jc w:val="right"/>
            </w:pPr>
            <w:r>
              <w:rPr>
                <w:rFonts w:ascii="Times New Roman" w:hAnsi="Times New Roman"/>
                <w:sz w:val="18"/>
              </w:rPr>
              <w:t>+19,0 (+11,0%)</w:t>
            </w:r>
          </w:p>
        </w:tc>
      </w:tr>
      <w:tr>
        <w:trPr>
          <w:cantSplit/>
        </w:trPr>
        <w:tc>
          <w:tcPr>
            <w:tcW w:type="dxa" w:w="2637"/>
          </w:tcPr>
          <w:p>
            <w:pPr>
              <w:pStyle w:val="Compact"/>
              <w:spacing w:line="240" w:lineRule="auto" w:before="20" w:after="20"/>
              <w:ind w:firstLine="0"/>
              <w:jc w:val="left"/>
            </w:pPr>
            <w:r>
              <w:rPr>
                <w:rFonts w:ascii="Times New Roman" w:hAnsi="Times New Roman"/>
                <w:sz w:val="18"/>
              </w:rPr>
              <w:t>Maringá</w:t>
            </w:r>
          </w:p>
        </w:tc>
        <w:tc>
          <w:tcPr>
            <w:tcW w:type="dxa" w:w="2004"/>
          </w:tcPr>
          <w:p>
            <w:pPr>
              <w:pStyle w:val="Compact"/>
              <w:spacing w:line="240" w:lineRule="auto" w:before="20" w:after="20"/>
              <w:ind w:firstLine="0"/>
              <w:jc w:val="right"/>
            </w:pPr>
            <w:r>
              <w:rPr>
                <w:rFonts w:ascii="Times New Roman" w:hAnsi="Times New Roman"/>
                <w:sz w:val="18"/>
              </w:rPr>
              <w:t>−50,3 (−5,3%)</w:t>
            </w:r>
          </w:p>
        </w:tc>
        <w:tc>
          <w:tcPr>
            <w:tcW w:type="dxa" w:w="2426"/>
          </w:tcPr>
          <w:p>
            <w:pPr>
              <w:pStyle w:val="Compact"/>
              <w:spacing w:line="240" w:lineRule="auto" w:before="20" w:after="20"/>
              <w:ind w:firstLine="0"/>
              <w:jc w:val="left"/>
            </w:pPr>
            <w:r>
              <w:rPr>
                <w:rFonts w:ascii="Times New Roman" w:hAnsi="Times New Roman"/>
                <w:sz w:val="18"/>
              </w:rPr>
              <w:t>Saudade do Iguaçu</w:t>
            </w:r>
          </w:p>
        </w:tc>
        <w:tc>
          <w:tcPr>
            <w:tcW w:type="dxa" w:w="2004"/>
          </w:tcPr>
          <w:p>
            <w:pPr>
              <w:pStyle w:val="Compact"/>
              <w:spacing w:line="240" w:lineRule="auto" w:before="20" w:after="20"/>
              <w:ind w:firstLine="0"/>
              <w:jc w:val="right"/>
            </w:pPr>
            <w:r>
              <w:rPr>
                <w:rFonts w:ascii="Times New Roman" w:hAnsi="Times New Roman"/>
                <w:sz w:val="18"/>
              </w:rPr>
              <w:t>+17,4 (+56,8%)</w:t>
            </w:r>
          </w:p>
        </w:tc>
      </w:tr>
      <w:tr>
        <w:trPr>
          <w:cantSplit/>
        </w:trPr>
        <w:tc>
          <w:tcPr>
            <w:tcW w:type="dxa" w:w="2637"/>
          </w:tcPr>
          <w:p>
            <w:pPr>
              <w:pStyle w:val="Compact"/>
              <w:spacing w:line="240" w:lineRule="auto" w:before="20" w:after="20"/>
              <w:ind w:firstLine="0"/>
              <w:jc w:val="left"/>
            </w:pPr>
            <w:r>
              <w:rPr>
                <w:rFonts w:ascii="Times New Roman" w:hAnsi="Times New Roman"/>
                <w:sz w:val="18"/>
              </w:rPr>
              <w:t>Londrina</w:t>
            </w:r>
          </w:p>
        </w:tc>
        <w:tc>
          <w:tcPr>
            <w:tcW w:type="dxa" w:w="2004"/>
          </w:tcPr>
          <w:p>
            <w:pPr>
              <w:pStyle w:val="Compact"/>
              <w:spacing w:line="240" w:lineRule="auto" w:before="20" w:after="20"/>
              <w:ind w:firstLine="0"/>
              <w:jc w:val="right"/>
            </w:pPr>
            <w:r>
              <w:rPr>
                <w:rFonts w:ascii="Times New Roman" w:hAnsi="Times New Roman"/>
                <w:sz w:val="18"/>
              </w:rPr>
              <w:t>−49,0 (−4,9%)</w:t>
            </w:r>
          </w:p>
        </w:tc>
        <w:tc>
          <w:tcPr>
            <w:tcW w:type="dxa" w:w="2426"/>
          </w:tcPr>
          <w:p>
            <w:pPr>
              <w:pStyle w:val="Compact"/>
              <w:spacing w:line="240" w:lineRule="auto" w:before="20" w:after="20"/>
              <w:ind w:firstLine="0"/>
              <w:jc w:val="left"/>
            </w:pPr>
            <w:r>
              <w:rPr>
                <w:rFonts w:ascii="Times New Roman" w:hAnsi="Times New Roman"/>
                <w:sz w:val="18"/>
              </w:rPr>
              <w:t>São José dos Pinhais</w:t>
            </w:r>
          </w:p>
        </w:tc>
        <w:tc>
          <w:tcPr>
            <w:tcW w:type="dxa" w:w="2004"/>
          </w:tcPr>
          <w:p>
            <w:pPr>
              <w:pStyle w:val="Compact"/>
              <w:spacing w:line="240" w:lineRule="auto" w:before="20" w:after="20"/>
              <w:ind w:firstLine="0"/>
              <w:jc w:val="right"/>
            </w:pPr>
            <w:r>
              <w:rPr>
                <w:rFonts w:ascii="Times New Roman" w:hAnsi="Times New Roman"/>
                <w:sz w:val="18"/>
              </w:rPr>
              <w:t>+13,2 (+1,3%)</w:t>
            </w:r>
          </w:p>
        </w:tc>
      </w:tr>
      <w:tr>
        <w:trPr>
          <w:cantSplit/>
        </w:trPr>
        <w:tc>
          <w:tcPr>
            <w:tcW w:type="dxa" w:w="2637"/>
          </w:tcPr>
          <w:p>
            <w:pPr>
              <w:pStyle w:val="Compact"/>
              <w:spacing w:line="240" w:lineRule="auto" w:before="20" w:after="20"/>
              <w:ind w:firstLine="0"/>
              <w:jc w:val="left"/>
            </w:pPr>
            <w:r>
              <w:rPr>
                <w:rFonts w:ascii="Times New Roman" w:hAnsi="Times New Roman"/>
                <w:sz w:val="18"/>
              </w:rPr>
              <w:t>Pinhais</w:t>
            </w:r>
          </w:p>
        </w:tc>
        <w:tc>
          <w:tcPr>
            <w:tcW w:type="dxa" w:w="2004"/>
          </w:tcPr>
          <w:p>
            <w:pPr>
              <w:pStyle w:val="Compact"/>
              <w:spacing w:line="240" w:lineRule="auto" w:before="20" w:after="20"/>
              <w:ind w:firstLine="0"/>
              <w:jc w:val="right"/>
            </w:pPr>
            <w:r>
              <w:rPr>
                <w:rFonts w:ascii="Times New Roman" w:hAnsi="Times New Roman"/>
                <w:sz w:val="18"/>
              </w:rPr>
              <w:t>−26,5 (−9,1%)</w:t>
            </w:r>
          </w:p>
        </w:tc>
        <w:tc>
          <w:tcPr>
            <w:tcW w:type="dxa" w:w="2426"/>
          </w:tcPr>
          <w:p>
            <w:pPr>
              <w:pStyle w:val="Compact"/>
              <w:spacing w:line="240" w:lineRule="auto" w:before="20" w:after="20"/>
              <w:ind w:firstLine="0"/>
              <w:jc w:val="left"/>
            </w:pPr>
            <w:r>
              <w:rPr>
                <w:rFonts w:ascii="Times New Roman" w:hAnsi="Times New Roman"/>
                <w:sz w:val="18"/>
              </w:rPr>
              <w:t>Almirante Tamandaré</w:t>
            </w:r>
          </w:p>
        </w:tc>
        <w:tc>
          <w:tcPr>
            <w:tcW w:type="dxa" w:w="2004"/>
          </w:tcPr>
          <w:p>
            <w:pPr>
              <w:pStyle w:val="Compact"/>
              <w:spacing w:line="240" w:lineRule="auto" w:before="20" w:after="20"/>
              <w:ind w:firstLine="0"/>
              <w:jc w:val="right"/>
            </w:pPr>
            <w:r>
              <w:rPr>
                <w:rFonts w:ascii="Times New Roman" w:hAnsi="Times New Roman"/>
                <w:sz w:val="18"/>
              </w:rPr>
              <w:t>+9,0 (+11,0%)</w:t>
            </w:r>
          </w:p>
        </w:tc>
      </w:tr>
      <w:tr>
        <w:trPr>
          <w:cantSplit/>
        </w:trPr>
        <w:tc>
          <w:tcPr>
            <w:tcW w:type="dxa" w:w="2637"/>
          </w:tcPr>
          <w:p>
            <w:pPr>
              <w:pStyle w:val="Compact"/>
              <w:spacing w:line="240" w:lineRule="auto" w:before="20" w:after="20"/>
              <w:ind w:firstLine="0"/>
              <w:jc w:val="left"/>
            </w:pPr>
            <w:r>
              <w:rPr>
                <w:rFonts w:ascii="Times New Roman" w:hAnsi="Times New Roman"/>
                <w:sz w:val="18"/>
              </w:rPr>
              <w:t>Ibiporã</w:t>
            </w:r>
          </w:p>
        </w:tc>
        <w:tc>
          <w:tcPr>
            <w:tcW w:type="dxa" w:w="2004"/>
          </w:tcPr>
          <w:p>
            <w:pPr>
              <w:pStyle w:val="Compact"/>
              <w:spacing w:line="240" w:lineRule="auto" w:before="20" w:after="20"/>
              <w:ind w:firstLine="0"/>
              <w:jc w:val="right"/>
            </w:pPr>
            <w:r>
              <w:rPr>
                <w:rFonts w:ascii="Times New Roman" w:hAnsi="Times New Roman"/>
                <w:sz w:val="18"/>
              </w:rPr>
              <w:t>−22,2 (−13,8%)</w:t>
            </w:r>
          </w:p>
        </w:tc>
        <w:tc>
          <w:tcPr>
            <w:tcW w:type="dxa" w:w="2426"/>
          </w:tcPr>
          <w:p>
            <w:pPr>
              <w:pStyle w:val="Compact"/>
              <w:spacing w:line="240" w:lineRule="auto" w:before="20" w:after="20"/>
              <w:ind w:firstLine="0"/>
              <w:jc w:val="left"/>
            </w:pPr>
            <w:r>
              <w:rPr>
                <w:rFonts w:ascii="Times New Roman" w:hAnsi="Times New Roman"/>
                <w:sz w:val="18"/>
              </w:rPr>
              <w:t>Palmas</w:t>
            </w:r>
          </w:p>
        </w:tc>
        <w:tc>
          <w:tcPr>
            <w:tcW w:type="dxa" w:w="2004"/>
          </w:tcPr>
          <w:p>
            <w:pPr>
              <w:pStyle w:val="Compact"/>
              <w:spacing w:line="240" w:lineRule="auto" w:before="20" w:after="20"/>
              <w:ind w:firstLine="0"/>
              <w:jc w:val="right"/>
            </w:pPr>
            <w:r>
              <w:rPr>
                <w:rFonts w:ascii="Times New Roman" w:hAnsi="Times New Roman"/>
                <w:sz w:val="18"/>
              </w:rPr>
              <w:t>+8,9 (+14,8%)</w:t>
            </w:r>
          </w:p>
        </w:tc>
      </w:tr>
      <w:tr>
        <w:trPr>
          <w:cantSplit/>
        </w:trPr>
        <w:tc>
          <w:tcPr>
            <w:tcW w:type="dxa" w:w="2637"/>
          </w:tcPr>
          <w:p>
            <w:pPr>
              <w:pStyle w:val="Compact"/>
              <w:spacing w:line="240" w:lineRule="auto" w:before="20" w:after="20"/>
              <w:ind w:firstLine="0"/>
              <w:jc w:val="left"/>
            </w:pPr>
            <w:r>
              <w:rPr>
                <w:rFonts w:ascii="Times New Roman" w:hAnsi="Times New Roman"/>
                <w:sz w:val="18"/>
              </w:rPr>
              <w:t>Castro</w:t>
            </w:r>
          </w:p>
        </w:tc>
        <w:tc>
          <w:tcPr>
            <w:tcW w:type="dxa" w:w="2004"/>
          </w:tcPr>
          <w:p>
            <w:pPr>
              <w:pStyle w:val="Compact"/>
              <w:spacing w:line="240" w:lineRule="auto" w:before="20" w:after="20"/>
              <w:ind w:firstLine="0"/>
              <w:jc w:val="right"/>
            </w:pPr>
            <w:r>
              <w:rPr>
                <w:rFonts w:ascii="Times New Roman" w:hAnsi="Times New Roman"/>
                <w:sz w:val="18"/>
              </w:rPr>
              <w:t>−15,4 (−7,0%)</w:t>
            </w:r>
          </w:p>
        </w:tc>
        <w:tc>
          <w:tcPr>
            <w:tcW w:type="dxa" w:w="2426"/>
          </w:tcPr>
          <w:p>
            <w:pPr>
              <w:pStyle w:val="Compact"/>
              <w:spacing w:line="240" w:lineRule="auto" w:before="20" w:after="20"/>
              <w:ind w:firstLine="0"/>
              <w:jc w:val="left"/>
            </w:pPr>
            <w:r>
              <w:rPr>
                <w:rFonts w:ascii="Times New Roman" w:hAnsi="Times New Roman"/>
                <w:sz w:val="18"/>
              </w:rPr>
              <w:t>Arapongas</w:t>
            </w:r>
          </w:p>
        </w:tc>
        <w:tc>
          <w:tcPr>
            <w:tcW w:type="dxa" w:w="2004"/>
          </w:tcPr>
          <w:p>
            <w:pPr>
              <w:pStyle w:val="Compact"/>
              <w:spacing w:line="240" w:lineRule="auto" w:before="20" w:after="20"/>
              <w:ind w:firstLine="0"/>
              <w:jc w:val="right"/>
            </w:pPr>
            <w:r>
              <w:rPr>
                <w:rFonts w:ascii="Times New Roman" w:hAnsi="Times New Roman"/>
                <w:sz w:val="18"/>
              </w:rPr>
              <w:t>+8,0 (+4,5%)</w:t>
            </w:r>
          </w:p>
        </w:tc>
      </w:tr>
      <w:tr>
        <w:trPr>
          <w:cantSplit/>
        </w:trPr>
        <w:tc>
          <w:tcPr>
            <w:tcW w:type="dxa" w:w="2637"/>
          </w:tcPr>
          <w:p>
            <w:pPr>
              <w:pStyle w:val="Compact"/>
              <w:spacing w:line="240" w:lineRule="auto" w:before="20" w:after="20"/>
              <w:ind w:firstLine="0"/>
              <w:jc w:val="left"/>
            </w:pPr>
            <w:r>
              <w:rPr>
                <w:rFonts w:ascii="Times New Roman" w:hAnsi="Times New Roman"/>
                <w:sz w:val="18"/>
              </w:rPr>
              <w:t>Toledo</w:t>
            </w:r>
          </w:p>
        </w:tc>
        <w:tc>
          <w:tcPr>
            <w:tcW w:type="dxa" w:w="2004"/>
          </w:tcPr>
          <w:p>
            <w:pPr>
              <w:pStyle w:val="Compact"/>
              <w:spacing w:line="240" w:lineRule="auto" w:before="20" w:after="20"/>
              <w:ind w:firstLine="0"/>
              <w:jc w:val="right"/>
            </w:pPr>
            <w:r>
              <w:rPr>
                <w:rFonts w:ascii="Times New Roman" w:hAnsi="Times New Roman"/>
                <w:sz w:val="18"/>
              </w:rPr>
              <w:t>−14,7 (−4,0%)</w:t>
            </w:r>
          </w:p>
        </w:tc>
        <w:tc>
          <w:tcPr>
            <w:tcW w:type="dxa" w:w="2426"/>
          </w:tcPr>
          <w:p>
            <w:pPr>
              <w:pStyle w:val="Compact"/>
              <w:spacing w:line="240" w:lineRule="auto" w:before="20" w:after="20"/>
              <w:ind w:firstLine="0"/>
              <w:jc w:val="left"/>
            </w:pPr>
            <w:r>
              <w:rPr>
                <w:rFonts w:ascii="Times New Roman" w:hAnsi="Times New Roman"/>
                <w:sz w:val="18"/>
              </w:rPr>
              <w:t>Sarandi</w:t>
            </w:r>
          </w:p>
        </w:tc>
        <w:tc>
          <w:tcPr>
            <w:tcW w:type="dxa" w:w="2004"/>
          </w:tcPr>
          <w:p>
            <w:pPr>
              <w:pStyle w:val="Compact"/>
              <w:spacing w:line="240" w:lineRule="auto" w:before="20" w:after="20"/>
              <w:ind w:firstLine="0"/>
              <w:jc w:val="right"/>
            </w:pPr>
            <w:r>
              <w:rPr>
                <w:rFonts w:ascii="Times New Roman" w:hAnsi="Times New Roman"/>
                <w:sz w:val="18"/>
              </w:rPr>
              <w:t>+8,0 (+12,5%)</w:t>
            </w:r>
          </w:p>
        </w:tc>
      </w:tr>
      <w:tr>
        <w:trPr>
          <w:cantSplit/>
        </w:trPr>
        <w:tc>
          <w:tcPr>
            <w:tcW w:type="dxa" w:w="2637"/>
          </w:tcPr>
          <w:p>
            <w:pPr>
              <w:pStyle w:val="Compact"/>
              <w:spacing w:line="240" w:lineRule="auto" w:before="20" w:after="20"/>
              <w:ind w:firstLine="0"/>
              <w:jc w:val="left"/>
            </w:pPr>
            <w:r>
              <w:rPr>
                <w:rFonts w:ascii="Times New Roman" w:hAnsi="Times New Roman"/>
                <w:sz w:val="18"/>
              </w:rPr>
              <w:t>Rolândia</w:t>
            </w:r>
          </w:p>
        </w:tc>
        <w:tc>
          <w:tcPr>
            <w:tcW w:type="dxa" w:w="2004"/>
          </w:tcPr>
          <w:p>
            <w:pPr>
              <w:pStyle w:val="Compact"/>
              <w:spacing w:line="240" w:lineRule="auto" w:before="20" w:after="20"/>
              <w:ind w:firstLine="0"/>
              <w:jc w:val="right"/>
            </w:pPr>
            <w:r>
              <w:rPr>
                <w:rFonts w:ascii="Times New Roman" w:hAnsi="Times New Roman"/>
                <w:sz w:val="18"/>
              </w:rPr>
              <w:t>−14,2 (−9,4%)</w:t>
            </w:r>
          </w:p>
        </w:tc>
        <w:tc>
          <w:tcPr>
            <w:tcW w:type="dxa" w:w="2426"/>
          </w:tcPr>
          <w:p>
            <w:pPr>
              <w:pStyle w:val="Compact"/>
              <w:spacing w:line="240" w:lineRule="auto" w:before="20" w:after="20"/>
              <w:ind w:firstLine="0"/>
              <w:jc w:val="left"/>
            </w:pPr>
            <w:r>
              <w:rPr>
                <w:rFonts w:ascii="Times New Roman" w:hAnsi="Times New Roman"/>
                <w:sz w:val="18"/>
              </w:rPr>
              <w:t>Andirá</w:t>
            </w:r>
          </w:p>
        </w:tc>
        <w:tc>
          <w:tcPr>
            <w:tcW w:type="dxa" w:w="2004"/>
          </w:tcPr>
          <w:p>
            <w:pPr>
              <w:pStyle w:val="Compact"/>
              <w:spacing w:line="240" w:lineRule="auto" w:before="20" w:after="20"/>
              <w:ind w:firstLine="0"/>
              <w:jc w:val="right"/>
            </w:pPr>
            <w:r>
              <w:rPr>
                <w:rFonts w:ascii="Times New Roman" w:hAnsi="Times New Roman"/>
                <w:sz w:val="18"/>
              </w:rPr>
              <w:t>+7,9 (+28,0%)</w:t>
            </w:r>
          </w:p>
        </w:tc>
      </w:tr>
      <w:tr>
        <w:trPr>
          <w:cantSplit/>
        </w:trPr>
        <w:tc>
          <w:tcPr>
            <w:tcW w:type="dxa" w:w="2637"/>
          </w:tcPr>
          <w:p>
            <w:pPr>
              <w:pStyle w:val="Compact"/>
              <w:spacing w:line="240" w:lineRule="auto" w:before="20" w:after="20"/>
              <w:ind w:firstLine="0"/>
              <w:jc w:val="left"/>
            </w:pPr>
            <w:r>
              <w:rPr>
                <w:rFonts w:ascii="Times New Roman" w:hAnsi="Times New Roman"/>
                <w:sz w:val="18"/>
              </w:rPr>
              <w:t>Quatro Barras</w:t>
            </w:r>
          </w:p>
        </w:tc>
        <w:tc>
          <w:tcPr>
            <w:tcW w:type="dxa" w:w="2004"/>
          </w:tcPr>
          <w:p>
            <w:pPr>
              <w:pStyle w:val="Compact"/>
              <w:spacing w:line="240" w:lineRule="auto" w:before="20" w:after="20"/>
              <w:ind w:firstLine="0"/>
              <w:jc w:val="right"/>
            </w:pPr>
            <w:r>
              <w:rPr>
                <w:rFonts w:ascii="Times New Roman" w:hAnsi="Times New Roman"/>
                <w:sz w:val="18"/>
              </w:rPr>
              <w:t>−13,7 (−15,6%)</w:t>
            </w:r>
          </w:p>
        </w:tc>
        <w:tc>
          <w:tcPr>
            <w:tcW w:type="dxa" w:w="2426"/>
          </w:tcPr>
          <w:p>
            <w:pPr>
              <w:pStyle w:val="Compact"/>
              <w:spacing w:line="240" w:lineRule="auto" w:before="20" w:after="20"/>
              <w:ind w:firstLine="0"/>
              <w:jc w:val="left"/>
            </w:pPr>
            <w:r>
              <w:rPr>
                <w:rFonts w:ascii="Times New Roman" w:hAnsi="Times New Roman"/>
                <w:sz w:val="18"/>
              </w:rPr>
              <w:t>Apucarana</w:t>
            </w:r>
          </w:p>
        </w:tc>
        <w:tc>
          <w:tcPr>
            <w:tcW w:type="dxa" w:w="2004"/>
          </w:tcPr>
          <w:p>
            <w:pPr>
              <w:pStyle w:val="Compact"/>
              <w:spacing w:line="240" w:lineRule="auto" w:before="20" w:after="20"/>
              <w:ind w:firstLine="0"/>
              <w:jc w:val="right"/>
            </w:pPr>
            <w:r>
              <w:rPr>
                <w:rFonts w:ascii="Times New Roman" w:hAnsi="Times New Roman"/>
                <w:sz w:val="18"/>
              </w:rPr>
              <w:t>+6,2 (+4,2%)</w:t>
            </w:r>
          </w:p>
        </w:tc>
      </w:tr>
      <w:tr>
        <w:trPr>
          <w:cantSplit/>
        </w:trPr>
        <w:tc>
          <w:tcPr>
            <w:tcW w:type="dxa" w:w="2637"/>
          </w:tcPr>
          <w:p>
            <w:pPr>
              <w:pStyle w:val="Compact"/>
              <w:spacing w:line="240" w:lineRule="auto" w:before="20" w:after="20"/>
              <w:ind w:firstLine="0"/>
              <w:jc w:val="left"/>
            </w:pPr>
            <w:r>
              <w:rPr>
                <w:rFonts w:ascii="Times New Roman" w:hAnsi="Times New Roman"/>
                <w:sz w:val="18"/>
              </w:rPr>
              <w:t>Guarapuava</w:t>
            </w:r>
          </w:p>
        </w:tc>
        <w:tc>
          <w:tcPr>
            <w:tcW w:type="dxa" w:w="2004"/>
          </w:tcPr>
          <w:p>
            <w:pPr>
              <w:pStyle w:val="Compact"/>
              <w:spacing w:line="240" w:lineRule="auto" w:before="20" w:after="20"/>
              <w:ind w:firstLine="0"/>
              <w:jc w:val="right"/>
            </w:pPr>
            <w:r>
              <w:rPr>
                <w:rFonts w:ascii="Times New Roman" w:hAnsi="Times New Roman"/>
                <w:sz w:val="18"/>
              </w:rPr>
              <w:t>−12,6 (−4,0%)</w:t>
            </w:r>
          </w:p>
        </w:tc>
        <w:tc>
          <w:tcPr>
            <w:tcW w:type="dxa" w:w="2426"/>
          </w:tcPr>
          <w:p>
            <w:pPr>
              <w:pStyle w:val="Compact"/>
              <w:spacing w:line="240" w:lineRule="auto" w:before="20" w:after="20"/>
              <w:ind w:firstLine="0"/>
              <w:jc w:val="left"/>
            </w:pPr>
            <w:r>
              <w:rPr>
                <w:rFonts w:ascii="Times New Roman" w:hAnsi="Times New Roman"/>
                <w:sz w:val="18"/>
              </w:rPr>
              <w:t>Colombo</w:t>
            </w:r>
          </w:p>
        </w:tc>
        <w:tc>
          <w:tcPr>
            <w:tcW w:type="dxa" w:w="2004"/>
          </w:tcPr>
          <w:p>
            <w:pPr>
              <w:pStyle w:val="Compact"/>
              <w:spacing w:line="240" w:lineRule="auto" w:before="20" w:after="20"/>
              <w:ind w:firstLine="0"/>
              <w:jc w:val="right"/>
            </w:pPr>
            <w:r>
              <w:rPr>
                <w:rFonts w:ascii="Times New Roman" w:hAnsi="Times New Roman"/>
                <w:sz w:val="18"/>
              </w:rPr>
              <w:t>+5,1 (+2,4%)</w:t>
            </w:r>
          </w:p>
        </w:tc>
      </w:tr>
      <w:tr>
        <w:trPr>
          <w:cantSplit/>
        </w:trPr>
        <w:tc>
          <w:tcPr>
            <w:tcW w:type="dxa" w:w="2637"/>
          </w:tcPr>
          <w:p>
            <w:pPr>
              <w:pStyle w:val="Compact"/>
              <w:spacing w:line="240" w:lineRule="auto" w:before="20" w:after="20"/>
              <w:ind w:firstLine="0"/>
              <w:jc w:val="left"/>
            </w:pPr>
            <w:r>
              <w:rPr>
                <w:rFonts w:ascii="Times New Roman" w:hAnsi="Times New Roman"/>
                <w:sz w:val="18"/>
              </w:rPr>
              <w:t>Marechal Cândido Rondon</w:t>
            </w:r>
          </w:p>
        </w:tc>
        <w:tc>
          <w:tcPr>
            <w:tcW w:type="dxa" w:w="2004"/>
          </w:tcPr>
          <w:p>
            <w:pPr>
              <w:pStyle w:val="Compact"/>
              <w:spacing w:line="240" w:lineRule="auto" w:before="20" w:after="20"/>
              <w:ind w:firstLine="0"/>
              <w:jc w:val="right"/>
            </w:pPr>
            <w:r>
              <w:rPr>
                <w:rFonts w:ascii="Times New Roman" w:hAnsi="Times New Roman"/>
                <w:sz w:val="18"/>
              </w:rPr>
              <w:t>−11,1 (−7,5%)</w:t>
            </w:r>
          </w:p>
        </w:tc>
        <w:tc>
          <w:tcPr>
            <w:tcW w:type="dxa" w:w="2426"/>
          </w:tcPr>
          <w:p>
            <w:pPr>
              <w:pStyle w:val="Compact"/>
              <w:spacing w:line="240" w:lineRule="auto" w:before="20" w:after="20"/>
              <w:ind w:firstLine="0"/>
              <w:jc w:val="left"/>
            </w:pPr>
            <w:r>
              <w:rPr>
                <w:rFonts w:ascii="Times New Roman" w:hAnsi="Times New Roman"/>
                <w:sz w:val="18"/>
              </w:rPr>
              <w:t>Cianorte</w:t>
            </w:r>
          </w:p>
        </w:tc>
        <w:tc>
          <w:tcPr>
            <w:tcW w:type="dxa" w:w="2004"/>
          </w:tcPr>
          <w:p>
            <w:pPr>
              <w:pStyle w:val="Compact"/>
              <w:spacing w:line="240" w:lineRule="auto" w:before="20" w:after="20"/>
              <w:ind w:firstLine="0"/>
              <w:jc w:val="right"/>
            </w:pPr>
            <w:r>
              <w:rPr>
                <w:rFonts w:ascii="Times New Roman" w:hAnsi="Times New Roman"/>
                <w:sz w:val="18"/>
              </w:rPr>
              <w:t>+4,3 (+3,3%)</w:t>
            </w:r>
          </w:p>
        </w:tc>
      </w:tr>
      <w:tr>
        <w:trPr>
          <w:cantSplit/>
        </w:trPr>
        <w:tc>
          <w:tcPr>
            <w:tcW w:type="dxa" w:w="2637"/>
          </w:tcPr>
          <w:p>
            <w:pPr>
              <w:pStyle w:val="Compact"/>
              <w:spacing w:line="240" w:lineRule="auto" w:before="20" w:after="20"/>
              <w:ind w:firstLine="0"/>
              <w:jc w:val="left"/>
            </w:pPr>
            <w:r>
              <w:rPr>
                <w:rFonts w:ascii="Times New Roman" w:hAnsi="Times New Roman"/>
                <w:sz w:val="18"/>
              </w:rPr>
              <w:t>Palotina</w:t>
            </w:r>
          </w:p>
        </w:tc>
        <w:tc>
          <w:tcPr>
            <w:tcW w:type="dxa" w:w="2004"/>
          </w:tcPr>
          <w:p>
            <w:pPr>
              <w:pStyle w:val="Compact"/>
              <w:spacing w:line="240" w:lineRule="auto" w:before="20" w:after="20"/>
              <w:ind w:firstLine="0"/>
              <w:jc w:val="right"/>
            </w:pPr>
            <w:r>
              <w:rPr>
                <w:rFonts w:ascii="Times New Roman" w:hAnsi="Times New Roman"/>
                <w:sz w:val="18"/>
              </w:rPr>
              <w:t>−10,2 (−7,8%)</w:t>
            </w:r>
          </w:p>
        </w:tc>
        <w:tc>
          <w:tcPr>
            <w:tcW w:type="dxa" w:w="2426"/>
          </w:tcPr>
          <w:p>
            <w:pPr>
              <w:pStyle w:val="Compact"/>
              <w:spacing w:line="240" w:lineRule="auto" w:before="20" w:after="20"/>
              <w:ind w:firstLine="0"/>
              <w:jc w:val="left"/>
            </w:pPr>
            <w:r>
              <w:rPr>
                <w:rFonts w:ascii="Times New Roman" w:hAnsi="Times New Roman"/>
                <w:sz w:val="18"/>
              </w:rPr>
              <w:t>São Carlos do Ivaí</w:t>
            </w:r>
          </w:p>
        </w:tc>
        <w:tc>
          <w:tcPr>
            <w:tcW w:type="dxa" w:w="2004"/>
          </w:tcPr>
          <w:p>
            <w:pPr>
              <w:pStyle w:val="Compact"/>
              <w:spacing w:line="240" w:lineRule="auto" w:before="20" w:after="20"/>
              <w:ind w:firstLine="0"/>
              <w:jc w:val="right"/>
            </w:pPr>
            <w:r>
              <w:rPr>
                <w:rFonts w:ascii="Times New Roman" w:hAnsi="Times New Roman"/>
                <w:sz w:val="18"/>
              </w:rPr>
              <w:t>+4,0 (+31,3%)</w:t>
            </w:r>
          </w:p>
        </w:tc>
      </w:tr>
      <w:tr>
        <w:trPr>
          <w:cantSplit/>
        </w:trPr>
        <w:tc>
          <w:tcPr>
            <w:tcW w:type="dxa" w:w="2637"/>
          </w:tcPr>
          <w:p>
            <w:pPr>
              <w:pStyle w:val="Compact"/>
              <w:spacing w:line="240" w:lineRule="auto" w:before="20" w:after="20"/>
              <w:ind w:firstLine="0"/>
              <w:jc w:val="left"/>
            </w:pPr>
            <w:r>
              <w:rPr>
                <w:rFonts w:ascii="Times New Roman" w:hAnsi="Times New Roman"/>
                <w:sz w:val="18"/>
              </w:rPr>
              <w:t>Mandaguari</w:t>
            </w:r>
          </w:p>
        </w:tc>
        <w:tc>
          <w:tcPr>
            <w:tcW w:type="dxa" w:w="2004"/>
          </w:tcPr>
          <w:p>
            <w:pPr>
              <w:pStyle w:val="Compact"/>
              <w:spacing w:line="240" w:lineRule="auto" w:before="20" w:after="20"/>
              <w:ind w:firstLine="0"/>
              <w:jc w:val="right"/>
            </w:pPr>
            <w:r>
              <w:rPr>
                <w:rFonts w:ascii="Times New Roman" w:hAnsi="Times New Roman"/>
                <w:sz w:val="18"/>
              </w:rPr>
              <w:t>−9,6 (−12,4%)</w:t>
            </w:r>
          </w:p>
        </w:tc>
        <w:tc>
          <w:tcPr>
            <w:tcW w:type="dxa" w:w="2426"/>
          </w:tcPr>
          <w:p>
            <w:pPr>
              <w:pStyle w:val="Compact"/>
              <w:spacing w:line="240" w:lineRule="auto" w:before="20" w:after="20"/>
              <w:ind w:firstLine="0"/>
              <w:jc w:val="left"/>
            </w:pPr>
            <w:r>
              <w:rPr>
                <w:rFonts w:ascii="Times New Roman" w:hAnsi="Times New Roman"/>
                <w:sz w:val="18"/>
              </w:rPr>
              <w:t>São Jorge d'Oeste</w:t>
            </w:r>
          </w:p>
        </w:tc>
        <w:tc>
          <w:tcPr>
            <w:tcW w:type="dxa" w:w="2004"/>
          </w:tcPr>
          <w:p>
            <w:pPr>
              <w:pStyle w:val="Compact"/>
              <w:spacing w:line="240" w:lineRule="auto" w:before="20" w:after="20"/>
              <w:ind w:firstLine="0"/>
              <w:jc w:val="right"/>
            </w:pPr>
            <w:r>
              <w:rPr>
                <w:rFonts w:ascii="Times New Roman" w:hAnsi="Times New Roman"/>
                <w:sz w:val="18"/>
              </w:rPr>
              <w:t>+3,6 (+9,1%)</w:t>
            </w:r>
          </w:p>
        </w:tc>
      </w:tr>
      <w:tr>
        <w:trPr>
          <w:cantSplit/>
        </w:trPr>
        <w:tc>
          <w:tcPr>
            <w:tcW w:type="dxa" w:w="2637"/>
          </w:tcPr>
          <w:p>
            <w:pPr>
              <w:pStyle w:val="Compact"/>
              <w:spacing w:line="240" w:lineRule="auto" w:before="20" w:after="20"/>
              <w:ind w:firstLine="0"/>
              <w:jc w:val="left"/>
            </w:pPr>
            <w:r>
              <w:rPr>
                <w:rFonts w:ascii="Times New Roman" w:hAnsi="Times New Roman"/>
                <w:sz w:val="18"/>
              </w:rPr>
              <w:t>Palmeira</w:t>
            </w:r>
          </w:p>
        </w:tc>
        <w:tc>
          <w:tcPr>
            <w:tcW w:type="dxa" w:w="2004"/>
          </w:tcPr>
          <w:p>
            <w:pPr>
              <w:pStyle w:val="Compact"/>
              <w:spacing w:line="240" w:lineRule="auto" w:before="20" w:after="20"/>
              <w:ind w:firstLine="0"/>
              <w:jc w:val="right"/>
            </w:pPr>
            <w:r>
              <w:rPr>
                <w:rFonts w:ascii="Times New Roman" w:hAnsi="Times New Roman"/>
                <w:sz w:val="18"/>
              </w:rPr>
              <w:t>−9,2 (−9,5%)</w:t>
            </w:r>
          </w:p>
        </w:tc>
        <w:tc>
          <w:tcPr>
            <w:tcW w:type="dxa" w:w="2426"/>
          </w:tcPr>
          <w:p>
            <w:pPr>
              <w:pStyle w:val="Compact"/>
              <w:spacing w:line="240" w:lineRule="auto" w:before="20" w:after="20"/>
              <w:ind w:firstLine="0"/>
              <w:jc w:val="left"/>
            </w:pPr>
            <w:r>
              <w:rPr>
                <w:rFonts w:ascii="Times New Roman" w:hAnsi="Times New Roman"/>
                <w:sz w:val="18"/>
              </w:rPr>
              <w:t>Cambé</w:t>
            </w:r>
          </w:p>
        </w:tc>
        <w:tc>
          <w:tcPr>
            <w:tcW w:type="dxa" w:w="2004"/>
          </w:tcPr>
          <w:p>
            <w:pPr>
              <w:pStyle w:val="Compact"/>
              <w:spacing w:line="240" w:lineRule="auto" w:before="20" w:after="20"/>
              <w:ind w:firstLine="0"/>
              <w:jc w:val="right"/>
            </w:pPr>
            <w:r>
              <w:rPr>
                <w:rFonts w:ascii="Times New Roman" w:hAnsi="Times New Roman"/>
                <w:sz w:val="18"/>
              </w:rPr>
              <w:t>+3,5 (+2,2%)</w:t>
            </w:r>
          </w:p>
        </w:tc>
      </w:tr>
      <w:tr>
        <w:trPr>
          <w:cantSplit/>
        </w:trPr>
        <w:tc>
          <w:tcPr>
            <w:tcW w:type="dxa" w:w="2637"/>
          </w:tcPr>
          <w:p>
            <w:pPr>
              <w:pStyle w:val="Compact"/>
              <w:spacing w:line="240" w:lineRule="auto" w:before="20" w:after="20"/>
              <w:ind w:firstLine="0"/>
              <w:jc w:val="left"/>
            </w:pPr>
            <w:r>
              <w:rPr>
                <w:rFonts w:ascii="Times New Roman" w:hAnsi="Times New Roman"/>
                <w:sz w:val="18"/>
              </w:rPr>
              <w:t>Campo Largo</w:t>
            </w:r>
          </w:p>
        </w:tc>
        <w:tc>
          <w:tcPr>
            <w:tcW w:type="dxa" w:w="2004"/>
          </w:tcPr>
          <w:p>
            <w:pPr>
              <w:pStyle w:val="Compact"/>
              <w:spacing w:line="240" w:lineRule="auto" w:before="20" w:after="20"/>
              <w:ind w:firstLine="0"/>
              <w:jc w:val="right"/>
            </w:pPr>
            <w:r>
              <w:rPr>
                <w:rFonts w:ascii="Times New Roman" w:hAnsi="Times New Roman"/>
                <w:sz w:val="18"/>
              </w:rPr>
              <w:t>−8,8 (−4,2%)</w:t>
            </w:r>
          </w:p>
        </w:tc>
        <w:tc>
          <w:tcPr>
            <w:tcW w:type="dxa" w:w="2426"/>
          </w:tcPr>
          <w:p>
            <w:pPr>
              <w:pStyle w:val="Compact"/>
              <w:spacing w:line="240" w:lineRule="auto" w:before="20" w:after="20"/>
              <w:ind w:firstLine="0"/>
              <w:jc w:val="left"/>
            </w:pPr>
            <w:r>
              <w:rPr>
                <w:rFonts w:ascii="Times New Roman" w:hAnsi="Times New Roman"/>
                <w:sz w:val="18"/>
              </w:rPr>
              <w:t>Cornélio Procópio</w:t>
            </w:r>
          </w:p>
        </w:tc>
        <w:tc>
          <w:tcPr>
            <w:tcW w:type="dxa" w:w="2004"/>
          </w:tcPr>
          <w:p>
            <w:pPr>
              <w:pStyle w:val="Compact"/>
              <w:spacing w:line="240" w:lineRule="auto" w:before="20" w:after="20"/>
              <w:ind w:firstLine="0"/>
              <w:jc w:val="right"/>
            </w:pPr>
            <w:r>
              <w:rPr>
                <w:rFonts w:ascii="Times New Roman" w:hAnsi="Times New Roman"/>
                <w:sz w:val="18"/>
              </w:rPr>
              <w:t>+3,4 (+5,2%)</w:t>
            </w:r>
          </w:p>
        </w:tc>
      </w:tr>
      <w:tr>
        <w:trPr>
          <w:cantSplit/>
        </w:trPr>
        <w:tc>
          <w:tcPr>
            <w:tcW w:type="dxa" w:w="2637"/>
          </w:tcPr>
          <w:p>
            <w:pPr>
              <w:pStyle w:val="Compact"/>
              <w:spacing w:line="240" w:lineRule="auto" w:before="20" w:after="20"/>
              <w:ind w:firstLine="0"/>
              <w:jc w:val="left"/>
            </w:pPr>
            <w:r>
              <w:rPr>
                <w:rFonts w:ascii="Times New Roman" w:hAnsi="Times New Roman"/>
                <w:sz w:val="18"/>
              </w:rPr>
              <w:t>Sengés</w:t>
            </w:r>
          </w:p>
        </w:tc>
        <w:tc>
          <w:tcPr>
            <w:tcW w:type="dxa" w:w="2004"/>
          </w:tcPr>
          <w:p>
            <w:pPr>
              <w:pStyle w:val="Compact"/>
              <w:spacing w:line="240" w:lineRule="auto" w:before="20" w:after="20"/>
              <w:ind w:firstLine="0"/>
              <w:jc w:val="right"/>
            </w:pPr>
            <w:r>
              <w:rPr>
                <w:rFonts w:ascii="Times New Roman" w:hAnsi="Times New Roman"/>
                <w:sz w:val="18"/>
              </w:rPr>
              <w:t>−8,7 (−17,9%)</w:t>
            </w:r>
          </w:p>
        </w:tc>
        <w:tc>
          <w:tcPr>
            <w:tcW w:type="dxa" w:w="2426"/>
          </w:tcPr>
          <w:p>
            <w:pPr>
              <w:pStyle w:val="Compact"/>
              <w:spacing w:line="240" w:lineRule="auto" w:before="20" w:after="20"/>
              <w:ind w:firstLine="0"/>
              <w:jc w:val="left"/>
            </w:pPr>
            <w:r>
              <w:rPr>
                <w:rFonts w:ascii="Times New Roman" w:hAnsi="Times New Roman"/>
                <w:sz w:val="18"/>
              </w:rPr>
              <w:t>Tapejara</w:t>
            </w:r>
          </w:p>
        </w:tc>
        <w:tc>
          <w:tcPr>
            <w:tcW w:type="dxa" w:w="2004"/>
          </w:tcPr>
          <w:p>
            <w:pPr>
              <w:pStyle w:val="Compact"/>
              <w:spacing w:line="240" w:lineRule="auto" w:before="20" w:after="20"/>
              <w:ind w:firstLine="0"/>
              <w:jc w:val="right"/>
            </w:pPr>
            <w:r>
              <w:rPr>
                <w:rFonts w:ascii="Times New Roman" w:hAnsi="Times New Roman"/>
                <w:sz w:val="18"/>
              </w:rPr>
              <w:t>+3,3 (+15,1%)</w:t>
            </w:r>
          </w:p>
        </w:tc>
      </w:tr>
      <w:tr>
        <w:trPr>
          <w:cantSplit/>
        </w:trPr>
        <w:tc>
          <w:tcPr>
            <w:tcW w:type="dxa" w:w="2637"/>
          </w:tcPr>
          <w:p>
            <w:pPr>
              <w:pStyle w:val="Compact"/>
              <w:spacing w:line="240" w:lineRule="auto" w:before="20" w:after="20"/>
              <w:ind w:firstLine="0"/>
              <w:jc w:val="left"/>
            </w:pPr>
            <w:r>
              <w:rPr>
                <w:rFonts w:ascii="Times New Roman" w:hAnsi="Times New Roman"/>
                <w:sz w:val="18"/>
              </w:rPr>
              <w:t>Campina Grande do Sul</w:t>
            </w:r>
          </w:p>
        </w:tc>
        <w:tc>
          <w:tcPr>
            <w:tcW w:type="dxa" w:w="2004"/>
          </w:tcPr>
          <w:p>
            <w:pPr>
              <w:pStyle w:val="Compact"/>
              <w:spacing w:line="240" w:lineRule="auto" w:before="20" w:after="20"/>
              <w:ind w:firstLine="0"/>
              <w:jc w:val="right"/>
            </w:pPr>
            <w:r>
              <w:rPr>
                <w:rFonts w:ascii="Times New Roman" w:hAnsi="Times New Roman"/>
                <w:sz w:val="18"/>
              </w:rPr>
              <w:t>−8,4 (−8,7%)</w:t>
            </w:r>
          </w:p>
        </w:tc>
        <w:tc>
          <w:tcPr>
            <w:tcW w:type="dxa" w:w="2426"/>
          </w:tcPr>
          <w:p>
            <w:pPr>
              <w:pStyle w:val="Compact"/>
              <w:spacing w:line="240" w:lineRule="auto" w:before="20" w:after="20"/>
              <w:ind w:firstLine="0"/>
              <w:jc w:val="left"/>
            </w:pPr>
            <w:r>
              <w:rPr>
                <w:rFonts w:ascii="Times New Roman" w:hAnsi="Times New Roman"/>
                <w:sz w:val="18"/>
              </w:rPr>
              <w:t>Altônia</w:t>
            </w:r>
          </w:p>
        </w:tc>
        <w:tc>
          <w:tcPr>
            <w:tcW w:type="dxa" w:w="2004"/>
          </w:tcPr>
          <w:p>
            <w:pPr>
              <w:pStyle w:val="Compact"/>
              <w:spacing w:line="240" w:lineRule="auto" w:before="20" w:after="20"/>
              <w:ind w:firstLine="0"/>
              <w:jc w:val="right"/>
            </w:pPr>
            <w:r>
              <w:rPr>
                <w:rFonts w:ascii="Times New Roman" w:hAnsi="Times New Roman"/>
                <w:sz w:val="18"/>
              </w:rPr>
              <w:t>+3,3 (+12,1%)</w:t>
            </w:r>
          </w:p>
        </w:tc>
      </w:tr>
    </w:tbl>
    <w:bookmarkEnd w:id="74"/>
    <w:p>
      <w:pPr>
        <w:pStyle w:val="BodyText"/>
        <w:spacing w:line="240" w:lineRule="auto" w:before="40" w:after="0"/>
        <w:ind w:firstLine="0"/>
        <w:jc w:val="both"/>
      </w:pPr>
      <w:r>
        <w:rPr>
          <w:rFonts w:ascii="Times New Roman" w:hAnsi="Times New Roman"/>
          <w:i/>
          <w:iCs/>
          <w:sz w:val="18"/>
        </w:rPr>
        <w:t>Nota: Ranking dos 399 municípios pela diferença, em R$ milhões de 2025, entre a receita projetada sob a reforma e o cenário sem reforma em 2033; entre parênteses, a variação percentual. † indica município com ISS incompleto (menos de cinco exercícios observados, ISS de 2025 não observado diretamente ou pendência de validação).</w:t>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 a partir da base auditada.</w:t>
      </w:r>
    </w:p>
    <w:bookmarkEnd w:id="75"/>
    <w:bookmarkStart w:id="77" w:name="X11aba82b5796f2478ace5888a0c5a70d39c44da"/>
    <w:p>
      <w:pPr>
        <w:pStyle w:val="Heading1"/>
        <w:pageBreakBefore/>
      </w:pPr>
      <w:r>
        <w:t xml:space="preserve">Anexo C: Seguro-Receita nos municípios paranaenses</w:t>
      </w:r>
    </w:p>
    <w:p>
      <w:pPr>
        <w:pStyle w:val="FirstParagraph"/>
      </w:pPr>
      <w:r>
        <w:t xml:space="preserve">Este anexo atualiza a simulação do Seguro-Receita após a auditoria dos dados municipais. A lista individual de beneficiários é produzida pela base de memória de cálculo e preservada como material suplementar eletrônico; o quadro abaixo resume as grandezas utilizadas no artigo.</w:t>
      </w:r>
    </w:p>
    <w:bookmarkStart w:id="76" w:name="tab:seguro_c_resumo"/>
    <w:p>
      <w:pPr>
        <w:pStyle w:val="TableCaption"/>
      </w:pPr>
      <w:r>
        <w:rPr>
          <w:b/>
          <w:bCs/>
        </w:rPr>
        <w:t xml:space="preserve">Tabela C.1:</w:t>
      </w:r>
      <w:r>
        <w:t xml:space="preserve"> Seguro-Receita após a auditoria municipal, 2029 a 2033</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C.1: Seguro-Receita após a auditoria municipal, 2029 a 2033"/>
      </w:tblPr>
      <w:tblGrid>
        <w:gridCol w:w="857"/>
        <w:gridCol w:w="1500"/>
        <w:gridCol w:w="1785"/>
        <w:gridCol w:w="2071"/>
        <w:gridCol w:w="1642"/>
        <w:gridCol w:w="1214"/>
      </w:tblGrid>
      <w:tr>
        <w:trPr>
          <w:tblHeader w:val="on"/>
          <w:cantSplit/>
          <w:tblHeader/>
        </w:trPr>
        <w:tc>
          <w:tcPr>
            <w:tcW w:type="dxa" w:w="85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Ano</w:t>
            </w:r>
          </w:p>
        </w:tc>
        <w:tc>
          <w:tcPr>
            <w:tcW w:type="dxa" w:w="150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Fundo nacional</w:t>
            </w:r>
            <w:r>
              <w:rPr>
                <w:rFonts w:ascii="Times New Roman" w:hAnsi="Times New Roman"/>
                <w:b/>
                <w:sz w:val="16"/>
              </w:rPr>
              <w:br/>
            </w:r>
            <w:r>
              <w:rPr>
                <w:rFonts w:ascii="Times New Roman" w:hAnsi="Times New Roman"/>
                <w:b/>
                <w:bCs/>
                <w:sz w:val="16"/>
              </w:rPr>
              <w:t xml:space="preserve">R$ bi</w:t>
            </w:r>
          </w:p>
        </w:tc>
        <w:tc>
          <w:tcPr>
            <w:tcW w:type="dxa" w:w="178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Nível de</w:t>
            </w:r>
            <w:r>
              <w:rPr>
                <w:rFonts w:ascii="Times New Roman" w:hAnsi="Times New Roman"/>
                <w:b/>
                <w:sz w:val="16"/>
              </w:rPr>
              <w:br/>
            </w:r>
            <w:r>
              <w:rPr>
                <w:rFonts w:ascii="Times New Roman" w:hAnsi="Times New Roman"/>
                <w:b/>
                <w:bCs/>
                <w:sz w:val="16"/>
              </w:rPr>
              <w:t xml:space="preserve">equalização</w:t>
            </w:r>
          </w:p>
        </w:tc>
        <w:tc>
          <w:tcPr>
            <w:tcW w:type="dxa" w:w="207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Beneficiários</w:t>
            </w:r>
            <w:r>
              <w:rPr>
                <w:rFonts w:ascii="Times New Roman" w:hAnsi="Times New Roman"/>
                <w:b/>
                <w:sz w:val="16"/>
              </w:rPr>
              <w:br/>
            </w:r>
            <w:r>
              <w:rPr>
                <w:rFonts w:ascii="Times New Roman" w:hAnsi="Times New Roman"/>
                <w:b/>
                <w:bCs/>
                <w:sz w:val="16"/>
              </w:rPr>
              <w:t xml:space="preserve">Brasil</w:t>
            </w:r>
          </w:p>
        </w:tc>
        <w:tc>
          <w:tcPr>
            <w:tcW w:type="dxa" w:w="164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Municípios</w:t>
            </w:r>
            <w:r>
              <w:rPr>
                <w:rFonts w:ascii="Times New Roman" w:hAnsi="Times New Roman"/>
                <w:b/>
                <w:sz w:val="16"/>
              </w:rPr>
              <w:br/>
            </w:r>
            <w:r>
              <w:rPr>
                <w:rFonts w:ascii="Times New Roman" w:hAnsi="Times New Roman"/>
                <w:b/>
                <w:bCs/>
                <w:sz w:val="16"/>
              </w:rPr>
              <w:t xml:space="preserve">do PR</w:t>
            </w:r>
          </w:p>
        </w:tc>
        <w:tc>
          <w:tcPr>
            <w:tcW w:type="dxa" w:w="121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Repasse PR</w:t>
            </w:r>
            <w:r>
              <w:rPr>
                <w:rFonts w:ascii="Times New Roman" w:hAnsi="Times New Roman"/>
                <w:b/>
                <w:sz w:val="16"/>
              </w:rPr>
              <w:br/>
            </w:r>
            <w:r>
              <w:rPr>
                <w:rFonts w:ascii="Times New Roman" w:hAnsi="Times New Roman"/>
                <w:b/>
                <w:bCs/>
                <w:sz w:val="16"/>
              </w:rPr>
              <w:t xml:space="preserve">R$ mi</w:t>
            </w:r>
          </w:p>
        </w:tc>
      </w:tr>
      <w:tr>
        <w:trPr>
          <w:cantSplit/>
        </w:trPr>
        <w:tc>
          <w:tcPr>
            <w:tcW w:type="dxa" w:w="857"/>
          </w:tcPr>
          <w:p>
            <w:pPr>
              <w:pStyle w:val="Compact"/>
              <w:spacing w:line="240" w:lineRule="auto" w:before="20" w:after="20"/>
              <w:ind w:firstLine="0"/>
              <w:jc w:val="left"/>
            </w:pPr>
            <w:r>
              <w:rPr>
                <w:rFonts w:ascii="Times New Roman" w:hAnsi="Times New Roman"/>
                <w:sz w:val="16"/>
              </w:rPr>
              <w:t xml:space="preserve">2029</w:t>
            </w:r>
          </w:p>
        </w:tc>
        <w:tc>
          <w:tcPr>
            <w:tcW w:type="dxa" w:w="1500"/>
          </w:tcPr>
          <w:p>
            <w:pPr>
              <w:pStyle w:val="Compact"/>
              <w:spacing w:line="240" w:lineRule="auto" w:before="20" w:after="20"/>
              <w:ind w:firstLine="0"/>
              <w:jc w:val="right"/>
            </w:pPr>
            <w:r>
              <w:rPr>
                <w:rFonts w:ascii="Times New Roman" w:hAnsi="Times New Roman"/>
                <w:sz w:val="16"/>
              </w:rPr>
              <w:t xml:space="preserve">1,10</w:t>
            </w:r>
          </w:p>
        </w:tc>
        <w:tc>
          <w:tcPr>
            <w:tcW w:type="dxa" w:w="1785"/>
          </w:tcPr>
          <w:p>
            <w:pPr>
              <w:pStyle w:val="Compact"/>
              <w:spacing w:line="240" w:lineRule="auto" w:before="20" w:after="20"/>
              <w:ind w:firstLine="0"/>
              <w:jc w:val="right"/>
            </w:pPr>
            <w:r>
              <w:rPr>
                <w:rFonts w:ascii="Times New Roman" w:hAnsi="Times New Roman"/>
                <w:sz w:val="16"/>
              </w:rPr>
              <w:t>6,482%</w:t>
            </w:r>
          </w:p>
        </w:tc>
        <w:tc>
          <w:tcPr>
            <w:tcW w:type="dxa" w:w="2071"/>
          </w:tcPr>
          <w:p>
            <w:pPr>
              <w:pStyle w:val="Compact"/>
              <w:spacing w:line="240" w:lineRule="auto" w:before="20" w:after="20"/>
              <w:ind w:firstLine="0"/>
              <w:jc w:val="right"/>
            </w:pPr>
            <w:r>
              <w:rPr>
                <w:rFonts w:ascii="Times New Roman" w:hAnsi="Times New Roman"/>
                <w:sz w:val="16"/>
              </w:rPr>
              <w:t>292</w:t>
            </w:r>
          </w:p>
        </w:tc>
        <w:tc>
          <w:tcPr>
            <w:tcW w:type="dxa" w:w="1642"/>
          </w:tcPr>
          <w:p>
            <w:pPr>
              <w:pStyle w:val="Compact"/>
              <w:spacing w:line="240" w:lineRule="auto" w:before="20" w:after="20"/>
              <w:ind w:firstLine="0"/>
              <w:jc w:val="right"/>
            </w:pPr>
            <w:r>
              <w:rPr>
                <w:rFonts w:ascii="Times New Roman" w:hAnsi="Times New Roman"/>
                <w:sz w:val="16"/>
              </w:rPr>
              <w:t>12</w:t>
            </w:r>
          </w:p>
        </w:tc>
        <w:tc>
          <w:tcPr>
            <w:tcW w:type="dxa" w:w="1214"/>
          </w:tcPr>
          <w:p>
            <w:pPr>
              <w:pStyle w:val="Compact"/>
              <w:spacing w:line="240" w:lineRule="auto" w:before="20" w:after="20"/>
              <w:ind w:firstLine="0"/>
              <w:jc w:val="right"/>
            </w:pPr>
            <w:r>
              <w:rPr>
                <w:rFonts w:ascii="Times New Roman" w:hAnsi="Times New Roman"/>
                <w:sz w:val="16"/>
              </w:rPr>
              <w:t>31,2</w:t>
            </w:r>
          </w:p>
        </w:tc>
      </w:tr>
      <w:tr>
        <w:trPr>
          <w:cantSplit/>
        </w:trPr>
        <w:tc>
          <w:tcPr>
            <w:tcW w:type="dxa" w:w="857"/>
          </w:tcPr>
          <w:p>
            <w:pPr>
              <w:pStyle w:val="Compact"/>
              <w:spacing w:line="240" w:lineRule="auto" w:before="20" w:after="20"/>
              <w:ind w:firstLine="0"/>
              <w:jc w:val="left"/>
            </w:pPr>
            <w:r>
              <w:rPr>
                <w:rFonts w:ascii="Times New Roman" w:hAnsi="Times New Roman"/>
                <w:sz w:val="16"/>
              </w:rPr>
              <w:t xml:space="preserve">2030</w:t>
            </w:r>
          </w:p>
        </w:tc>
        <w:tc>
          <w:tcPr>
            <w:tcW w:type="dxa" w:w="1500"/>
          </w:tcPr>
          <w:p>
            <w:pPr>
              <w:pStyle w:val="Compact"/>
              <w:spacing w:line="240" w:lineRule="auto" w:before="20" w:after="20"/>
              <w:ind w:firstLine="0"/>
              <w:jc w:val="right"/>
            </w:pPr>
            <w:r>
              <w:rPr>
                <w:rFonts w:ascii="Times New Roman" w:hAnsi="Times New Roman"/>
                <w:sz w:val="16"/>
              </w:rPr>
              <w:t xml:space="preserve">2,24</w:t>
            </w:r>
          </w:p>
        </w:tc>
        <w:tc>
          <w:tcPr>
            <w:tcW w:type="dxa" w:w="1785"/>
          </w:tcPr>
          <w:p>
            <w:pPr>
              <w:pStyle w:val="Compact"/>
              <w:spacing w:line="240" w:lineRule="auto" w:before="20" w:after="20"/>
              <w:ind w:firstLine="0"/>
              <w:jc w:val="right"/>
            </w:pPr>
            <w:r>
              <w:rPr>
                <w:rFonts w:ascii="Times New Roman" w:hAnsi="Times New Roman"/>
                <w:sz w:val="16"/>
              </w:rPr>
              <w:t>13,338%</w:t>
            </w:r>
          </w:p>
        </w:tc>
        <w:tc>
          <w:tcPr>
            <w:tcW w:type="dxa" w:w="2071"/>
          </w:tcPr>
          <w:p>
            <w:pPr>
              <w:pStyle w:val="Compact"/>
              <w:spacing w:line="240" w:lineRule="auto" w:before="20" w:after="20"/>
              <w:ind w:firstLine="0"/>
              <w:jc w:val="right"/>
            </w:pPr>
            <w:r>
              <w:rPr>
                <w:rFonts w:ascii="Times New Roman" w:hAnsi="Times New Roman"/>
                <w:sz w:val="16"/>
              </w:rPr>
              <w:t>291</w:t>
            </w:r>
          </w:p>
        </w:tc>
        <w:tc>
          <w:tcPr>
            <w:tcW w:type="dxa" w:w="1642"/>
          </w:tcPr>
          <w:p>
            <w:pPr>
              <w:pStyle w:val="Compact"/>
              <w:spacing w:line="240" w:lineRule="auto" w:before="20" w:after="20"/>
              <w:ind w:firstLine="0"/>
              <w:jc w:val="right"/>
            </w:pPr>
            <w:r>
              <w:rPr>
                <w:rFonts w:ascii="Times New Roman" w:hAnsi="Times New Roman"/>
                <w:sz w:val="16"/>
              </w:rPr>
              <w:t>12</w:t>
            </w:r>
          </w:p>
        </w:tc>
        <w:tc>
          <w:tcPr>
            <w:tcW w:type="dxa" w:w="1214"/>
          </w:tcPr>
          <w:p>
            <w:pPr>
              <w:pStyle w:val="Compact"/>
              <w:spacing w:line="240" w:lineRule="auto" w:before="20" w:after="20"/>
              <w:ind w:firstLine="0"/>
              <w:jc w:val="right"/>
            </w:pPr>
            <w:r>
              <w:rPr>
                <w:rFonts w:ascii="Times New Roman" w:hAnsi="Times New Roman"/>
                <w:sz w:val="16"/>
              </w:rPr>
              <w:t>64,0</w:t>
            </w:r>
          </w:p>
        </w:tc>
      </w:tr>
      <w:tr>
        <w:trPr>
          <w:cantSplit/>
        </w:trPr>
        <w:tc>
          <w:tcPr>
            <w:tcW w:type="dxa" w:w="857"/>
          </w:tcPr>
          <w:p>
            <w:pPr>
              <w:pStyle w:val="Compact"/>
              <w:spacing w:line="240" w:lineRule="auto" w:before="20" w:after="20"/>
              <w:ind w:firstLine="0"/>
              <w:jc w:val="left"/>
            </w:pPr>
            <w:r>
              <w:rPr>
                <w:rFonts w:ascii="Times New Roman" w:hAnsi="Times New Roman"/>
                <w:sz w:val="16"/>
              </w:rPr>
              <w:t xml:space="preserve">2031</w:t>
            </w:r>
          </w:p>
        </w:tc>
        <w:tc>
          <w:tcPr>
            <w:tcW w:type="dxa" w:w="1500"/>
          </w:tcPr>
          <w:p>
            <w:pPr>
              <w:pStyle w:val="Compact"/>
              <w:spacing w:line="240" w:lineRule="auto" w:before="20" w:after="20"/>
              <w:ind w:firstLine="0"/>
              <w:jc w:val="right"/>
            </w:pPr>
            <w:r>
              <w:rPr>
                <w:rFonts w:ascii="Times New Roman" w:hAnsi="Times New Roman"/>
                <w:sz w:val="16"/>
              </w:rPr>
              <w:t>3,44</w:t>
            </w:r>
          </w:p>
        </w:tc>
        <w:tc>
          <w:tcPr>
            <w:tcW w:type="dxa" w:w="1785"/>
          </w:tcPr>
          <w:p>
            <w:pPr>
              <w:pStyle w:val="Compact"/>
              <w:spacing w:line="240" w:lineRule="auto" w:before="20" w:after="20"/>
              <w:ind w:firstLine="0"/>
              <w:jc w:val="right"/>
            </w:pPr>
            <w:r>
              <w:rPr>
                <w:rFonts w:ascii="Times New Roman" w:hAnsi="Times New Roman"/>
                <w:sz w:val="16"/>
              </w:rPr>
              <w:t>20,487%</w:t>
            </w:r>
          </w:p>
        </w:tc>
        <w:tc>
          <w:tcPr>
            <w:tcW w:type="dxa" w:w="2071"/>
          </w:tcPr>
          <w:p>
            <w:pPr>
              <w:pStyle w:val="Compact"/>
              <w:spacing w:line="240" w:lineRule="auto" w:before="20" w:after="20"/>
              <w:ind w:firstLine="0"/>
              <w:jc w:val="right"/>
            </w:pPr>
            <w:r>
              <w:rPr>
                <w:rFonts w:ascii="Times New Roman" w:hAnsi="Times New Roman"/>
                <w:sz w:val="16"/>
              </w:rPr>
              <w:t>291</w:t>
            </w:r>
          </w:p>
        </w:tc>
        <w:tc>
          <w:tcPr>
            <w:tcW w:type="dxa" w:w="1642"/>
          </w:tcPr>
          <w:p>
            <w:pPr>
              <w:pStyle w:val="Compact"/>
              <w:spacing w:line="240" w:lineRule="auto" w:before="20" w:after="20"/>
              <w:ind w:firstLine="0"/>
              <w:jc w:val="right"/>
            </w:pPr>
            <w:r>
              <w:rPr>
                <w:rFonts w:ascii="Times New Roman" w:hAnsi="Times New Roman"/>
                <w:sz w:val="16"/>
              </w:rPr>
              <w:t>12</w:t>
            </w:r>
          </w:p>
        </w:tc>
        <w:tc>
          <w:tcPr>
            <w:tcW w:type="dxa" w:w="1214"/>
          </w:tcPr>
          <w:p>
            <w:pPr>
              <w:pStyle w:val="Compact"/>
              <w:spacing w:line="240" w:lineRule="auto" w:before="20" w:after="20"/>
              <w:ind w:firstLine="0"/>
              <w:jc w:val="right"/>
            </w:pPr>
            <w:r>
              <w:rPr>
                <w:rFonts w:ascii="Times New Roman" w:hAnsi="Times New Roman"/>
                <w:sz w:val="16"/>
              </w:rPr>
              <w:t>98,2</w:t>
            </w:r>
          </w:p>
        </w:tc>
      </w:tr>
      <w:tr>
        <w:trPr>
          <w:cantSplit/>
        </w:trPr>
        <w:tc>
          <w:tcPr>
            <w:tcW w:type="dxa" w:w="857"/>
          </w:tcPr>
          <w:p>
            <w:pPr>
              <w:pStyle w:val="Compact"/>
              <w:spacing w:line="240" w:lineRule="auto" w:before="20" w:after="20"/>
              <w:ind w:firstLine="0"/>
              <w:jc w:val="left"/>
            </w:pPr>
            <w:r>
              <w:rPr>
                <w:rFonts w:ascii="Times New Roman" w:hAnsi="Times New Roman"/>
                <w:sz w:val="16"/>
              </w:rPr>
              <w:t xml:space="preserve">2032</w:t>
            </w:r>
          </w:p>
        </w:tc>
        <w:tc>
          <w:tcPr>
            <w:tcW w:type="dxa" w:w="1500"/>
          </w:tcPr>
          <w:p>
            <w:pPr>
              <w:pStyle w:val="Compact"/>
              <w:spacing w:line="240" w:lineRule="auto" w:before="20" w:after="20"/>
              <w:ind w:firstLine="0"/>
              <w:jc w:val="right"/>
            </w:pPr>
            <w:r>
              <w:rPr>
                <w:rFonts w:ascii="Times New Roman" w:hAnsi="Times New Roman"/>
                <w:sz w:val="16"/>
              </w:rPr>
              <w:t>4,69</w:t>
            </w:r>
          </w:p>
        </w:tc>
        <w:tc>
          <w:tcPr>
            <w:tcW w:type="dxa" w:w="1785"/>
          </w:tcPr>
          <w:p>
            <w:pPr>
              <w:pStyle w:val="Compact"/>
              <w:spacing w:line="240" w:lineRule="auto" w:before="20" w:after="20"/>
              <w:ind w:firstLine="0"/>
              <w:jc w:val="right"/>
            </w:pPr>
            <w:r>
              <w:rPr>
                <w:rFonts w:ascii="Times New Roman" w:hAnsi="Times New Roman"/>
                <w:sz w:val="16"/>
              </w:rPr>
              <w:t>27,957%</w:t>
            </w:r>
          </w:p>
        </w:tc>
        <w:tc>
          <w:tcPr>
            <w:tcW w:type="dxa" w:w="2071"/>
          </w:tcPr>
          <w:p>
            <w:pPr>
              <w:pStyle w:val="Compact"/>
              <w:spacing w:line="240" w:lineRule="auto" w:before="20" w:after="20"/>
              <w:ind w:firstLine="0"/>
              <w:jc w:val="right"/>
            </w:pPr>
            <w:r>
              <w:rPr>
                <w:rFonts w:ascii="Times New Roman" w:hAnsi="Times New Roman"/>
                <w:sz w:val="16"/>
              </w:rPr>
              <w:t>291</w:t>
            </w:r>
          </w:p>
        </w:tc>
        <w:tc>
          <w:tcPr>
            <w:tcW w:type="dxa" w:w="1642"/>
          </w:tcPr>
          <w:p>
            <w:pPr>
              <w:pStyle w:val="Compact"/>
              <w:spacing w:line="240" w:lineRule="auto" w:before="20" w:after="20"/>
              <w:ind w:firstLine="0"/>
              <w:jc w:val="right"/>
            </w:pPr>
            <w:r>
              <w:rPr>
                <w:rFonts w:ascii="Times New Roman" w:hAnsi="Times New Roman"/>
                <w:sz w:val="16"/>
              </w:rPr>
              <w:t>12</w:t>
            </w:r>
          </w:p>
        </w:tc>
        <w:tc>
          <w:tcPr>
            <w:tcW w:type="dxa" w:w="1214"/>
          </w:tcPr>
          <w:p>
            <w:pPr>
              <w:pStyle w:val="Compact"/>
              <w:spacing w:line="240" w:lineRule="auto" w:before="20" w:after="20"/>
              <w:ind w:firstLine="0"/>
              <w:jc w:val="right"/>
            </w:pPr>
            <w:r>
              <w:rPr>
                <w:rFonts w:ascii="Times New Roman" w:hAnsi="Times New Roman"/>
                <w:sz w:val="16"/>
              </w:rPr>
              <w:t>134,0</w:t>
            </w:r>
          </w:p>
        </w:tc>
      </w:tr>
      <w:tr>
        <w:trPr>
          <w:cantSplit/>
        </w:trPr>
        <w:tc>
          <w:tcPr>
            <w:tcW w:type="dxa" w:w="857"/>
          </w:tcPr>
          <w:p>
            <w:pPr>
              <w:pStyle w:val="Compact"/>
              <w:spacing w:line="240" w:lineRule="auto" w:before="20" w:after="20"/>
              <w:ind w:firstLine="0"/>
              <w:jc w:val="left"/>
            </w:pPr>
            <w:r>
              <w:rPr>
                <w:rFonts w:ascii="Times New Roman" w:hAnsi="Times New Roman"/>
                <w:sz w:val="16"/>
              </w:rPr>
              <w:t xml:space="preserve">2033</w:t>
            </w:r>
          </w:p>
        </w:tc>
        <w:tc>
          <w:tcPr>
            <w:tcW w:type="dxa" w:w="1500"/>
          </w:tcPr>
          <w:p>
            <w:pPr>
              <w:pStyle w:val="Compact"/>
              <w:spacing w:line="240" w:lineRule="auto" w:before="20" w:after="20"/>
              <w:ind w:firstLine="0"/>
              <w:jc w:val="right"/>
            </w:pPr>
            <w:r>
              <w:rPr>
                <w:rFonts w:ascii="Times New Roman" w:hAnsi="Times New Roman"/>
                <w:sz w:val="16"/>
              </w:rPr>
              <w:t>5,99</w:t>
            </w:r>
          </w:p>
        </w:tc>
        <w:tc>
          <w:tcPr>
            <w:tcW w:type="dxa" w:w="1785"/>
          </w:tcPr>
          <w:p>
            <w:pPr>
              <w:pStyle w:val="Compact"/>
              <w:spacing w:line="240" w:lineRule="auto" w:before="20" w:after="20"/>
              <w:ind w:firstLine="0"/>
              <w:jc w:val="right"/>
            </w:pPr>
            <w:r>
              <w:rPr>
                <w:rFonts w:ascii="Times New Roman" w:hAnsi="Times New Roman"/>
                <w:sz w:val="16"/>
              </w:rPr>
              <w:t>65,314%</w:t>
            </w:r>
          </w:p>
        </w:tc>
        <w:tc>
          <w:tcPr>
            <w:tcW w:type="dxa" w:w="2071"/>
          </w:tcPr>
          <w:p>
            <w:pPr>
              <w:pStyle w:val="Compact"/>
              <w:spacing w:line="240" w:lineRule="auto" w:before="20" w:after="20"/>
              <w:ind w:firstLine="0"/>
              <w:jc w:val="right"/>
            </w:pPr>
            <w:r>
              <w:rPr>
                <w:rFonts w:ascii="Times New Roman" w:hAnsi="Times New Roman"/>
                <w:sz w:val="16"/>
              </w:rPr>
              <w:t>200</w:t>
            </w:r>
          </w:p>
        </w:tc>
        <w:tc>
          <w:tcPr>
            <w:tcW w:type="dxa" w:w="1642"/>
          </w:tcPr>
          <w:p>
            <w:pPr>
              <w:pStyle w:val="Compact"/>
              <w:spacing w:line="240" w:lineRule="auto" w:before="20" w:after="20"/>
              <w:ind w:firstLine="0"/>
              <w:jc w:val="right"/>
            </w:pPr>
            <w:r>
              <w:rPr>
                <w:rFonts w:ascii="Times New Roman" w:hAnsi="Times New Roman"/>
                <w:sz w:val="16"/>
              </w:rPr>
              <w:t>7</w:t>
            </w:r>
          </w:p>
        </w:tc>
        <w:tc>
          <w:tcPr>
            <w:tcW w:type="dxa" w:w="1214"/>
          </w:tcPr>
          <w:p>
            <w:pPr>
              <w:pStyle w:val="Compact"/>
              <w:spacing w:line="240" w:lineRule="auto" w:before="20" w:after="20"/>
              <w:ind w:firstLine="0"/>
              <w:jc w:val="right"/>
            </w:pPr>
            <w:r>
              <w:rPr>
                <w:rFonts w:ascii="Times New Roman" w:hAnsi="Times New Roman"/>
                <w:sz w:val="16"/>
              </w:rPr>
              <w:t>234,9</w:t>
            </w:r>
          </w:p>
        </w:tc>
      </w:tr>
      <w:tr>
        <w:trPr>
          <w:cantSplit/>
        </w:trPr>
        <w:tc>
          <w:tcPr>
            <w:tcW w:type="dxa" w:w="857"/>
          </w:tcPr>
          <w:p>
            <w:pPr>
              <w:pStyle w:val="Compact"/>
              <w:spacing w:line="240" w:lineRule="auto" w:before="20" w:after="20"/>
              <w:ind w:firstLine="0"/>
              <w:jc w:val="left"/>
            </w:pPr>
            <w:r>
              <w:rPr>
                <w:rFonts w:ascii="Times New Roman" w:hAnsi="Times New Roman"/>
                <w:b/>
                <w:bCs/>
                <w:sz w:val="16"/>
              </w:rPr>
              <w:t xml:space="preserve">2029 a 2033</w:t>
            </w:r>
          </w:p>
        </w:tc>
        <w:tc>
          <w:tcPr>
            <w:tcW w:type="dxa" w:w="1500"/>
          </w:tcPr>
          <w:p>
            <w:pPr>
              <w:pStyle w:val="Compact"/>
              <w:spacing w:line="240" w:lineRule="auto" w:before="20" w:after="20"/>
              <w:ind w:firstLine="0"/>
              <w:jc w:val="right"/>
            </w:pPr>
            <w:r>
              <w:rPr>
                <w:rFonts w:ascii="Times New Roman" w:hAnsi="Times New Roman"/>
                <w:b/>
                <w:bCs/>
                <w:sz w:val="16"/>
              </w:rPr>
              <w:t>17,47</w:t>
            </w:r>
          </w:p>
        </w:tc>
        <w:tc>
          <w:tcPr>
            <w:tcW w:type="dxa" w:w="1785"/>
          </w:tcPr>
          <w:p>
            <w:pPr>
              <w:pStyle w:val="Compact"/>
              <w:spacing w:line="240" w:lineRule="auto" w:before="20" w:after="20"/>
              <w:ind w:firstLine="0"/>
            </w:pPr>
          </w:p>
        </w:tc>
        <w:tc>
          <w:tcPr>
            <w:tcW w:type="dxa" w:w="2071"/>
          </w:tcPr>
          <w:p>
            <w:pPr>
              <w:pStyle w:val="Compact"/>
              <w:spacing w:line="240" w:lineRule="auto" w:before="20" w:after="20"/>
              <w:ind w:firstLine="0"/>
            </w:pPr>
          </w:p>
        </w:tc>
        <w:tc>
          <w:tcPr>
            <w:tcW w:type="dxa" w:w="1642"/>
          </w:tcPr>
          <w:p>
            <w:pPr>
              <w:pStyle w:val="Compact"/>
              <w:spacing w:line="240" w:lineRule="auto" w:before="20" w:after="20"/>
              <w:ind w:firstLine="0"/>
            </w:pPr>
          </w:p>
        </w:tc>
        <w:tc>
          <w:tcPr>
            <w:tcW w:type="dxa" w:w="1214"/>
          </w:tcPr>
          <w:p>
            <w:pPr>
              <w:pStyle w:val="Compact"/>
              <w:spacing w:line="240" w:lineRule="auto" w:before="20" w:after="20"/>
              <w:ind w:firstLine="0"/>
              <w:jc w:val="right"/>
            </w:pPr>
            <w:r>
              <w:rPr>
                <w:rFonts w:ascii="Times New Roman" w:hAnsi="Times New Roman"/>
                <w:b/>
                <w:bCs/>
                <w:sz w:val="16"/>
              </w:rPr>
              <w:t>562,3</w:t>
            </w:r>
          </w:p>
        </w:tc>
      </w:tr>
    </w:tbl>
    <w:bookmarkEnd w:id="76"/>
    <w:p>
      <w:pPr>
        <w:pStyle w:val="BodyText"/>
        <w:spacing w:line="240" w:lineRule="auto" w:before="40" w:after="0"/>
        <w:ind w:firstLine="0"/>
        <w:jc w:val="both"/>
      </w:pPr>
      <w:r>
        <w:rPr>
          <w:rFonts w:ascii="Times New Roman" w:hAnsi="Times New Roman"/>
          <w:i/>
          <w:iCs/>
          <w:sz w:val="18"/>
        </w:rPr>
        <w:t xml:space="preserve">Nota:</w:t>
      </w:r>
      <w:r>
        <w:rPr>
          <w:rFonts w:ascii="Times New Roman" w:hAnsi="Times New Roman"/>
          <w:sz w:val="18"/>
        </w:rPr>
        <w:t xml:space="preserve"> </w:t>
      </w:r>
      <w:r>
        <w:rPr>
          <w:rFonts w:ascii="Times New Roman" w:hAnsi="Times New Roman"/>
          <w:sz w:val="18"/>
        </w:rPr>
        <w:t xml:space="preserve">O número de municípios do Paraná corresponde aos entes com repasse positivo no respectivo ano. O governo estadual do Paraná não recebe Seguro-Receita no período simulado.</w:t>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Base auditada de memória de cálculo do Seguro-Receita. Elaboração própria.</w:t>
      </w:r>
    </w:p>
    <w:bookmarkEnd w:id="77"/>
    <w:bookmarkStart w:id="79" w:name="X32d18a6f1e5485732b8208c94f184cc7cdeed79"/>
    <w:p>
      <w:pPr>
        <w:pStyle w:val="Heading1"/>
        <w:pageBreakBefore/>
      </w:pPr>
      <w:r>
        <w:t xml:space="preserve">Anexo D: Convergência da receita per capita entre os municípios paranaenses</w:t>
      </w:r>
    </w:p>
    <w:p>
      <w:pPr>
        <w:pStyle w:val="FirstParagraph"/>
      </w:pPr>
      <w:r>
        <w:t>Este anexo detalha a redução da desigualdade de receita por habitante entre os municípios do Paraná ao longo da transição. A tabela apresenta os dez municípios com maior e os dez com menor receita per capita em 2025, a trajetória dessa receita até 2077 e, na parte inferior, duas medidas de dispersão calculadas para os 399 municípios do Estado.</w:t>
      </w:r>
      <w:r>
        <w:rPr/>
      </w:r>
      <w:r>
        <w:rPr/>
      </w:r>
    </w:p>
    <w:bookmarkStart w:id="78" w:name="tab:convergencia"/>
    <w:p>
      <w:pPr>
        <w:pStyle w:val="TableCaption"/>
      </w:pPr>
      <w:r>
        <w:rPr>
          <w:b/>
          <w:bCs/>
        </w:rPr>
        <w:t xml:space="preserve">Tabela D.1:</w:t>
      </w:r>
      <w:r>
        <w:t xml:space="preserve"> Receita per capita de ICMS/ISS e IBS dos municípios paranaenses com maior e menor valor em 2025, e medidas de dispersão, 2025 a 2077</w:t>
      </w:r>
    </w:p>
    <w:tbl>
      <w:tblPr>
        <w:tblStyle w:val="Table"/>
        <w:tblW w:type="dxa" w:w="9072"/>
        <w:tblBorders>
          <w:top w:val="single" w:sz="12" w:space="0" w:color="000000"/>
          <w:bottom w:val="single" w:sz="12" w:space="0" w:color="000000"/>
        </w:tblBorders>
        <w:tblLayout w:type="fixed"/>
        <w:tblCellMar>
          <w:left w:w="60" w:type="dxa"/>
          <w:right w:w="60" w:type="dxa"/>
        </w:tblCellMar>
        <w:tblLook w:firstRow="1" w:lastRow="0" w:firstColumn="0" w:lastColumn="0" w:noHBand="0" w:noVBand="0" w:val="0020"/>
        <w:tblCaption w:val="Tabela D.1: Receita per capita de ICMS/ISS e IBS dos municípios paranaenses com maior e menor valor em 2025, e medidas de dispersão, 2025 a 2077"/>
      </w:tblPr>
      <w:tblGrid>
        <w:gridCol w:w="1774"/>
        <w:gridCol w:w="1380"/>
        <w:gridCol w:w="854"/>
        <w:gridCol w:w="854"/>
        <w:gridCol w:w="854"/>
        <w:gridCol w:w="986"/>
        <w:gridCol w:w="986"/>
        <w:gridCol w:w="1380"/>
      </w:tblGrid>
      <w:tr>
        <w:trPr>
          <w:tblHeader w:val="on"/>
          <w:cantSplit/>
          <w:tblHeader/>
        </w:trPr>
        <w:tc>
          <w:tcPr>
            <w:tcW w:type="dxa" w:w="177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Município</w:t>
            </w:r>
          </w:p>
        </w:tc>
        <w:tc>
          <w:tcPr>
            <w:tcW w:type="dxa" w:w="138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População</w:t>
            </w:r>
            <w:r>
              <w:rPr>
                <w:rFonts w:ascii="Times New Roman" w:hAnsi="Times New Roman"/>
                <w:b/>
                <w:sz w:val="16"/>
              </w:rPr>
              <w:br/>
            </w:r>
            <w:r>
              <w:rPr>
                <w:rFonts w:ascii="Times New Roman" w:hAnsi="Times New Roman"/>
                <w:b/>
                <w:bCs/>
                <w:sz w:val="16"/>
              </w:rPr>
              <w:t xml:space="preserve">(mil)</w:t>
            </w:r>
          </w:p>
        </w:tc>
        <w:tc>
          <w:tcPr>
            <w:tcW w:type="dxa" w:w="85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2025</w:t>
            </w:r>
          </w:p>
        </w:tc>
        <w:tc>
          <w:tcPr>
            <w:tcW w:type="dxa" w:w="85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2029</w:t>
            </w:r>
          </w:p>
        </w:tc>
        <w:tc>
          <w:tcPr>
            <w:tcW w:type="dxa" w:w="854"/>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2033</w:t>
            </w:r>
          </w:p>
        </w:tc>
        <w:tc>
          <w:tcPr>
            <w:tcW w:type="dxa" w:w="98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2050</w:t>
            </w:r>
          </w:p>
        </w:tc>
        <w:tc>
          <w:tcPr>
            <w:tcW w:type="dxa" w:w="98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2077</w:t>
            </w:r>
          </w:p>
        </w:tc>
        <w:tc>
          <w:tcPr>
            <w:tcW w:type="dxa" w:w="138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b/>
                <w:bCs/>
                <w:sz w:val="16"/>
              </w:rPr>
              <w:t xml:space="preserve">Variação</w:t>
            </w:r>
            <w:r>
              <w:rPr>
                <w:rFonts w:ascii="Times New Roman" w:hAnsi="Times New Roman"/>
                <w:b/>
                <w:sz w:val="16"/>
              </w:rPr>
              <w:br/>
            </w:r>
            <w:r>
              <w:rPr>
                <w:rFonts w:ascii="Times New Roman" w:hAnsi="Times New Roman"/>
                <w:b/>
                <w:bCs/>
                <w:sz w:val="16"/>
              </w:rPr>
              <w:t xml:space="preserve">2025 a 2077</w:t>
            </w:r>
          </w:p>
        </w:tc>
      </w:tr>
      <w:tr>
        <w:trPr>
          <w:cantSplit/>
        </w:trPr>
        <w:tc>
          <w:tcPr>
            <w:tcW w:type="dxa" w:w="1774"/>
          </w:tcPr>
          <w:p>
            <w:pPr>
              <w:pStyle w:val="Compact"/>
              <w:spacing w:line="240" w:lineRule="auto" w:before="20" w:after="20"/>
              <w:ind w:firstLine="0"/>
              <w:jc w:val="left"/>
            </w:pPr>
            <w:r>
              <w:rPr>
                <w:rFonts w:ascii="Times New Roman" w:hAnsi="Times New Roman"/>
                <w:sz w:val="16"/>
              </w:rPr>
              <w:t>Mato Rico</w:t>
            </w:r>
          </w:p>
        </w:tc>
        <w:tc>
          <w:tcPr>
            <w:tcW w:type="dxa" w:w="1380"/>
          </w:tcPr>
          <w:p>
            <w:pPr>
              <w:pStyle w:val="Compact"/>
              <w:spacing w:line="240" w:lineRule="auto" w:before="20" w:after="20"/>
              <w:ind w:firstLine="0"/>
              <w:jc w:val="right"/>
            </w:pPr>
            <w:r>
              <w:rPr>
                <w:rFonts w:ascii="Times New Roman" w:hAnsi="Times New Roman"/>
                <w:sz w:val="16"/>
              </w:rPr>
              <w:t>3,2</w:t>
            </w:r>
          </w:p>
        </w:tc>
        <w:tc>
          <w:tcPr>
            <w:tcW w:type="dxa" w:w="854"/>
          </w:tcPr>
          <w:p>
            <w:pPr>
              <w:pStyle w:val="Compact"/>
              <w:spacing w:line="240" w:lineRule="auto" w:before="20" w:after="20"/>
              <w:ind w:firstLine="0"/>
              <w:jc w:val="right"/>
            </w:pPr>
            <w:r>
              <w:rPr>
                <w:rFonts w:ascii="Times New Roman" w:hAnsi="Times New Roman"/>
                <w:sz w:val="16"/>
              </w:rPr>
              <w:t>6.910</w:t>
            </w:r>
          </w:p>
        </w:tc>
        <w:tc>
          <w:tcPr>
            <w:tcW w:type="dxa" w:w="854"/>
          </w:tcPr>
          <w:p>
            <w:pPr>
              <w:pStyle w:val="Compact"/>
              <w:spacing w:line="240" w:lineRule="auto" w:before="20" w:after="20"/>
              <w:ind w:firstLine="0"/>
              <w:jc w:val="right"/>
            </w:pPr>
            <w:r>
              <w:rPr>
                <w:rFonts w:ascii="Times New Roman" w:hAnsi="Times New Roman"/>
                <w:sz w:val="16"/>
              </w:rPr>
              <w:t>7.263</w:t>
            </w:r>
          </w:p>
        </w:tc>
        <w:tc>
          <w:tcPr>
            <w:tcW w:type="dxa" w:w="854"/>
          </w:tcPr>
          <w:p>
            <w:pPr>
              <w:pStyle w:val="Compact"/>
              <w:spacing w:line="240" w:lineRule="auto" w:before="20" w:after="20"/>
              <w:ind w:firstLine="0"/>
              <w:jc w:val="right"/>
            </w:pPr>
            <w:r>
              <w:rPr>
                <w:rFonts w:ascii="Times New Roman" w:hAnsi="Times New Roman"/>
                <w:sz w:val="16"/>
              </w:rPr>
              <w:t>6.303</w:t>
            </w:r>
          </w:p>
        </w:tc>
        <w:tc>
          <w:tcPr>
            <w:tcW w:type="dxa" w:w="986"/>
          </w:tcPr>
          <w:p>
            <w:pPr>
              <w:pStyle w:val="Compact"/>
              <w:spacing w:line="240" w:lineRule="auto" w:before="20" w:after="20"/>
              <w:ind w:firstLine="0"/>
              <w:jc w:val="right"/>
            </w:pPr>
            <w:r>
              <w:rPr>
                <w:rFonts w:ascii="Times New Roman" w:hAnsi="Times New Roman"/>
                <w:sz w:val="16"/>
              </w:rPr>
              <w:t>7.478</w:t>
            </w:r>
          </w:p>
        </w:tc>
        <w:tc>
          <w:tcPr>
            <w:tcW w:type="dxa" w:w="986"/>
          </w:tcPr>
          <w:p>
            <w:pPr>
              <w:pStyle w:val="Compact"/>
              <w:spacing w:line="240" w:lineRule="auto" w:before="20" w:after="20"/>
              <w:ind w:firstLine="0"/>
              <w:jc w:val="right"/>
            </w:pPr>
            <w:r>
              <w:rPr>
                <w:rFonts w:ascii="Times New Roman" w:hAnsi="Times New Roman"/>
                <w:sz w:val="16"/>
              </w:rPr>
              <w:t>8.751</w:t>
            </w:r>
          </w:p>
        </w:tc>
        <w:tc>
          <w:tcPr>
            <w:tcW w:type="dxa" w:w="1380"/>
          </w:tcPr>
          <w:p>
            <w:pPr>
              <w:pStyle w:val="Compact"/>
              <w:spacing w:line="240" w:lineRule="auto" w:before="20" w:after="20"/>
              <w:ind w:firstLine="0"/>
              <w:jc w:val="right"/>
            </w:pPr>
            <w:r>
              <w:rPr>
                <w:rFonts w:ascii="Times New Roman" w:hAnsi="Times New Roman"/>
                <w:sz w:val="16"/>
              </w:rPr>
              <w:t>+27%</w:t>
            </w:r>
          </w:p>
        </w:tc>
      </w:tr>
      <w:tr>
        <w:trPr>
          <w:cantSplit/>
        </w:trPr>
        <w:tc>
          <w:tcPr>
            <w:tcW w:type="dxa" w:w="1774"/>
          </w:tcPr>
          <w:p>
            <w:pPr>
              <w:pStyle w:val="Compact"/>
              <w:spacing w:line="240" w:lineRule="auto" w:before="20" w:after="20"/>
              <w:ind w:firstLine="0"/>
              <w:jc w:val="left"/>
            </w:pPr>
            <w:r>
              <w:rPr>
                <w:rFonts w:ascii="Times New Roman" w:hAnsi="Times New Roman"/>
                <w:sz w:val="16"/>
              </w:rPr>
              <w:t>Araucária</w:t>
            </w:r>
          </w:p>
        </w:tc>
        <w:tc>
          <w:tcPr>
            <w:tcW w:type="dxa" w:w="1380"/>
          </w:tcPr>
          <w:p>
            <w:pPr>
              <w:pStyle w:val="Compact"/>
              <w:spacing w:line="240" w:lineRule="auto" w:before="20" w:after="20"/>
              <w:ind w:firstLine="0"/>
              <w:jc w:val="right"/>
            </w:pPr>
            <w:r>
              <w:rPr>
                <w:rFonts w:ascii="Times New Roman" w:hAnsi="Times New Roman"/>
                <w:sz w:val="16"/>
              </w:rPr>
              <w:t>154,1</w:t>
            </w:r>
          </w:p>
        </w:tc>
        <w:tc>
          <w:tcPr>
            <w:tcW w:type="dxa" w:w="854"/>
          </w:tcPr>
          <w:p>
            <w:pPr>
              <w:pStyle w:val="Compact"/>
              <w:spacing w:line="240" w:lineRule="auto" w:before="20" w:after="20"/>
              <w:ind w:firstLine="0"/>
              <w:jc w:val="right"/>
            </w:pPr>
            <w:r>
              <w:rPr>
                <w:rFonts w:ascii="Times New Roman" w:hAnsi="Times New Roman"/>
                <w:sz w:val="16"/>
              </w:rPr>
              <w:t>6.389</w:t>
            </w:r>
          </w:p>
        </w:tc>
        <w:tc>
          <w:tcPr>
            <w:tcW w:type="dxa" w:w="854"/>
          </w:tcPr>
          <w:p>
            <w:pPr>
              <w:pStyle w:val="Compact"/>
              <w:spacing w:line="240" w:lineRule="auto" w:before="20" w:after="20"/>
              <w:ind w:firstLine="0"/>
              <w:jc w:val="right"/>
            </w:pPr>
            <w:r>
              <w:rPr>
                <w:rFonts w:ascii="Times New Roman" w:hAnsi="Times New Roman"/>
                <w:sz w:val="16"/>
              </w:rPr>
              <w:t>6.919</w:t>
            </w:r>
          </w:p>
        </w:tc>
        <w:tc>
          <w:tcPr>
            <w:tcW w:type="dxa" w:w="854"/>
          </w:tcPr>
          <w:p>
            <w:pPr>
              <w:pStyle w:val="Compact"/>
              <w:spacing w:line="240" w:lineRule="auto" w:before="20" w:after="20"/>
              <w:ind w:firstLine="0"/>
              <w:jc w:val="right"/>
            </w:pPr>
            <w:r>
              <w:rPr>
                <w:rFonts w:ascii="Times New Roman" w:hAnsi="Times New Roman"/>
                <w:sz w:val="16"/>
              </w:rPr>
              <w:t>8.241</w:t>
            </w:r>
          </w:p>
        </w:tc>
        <w:tc>
          <w:tcPr>
            <w:tcW w:type="dxa" w:w="986"/>
          </w:tcPr>
          <w:p>
            <w:pPr>
              <w:pStyle w:val="Compact"/>
              <w:spacing w:line="240" w:lineRule="auto" w:before="20" w:after="20"/>
              <w:ind w:firstLine="0"/>
              <w:jc w:val="right"/>
            </w:pPr>
            <w:r>
              <w:rPr>
                <w:rFonts w:ascii="Times New Roman" w:hAnsi="Times New Roman"/>
                <w:sz w:val="16"/>
              </w:rPr>
              <w:t>12.321</w:t>
            </w:r>
          </w:p>
        </w:tc>
        <w:tc>
          <w:tcPr>
            <w:tcW w:type="dxa" w:w="986"/>
          </w:tcPr>
          <w:p>
            <w:pPr>
              <w:pStyle w:val="Compact"/>
              <w:spacing w:line="240" w:lineRule="auto" w:before="20" w:after="20"/>
              <w:ind w:firstLine="0"/>
              <w:jc w:val="right"/>
            </w:pPr>
            <w:r>
              <w:rPr>
                <w:rFonts w:ascii="Times New Roman" w:hAnsi="Times New Roman"/>
                <w:sz w:val="16"/>
              </w:rPr>
              <w:t>22.455</w:t>
            </w:r>
          </w:p>
        </w:tc>
        <w:tc>
          <w:tcPr>
            <w:tcW w:type="dxa" w:w="1380"/>
          </w:tcPr>
          <w:p>
            <w:pPr>
              <w:pStyle w:val="Compact"/>
              <w:spacing w:line="240" w:lineRule="auto" w:before="20" w:after="20"/>
              <w:ind w:firstLine="0"/>
              <w:jc w:val="right"/>
            </w:pPr>
            <w:r>
              <w:rPr>
                <w:rFonts w:ascii="Times New Roman" w:hAnsi="Times New Roman"/>
                <w:sz w:val="16"/>
              </w:rPr>
              <w:t>+252%</w:t>
            </w:r>
          </w:p>
        </w:tc>
      </w:tr>
      <w:tr>
        <w:trPr>
          <w:cantSplit/>
        </w:trPr>
        <w:tc>
          <w:tcPr>
            <w:tcW w:type="dxa" w:w="1774"/>
          </w:tcPr>
          <w:p>
            <w:pPr>
              <w:pStyle w:val="Compact"/>
              <w:spacing w:line="240" w:lineRule="auto" w:before="20" w:after="20"/>
              <w:ind w:firstLine="0"/>
              <w:jc w:val="left"/>
            </w:pPr>
            <w:r>
              <w:rPr>
                <w:rFonts w:ascii="Times New Roman" w:hAnsi="Times New Roman"/>
                <w:sz w:val="16"/>
              </w:rPr>
              <w:t>Ortigueira</w:t>
            </w:r>
          </w:p>
        </w:tc>
        <w:tc>
          <w:tcPr>
            <w:tcW w:type="dxa" w:w="1380"/>
          </w:tcPr>
          <w:p>
            <w:pPr>
              <w:pStyle w:val="Compact"/>
              <w:spacing w:line="240" w:lineRule="auto" w:before="20" w:after="20"/>
              <w:ind w:firstLine="0"/>
              <w:jc w:val="right"/>
            </w:pPr>
            <w:r>
              <w:rPr>
                <w:rFonts w:ascii="Times New Roman" w:hAnsi="Times New Roman"/>
                <w:sz w:val="16"/>
              </w:rPr>
              <w:t>23,6</w:t>
            </w:r>
          </w:p>
        </w:tc>
        <w:tc>
          <w:tcPr>
            <w:tcW w:type="dxa" w:w="854"/>
          </w:tcPr>
          <w:p>
            <w:pPr>
              <w:pStyle w:val="Compact"/>
              <w:spacing w:line="240" w:lineRule="auto" w:before="20" w:after="20"/>
              <w:ind w:firstLine="0"/>
              <w:jc w:val="right"/>
            </w:pPr>
            <w:r>
              <w:rPr>
                <w:rFonts w:ascii="Times New Roman" w:hAnsi="Times New Roman"/>
                <w:sz w:val="16"/>
              </w:rPr>
              <w:t>6.209</w:t>
            </w:r>
          </w:p>
        </w:tc>
        <w:tc>
          <w:tcPr>
            <w:tcW w:type="dxa" w:w="854"/>
          </w:tcPr>
          <w:p>
            <w:pPr>
              <w:pStyle w:val="Compact"/>
              <w:spacing w:line="240" w:lineRule="auto" w:before="20" w:after="20"/>
              <w:ind w:firstLine="0"/>
              <w:jc w:val="right"/>
            </w:pPr>
            <w:r>
              <w:rPr>
                <w:rFonts w:ascii="Times New Roman" w:hAnsi="Times New Roman"/>
                <w:sz w:val="16"/>
              </w:rPr>
              <w:t>6.733</w:t>
            </w:r>
          </w:p>
        </w:tc>
        <w:tc>
          <w:tcPr>
            <w:tcW w:type="dxa" w:w="854"/>
          </w:tcPr>
          <w:p>
            <w:pPr>
              <w:pStyle w:val="Compact"/>
              <w:spacing w:line="240" w:lineRule="auto" w:before="20" w:after="20"/>
              <w:ind w:firstLine="0"/>
              <w:jc w:val="right"/>
            </w:pPr>
            <w:r>
              <w:rPr>
                <w:rFonts w:ascii="Times New Roman" w:hAnsi="Times New Roman"/>
                <w:sz w:val="16"/>
              </w:rPr>
              <w:t>8.093</w:t>
            </w:r>
          </w:p>
        </w:tc>
        <w:tc>
          <w:tcPr>
            <w:tcW w:type="dxa" w:w="986"/>
          </w:tcPr>
          <w:p>
            <w:pPr>
              <w:pStyle w:val="Compact"/>
              <w:spacing w:line="240" w:lineRule="auto" w:before="20" w:after="20"/>
              <w:ind w:firstLine="0"/>
              <w:jc w:val="right"/>
            </w:pPr>
            <w:r>
              <w:rPr>
                <w:rFonts w:ascii="Times New Roman" w:hAnsi="Times New Roman"/>
                <w:sz w:val="16"/>
              </w:rPr>
              <w:t>10.847</w:t>
            </w:r>
          </w:p>
        </w:tc>
        <w:tc>
          <w:tcPr>
            <w:tcW w:type="dxa" w:w="986"/>
          </w:tcPr>
          <w:p>
            <w:pPr>
              <w:pStyle w:val="Compact"/>
              <w:spacing w:line="240" w:lineRule="auto" w:before="20" w:after="20"/>
              <w:ind w:firstLine="0"/>
              <w:jc w:val="right"/>
            </w:pPr>
            <w:r>
              <w:rPr>
                <w:rFonts w:ascii="Times New Roman" w:hAnsi="Times New Roman"/>
                <w:sz w:val="16"/>
              </w:rPr>
              <w:t>16.555</w:t>
            </w:r>
          </w:p>
        </w:tc>
        <w:tc>
          <w:tcPr>
            <w:tcW w:type="dxa" w:w="1380"/>
          </w:tcPr>
          <w:p>
            <w:pPr>
              <w:pStyle w:val="Compact"/>
              <w:spacing w:line="240" w:lineRule="auto" w:before="20" w:after="20"/>
              <w:ind w:firstLine="0"/>
              <w:jc w:val="right"/>
            </w:pPr>
            <w:r>
              <w:rPr>
                <w:rFonts w:ascii="Times New Roman" w:hAnsi="Times New Roman"/>
                <w:sz w:val="16"/>
              </w:rPr>
              <w:t>+167%</w:t>
            </w:r>
          </w:p>
        </w:tc>
      </w:tr>
      <w:tr>
        <w:trPr>
          <w:cantSplit/>
        </w:trPr>
        <w:tc>
          <w:tcPr>
            <w:tcW w:type="dxa" w:w="1774"/>
          </w:tcPr>
          <w:p>
            <w:pPr>
              <w:pStyle w:val="Compact"/>
              <w:spacing w:line="240" w:lineRule="auto" w:before="20" w:after="20"/>
              <w:ind w:firstLine="0"/>
              <w:jc w:val="left"/>
            </w:pPr>
            <w:r>
              <w:rPr>
                <w:rFonts w:ascii="Times New Roman" w:hAnsi="Times New Roman"/>
                <w:sz w:val="16"/>
              </w:rPr>
              <w:t>Alto Paraíso</w:t>
            </w:r>
          </w:p>
        </w:tc>
        <w:tc>
          <w:tcPr>
            <w:tcW w:type="dxa" w:w="1380"/>
          </w:tcPr>
          <w:p>
            <w:pPr>
              <w:pStyle w:val="Compact"/>
              <w:spacing w:line="240" w:lineRule="auto" w:before="20" w:after="20"/>
              <w:ind w:firstLine="0"/>
              <w:jc w:val="right"/>
            </w:pPr>
            <w:r>
              <w:rPr>
                <w:rFonts w:ascii="Times New Roman" w:hAnsi="Times New Roman"/>
                <w:sz w:val="16"/>
              </w:rPr>
              <w:t>2,9</w:t>
            </w:r>
          </w:p>
        </w:tc>
        <w:tc>
          <w:tcPr>
            <w:tcW w:type="dxa" w:w="854"/>
          </w:tcPr>
          <w:p>
            <w:pPr>
              <w:pStyle w:val="Compact"/>
              <w:spacing w:line="240" w:lineRule="auto" w:before="20" w:after="20"/>
              <w:ind w:firstLine="0"/>
              <w:jc w:val="right"/>
            </w:pPr>
            <w:r>
              <w:rPr>
                <w:rFonts w:ascii="Times New Roman" w:hAnsi="Times New Roman"/>
                <w:sz w:val="16"/>
              </w:rPr>
              <w:t>6.117</w:t>
            </w:r>
          </w:p>
        </w:tc>
        <w:tc>
          <w:tcPr>
            <w:tcW w:type="dxa" w:w="854"/>
          </w:tcPr>
          <w:p>
            <w:pPr>
              <w:pStyle w:val="Compact"/>
              <w:spacing w:line="240" w:lineRule="auto" w:before="20" w:after="20"/>
              <w:ind w:firstLine="0"/>
              <w:jc w:val="right"/>
            </w:pPr>
            <w:r>
              <w:rPr>
                <w:rFonts w:ascii="Times New Roman" w:hAnsi="Times New Roman"/>
                <w:sz w:val="16"/>
              </w:rPr>
              <w:t>6.540</w:t>
            </w:r>
          </w:p>
        </w:tc>
        <w:tc>
          <w:tcPr>
            <w:tcW w:type="dxa" w:w="854"/>
          </w:tcPr>
          <w:p>
            <w:pPr>
              <w:pStyle w:val="Compact"/>
              <w:spacing w:line="240" w:lineRule="auto" w:before="20" w:after="20"/>
              <w:ind w:firstLine="0"/>
              <w:jc w:val="right"/>
            </w:pPr>
            <w:r>
              <w:rPr>
                <w:rFonts w:ascii="Times New Roman" w:hAnsi="Times New Roman"/>
                <w:sz w:val="16"/>
              </w:rPr>
              <w:t>7.046</w:t>
            </w:r>
          </w:p>
        </w:tc>
        <w:tc>
          <w:tcPr>
            <w:tcW w:type="dxa" w:w="986"/>
          </w:tcPr>
          <w:p>
            <w:pPr>
              <w:pStyle w:val="Compact"/>
              <w:spacing w:line="240" w:lineRule="auto" w:before="20" w:after="20"/>
              <w:ind w:firstLine="0"/>
              <w:jc w:val="right"/>
            </w:pPr>
            <w:r>
              <w:rPr>
                <w:rFonts w:ascii="Times New Roman" w:hAnsi="Times New Roman"/>
                <w:sz w:val="16"/>
              </w:rPr>
              <w:t>8.232</w:t>
            </w:r>
          </w:p>
        </w:tc>
        <w:tc>
          <w:tcPr>
            <w:tcW w:type="dxa" w:w="986"/>
          </w:tcPr>
          <w:p>
            <w:pPr>
              <w:pStyle w:val="Compact"/>
              <w:spacing w:line="240" w:lineRule="auto" w:before="20" w:after="20"/>
              <w:ind w:firstLine="0"/>
              <w:jc w:val="right"/>
            </w:pPr>
            <w:r>
              <w:rPr>
                <w:rFonts w:ascii="Times New Roman" w:hAnsi="Times New Roman"/>
                <w:sz w:val="16"/>
              </w:rPr>
              <w:t>9.188</w:t>
            </w:r>
          </w:p>
        </w:tc>
        <w:tc>
          <w:tcPr>
            <w:tcW w:type="dxa" w:w="1380"/>
          </w:tcPr>
          <w:p>
            <w:pPr>
              <w:pStyle w:val="Compact"/>
              <w:spacing w:line="240" w:lineRule="auto" w:before="20" w:after="20"/>
              <w:ind w:firstLine="0"/>
              <w:jc w:val="right"/>
            </w:pPr>
            <w:r>
              <w:rPr>
                <w:rFonts w:ascii="Times New Roman" w:hAnsi="Times New Roman"/>
                <w:sz w:val="16"/>
              </w:rPr>
              <w:t>+50%</w:t>
            </w:r>
          </w:p>
        </w:tc>
      </w:tr>
      <w:tr>
        <w:trPr>
          <w:cantSplit/>
        </w:trPr>
        <w:tc>
          <w:tcPr>
            <w:tcW w:type="dxa" w:w="1774"/>
          </w:tcPr>
          <w:p>
            <w:pPr>
              <w:pStyle w:val="Compact"/>
              <w:spacing w:line="240" w:lineRule="auto" w:before="20" w:after="20"/>
              <w:ind w:firstLine="0"/>
              <w:jc w:val="left"/>
            </w:pPr>
            <w:r>
              <w:rPr>
                <w:rFonts w:ascii="Times New Roman" w:hAnsi="Times New Roman"/>
                <w:sz w:val="16"/>
              </w:rPr>
              <w:t>Porto Barreiro</w:t>
            </w:r>
          </w:p>
        </w:tc>
        <w:tc>
          <w:tcPr>
            <w:tcW w:type="dxa" w:w="1380"/>
          </w:tcPr>
          <w:p>
            <w:pPr>
              <w:pStyle w:val="Compact"/>
              <w:spacing w:line="240" w:lineRule="auto" w:before="20" w:after="20"/>
              <w:ind w:firstLine="0"/>
              <w:jc w:val="right"/>
            </w:pPr>
            <w:r>
              <w:rPr>
                <w:rFonts w:ascii="Times New Roman" w:hAnsi="Times New Roman"/>
                <w:sz w:val="16"/>
              </w:rPr>
              <w:t>3,1</w:t>
            </w:r>
          </w:p>
        </w:tc>
        <w:tc>
          <w:tcPr>
            <w:tcW w:type="dxa" w:w="854"/>
          </w:tcPr>
          <w:p>
            <w:pPr>
              <w:pStyle w:val="Compact"/>
              <w:spacing w:line="240" w:lineRule="auto" w:before="20" w:after="20"/>
              <w:ind w:firstLine="0"/>
              <w:jc w:val="right"/>
            </w:pPr>
            <w:r>
              <w:rPr>
                <w:rFonts w:ascii="Times New Roman" w:hAnsi="Times New Roman"/>
                <w:sz w:val="16"/>
              </w:rPr>
              <w:t>5.638</w:t>
            </w:r>
          </w:p>
        </w:tc>
        <w:tc>
          <w:tcPr>
            <w:tcW w:type="dxa" w:w="854"/>
          </w:tcPr>
          <w:p>
            <w:pPr>
              <w:pStyle w:val="Compact"/>
              <w:spacing w:line="240" w:lineRule="auto" w:before="20" w:after="20"/>
              <w:ind w:firstLine="0"/>
              <w:jc w:val="right"/>
            </w:pPr>
            <w:r>
              <w:rPr>
                <w:rFonts w:ascii="Times New Roman" w:hAnsi="Times New Roman"/>
                <w:sz w:val="16"/>
              </w:rPr>
              <w:t>5.944</w:t>
            </w:r>
          </w:p>
        </w:tc>
        <w:tc>
          <w:tcPr>
            <w:tcW w:type="dxa" w:w="854"/>
          </w:tcPr>
          <w:p>
            <w:pPr>
              <w:pStyle w:val="Compact"/>
              <w:spacing w:line="240" w:lineRule="auto" w:before="20" w:after="20"/>
              <w:ind w:firstLine="0"/>
              <w:jc w:val="right"/>
            </w:pPr>
            <w:r>
              <w:rPr>
                <w:rFonts w:ascii="Times New Roman" w:hAnsi="Times New Roman"/>
                <w:sz w:val="16"/>
              </w:rPr>
              <w:t>5.427</w:t>
            </w:r>
          </w:p>
        </w:tc>
        <w:tc>
          <w:tcPr>
            <w:tcW w:type="dxa" w:w="986"/>
          </w:tcPr>
          <w:p>
            <w:pPr>
              <w:pStyle w:val="Compact"/>
              <w:spacing w:line="240" w:lineRule="auto" w:before="20" w:after="20"/>
              <w:ind w:firstLine="0"/>
              <w:jc w:val="right"/>
            </w:pPr>
            <w:r>
              <w:rPr>
                <w:rFonts w:ascii="Times New Roman" w:hAnsi="Times New Roman"/>
                <w:sz w:val="16"/>
              </w:rPr>
              <w:t>6.996</w:t>
            </w:r>
          </w:p>
        </w:tc>
        <w:tc>
          <w:tcPr>
            <w:tcW w:type="dxa" w:w="986"/>
          </w:tcPr>
          <w:p>
            <w:pPr>
              <w:pStyle w:val="Compact"/>
              <w:spacing w:line="240" w:lineRule="auto" w:before="20" w:after="20"/>
              <w:ind w:firstLine="0"/>
              <w:jc w:val="right"/>
            </w:pPr>
            <w:r>
              <w:rPr>
                <w:rFonts w:ascii="Times New Roman" w:hAnsi="Times New Roman"/>
                <w:sz w:val="16"/>
              </w:rPr>
              <w:t>10.128</w:t>
            </w:r>
          </w:p>
        </w:tc>
        <w:tc>
          <w:tcPr>
            <w:tcW w:type="dxa" w:w="1380"/>
          </w:tcPr>
          <w:p>
            <w:pPr>
              <w:pStyle w:val="Compact"/>
              <w:spacing w:line="240" w:lineRule="auto" w:before="20" w:after="20"/>
              <w:ind w:firstLine="0"/>
              <w:jc w:val="right"/>
            </w:pPr>
            <w:r>
              <w:rPr>
                <w:rFonts w:ascii="Times New Roman" w:hAnsi="Times New Roman"/>
                <w:sz w:val="16"/>
              </w:rPr>
              <w:t>+80%</w:t>
            </w:r>
          </w:p>
        </w:tc>
      </w:tr>
      <w:tr>
        <w:trPr>
          <w:cantSplit/>
        </w:trPr>
        <w:tc>
          <w:tcPr>
            <w:tcW w:type="dxa" w:w="1774"/>
          </w:tcPr>
          <w:p>
            <w:pPr>
              <w:pStyle w:val="Compact"/>
              <w:spacing w:line="240" w:lineRule="auto" w:before="20" w:after="20"/>
              <w:ind w:firstLine="0"/>
              <w:jc w:val="left"/>
            </w:pPr>
            <w:r>
              <w:rPr>
                <w:rFonts w:ascii="Times New Roman" w:hAnsi="Times New Roman"/>
                <w:sz w:val="16"/>
              </w:rPr>
              <w:t>Serranópolis do Iguaçu</w:t>
            </w:r>
          </w:p>
        </w:tc>
        <w:tc>
          <w:tcPr>
            <w:tcW w:type="dxa" w:w="1380"/>
          </w:tcPr>
          <w:p>
            <w:pPr>
              <w:pStyle w:val="Compact"/>
              <w:spacing w:line="240" w:lineRule="auto" w:before="20" w:after="20"/>
              <w:ind w:firstLine="0"/>
              <w:jc w:val="right"/>
            </w:pPr>
            <w:r>
              <w:rPr>
                <w:rFonts w:ascii="Times New Roman" w:hAnsi="Times New Roman"/>
                <w:sz w:val="16"/>
              </w:rPr>
              <w:t>4,9</w:t>
            </w:r>
          </w:p>
        </w:tc>
        <w:tc>
          <w:tcPr>
            <w:tcW w:type="dxa" w:w="854"/>
          </w:tcPr>
          <w:p>
            <w:pPr>
              <w:pStyle w:val="Compact"/>
              <w:spacing w:line="240" w:lineRule="auto" w:before="20" w:after="20"/>
              <w:ind w:firstLine="0"/>
              <w:jc w:val="right"/>
            </w:pPr>
            <w:r>
              <w:rPr>
                <w:rFonts w:ascii="Times New Roman" w:hAnsi="Times New Roman"/>
                <w:sz w:val="16"/>
              </w:rPr>
              <w:t>5.435</w:t>
            </w:r>
          </w:p>
        </w:tc>
        <w:tc>
          <w:tcPr>
            <w:tcW w:type="dxa" w:w="854"/>
          </w:tcPr>
          <w:p>
            <w:pPr>
              <w:pStyle w:val="Compact"/>
              <w:spacing w:line="240" w:lineRule="auto" w:before="20" w:after="20"/>
              <w:ind w:firstLine="0"/>
              <w:jc w:val="right"/>
            </w:pPr>
            <w:r>
              <w:rPr>
                <w:rFonts w:ascii="Times New Roman" w:hAnsi="Times New Roman"/>
                <w:sz w:val="16"/>
              </w:rPr>
              <w:t>5.839</w:t>
            </w:r>
          </w:p>
        </w:tc>
        <w:tc>
          <w:tcPr>
            <w:tcW w:type="dxa" w:w="854"/>
          </w:tcPr>
          <w:p>
            <w:pPr>
              <w:pStyle w:val="Compact"/>
              <w:spacing w:line="240" w:lineRule="auto" w:before="20" w:after="20"/>
              <w:ind w:firstLine="0"/>
              <w:jc w:val="right"/>
            </w:pPr>
            <w:r>
              <w:rPr>
                <w:rFonts w:ascii="Times New Roman" w:hAnsi="Times New Roman"/>
                <w:sz w:val="16"/>
              </w:rPr>
              <w:t>6.306</w:t>
            </w:r>
          </w:p>
        </w:tc>
        <w:tc>
          <w:tcPr>
            <w:tcW w:type="dxa" w:w="986"/>
          </w:tcPr>
          <w:p>
            <w:pPr>
              <w:pStyle w:val="Compact"/>
              <w:spacing w:line="240" w:lineRule="auto" w:before="20" w:after="20"/>
              <w:ind w:firstLine="0"/>
              <w:jc w:val="right"/>
            </w:pPr>
            <w:r>
              <w:rPr>
                <w:rFonts w:ascii="Times New Roman" w:hAnsi="Times New Roman"/>
                <w:sz w:val="16"/>
              </w:rPr>
              <w:t>7.928</w:t>
            </w:r>
          </w:p>
        </w:tc>
        <w:tc>
          <w:tcPr>
            <w:tcW w:type="dxa" w:w="986"/>
          </w:tcPr>
          <w:p>
            <w:pPr>
              <w:pStyle w:val="Compact"/>
              <w:spacing w:line="240" w:lineRule="auto" w:before="20" w:after="20"/>
              <w:ind w:firstLine="0"/>
              <w:jc w:val="right"/>
            </w:pPr>
            <w:r>
              <w:rPr>
                <w:rFonts w:ascii="Times New Roman" w:hAnsi="Times New Roman"/>
                <w:sz w:val="16"/>
              </w:rPr>
              <w:t>10.702</w:t>
            </w:r>
          </w:p>
        </w:tc>
        <w:tc>
          <w:tcPr>
            <w:tcW w:type="dxa" w:w="1380"/>
          </w:tcPr>
          <w:p>
            <w:pPr>
              <w:pStyle w:val="Compact"/>
              <w:spacing w:line="240" w:lineRule="auto" w:before="20" w:after="20"/>
              <w:ind w:firstLine="0"/>
              <w:jc w:val="right"/>
            </w:pPr>
            <w:r>
              <w:rPr>
                <w:rFonts w:ascii="Times New Roman" w:hAnsi="Times New Roman"/>
                <w:sz w:val="16"/>
              </w:rPr>
              <w:t>+97%</w:t>
            </w:r>
          </w:p>
        </w:tc>
      </w:tr>
      <w:tr>
        <w:trPr>
          <w:cantSplit/>
        </w:trPr>
        <w:tc>
          <w:tcPr>
            <w:tcW w:type="dxa" w:w="1774"/>
          </w:tcPr>
          <w:p>
            <w:pPr>
              <w:pStyle w:val="Compact"/>
              <w:spacing w:line="240" w:lineRule="auto" w:before="20" w:after="20"/>
              <w:ind w:firstLine="0"/>
              <w:jc w:val="left"/>
            </w:pPr>
            <w:r>
              <w:rPr>
                <w:rFonts w:ascii="Times New Roman" w:hAnsi="Times New Roman"/>
                <w:sz w:val="16"/>
              </w:rPr>
              <w:t>Campina do Simão</w:t>
            </w:r>
          </w:p>
        </w:tc>
        <w:tc>
          <w:tcPr>
            <w:tcW w:type="dxa" w:w="1380"/>
          </w:tcPr>
          <w:p>
            <w:pPr>
              <w:pStyle w:val="Compact"/>
              <w:spacing w:line="240" w:lineRule="auto" w:before="20" w:after="20"/>
              <w:ind w:firstLine="0"/>
              <w:jc w:val="right"/>
            </w:pPr>
            <w:r>
              <w:rPr>
                <w:rFonts w:ascii="Times New Roman" w:hAnsi="Times New Roman"/>
                <w:sz w:val="16"/>
              </w:rPr>
              <w:t>3,9</w:t>
            </w:r>
          </w:p>
        </w:tc>
        <w:tc>
          <w:tcPr>
            <w:tcW w:type="dxa" w:w="854"/>
          </w:tcPr>
          <w:p>
            <w:pPr>
              <w:pStyle w:val="Compact"/>
              <w:spacing w:line="240" w:lineRule="auto" w:before="20" w:after="20"/>
              <w:ind w:firstLine="0"/>
              <w:jc w:val="right"/>
            </w:pPr>
            <w:r>
              <w:rPr>
                <w:rFonts w:ascii="Times New Roman" w:hAnsi="Times New Roman"/>
                <w:sz w:val="16"/>
              </w:rPr>
              <w:t>5.138</w:t>
            </w:r>
          </w:p>
        </w:tc>
        <w:tc>
          <w:tcPr>
            <w:tcW w:type="dxa" w:w="854"/>
          </w:tcPr>
          <w:p>
            <w:pPr>
              <w:pStyle w:val="Compact"/>
              <w:spacing w:line="240" w:lineRule="auto" w:before="20" w:after="20"/>
              <w:ind w:firstLine="0"/>
              <w:jc w:val="right"/>
            </w:pPr>
            <w:r>
              <w:rPr>
                <w:rFonts w:ascii="Times New Roman" w:hAnsi="Times New Roman"/>
                <w:sz w:val="16"/>
              </w:rPr>
              <w:t>5.400</w:t>
            </w:r>
          </w:p>
        </w:tc>
        <w:tc>
          <w:tcPr>
            <w:tcW w:type="dxa" w:w="854"/>
          </w:tcPr>
          <w:p>
            <w:pPr>
              <w:pStyle w:val="Compact"/>
              <w:spacing w:line="240" w:lineRule="auto" w:before="20" w:after="20"/>
              <w:ind w:firstLine="0"/>
              <w:jc w:val="right"/>
            </w:pPr>
            <w:r>
              <w:rPr>
                <w:rFonts w:ascii="Times New Roman" w:hAnsi="Times New Roman"/>
                <w:sz w:val="16"/>
              </w:rPr>
              <w:t>4.752</w:t>
            </w:r>
          </w:p>
        </w:tc>
        <w:tc>
          <w:tcPr>
            <w:tcW w:type="dxa" w:w="986"/>
          </w:tcPr>
          <w:p>
            <w:pPr>
              <w:pStyle w:val="Compact"/>
              <w:spacing w:line="240" w:lineRule="auto" w:before="20" w:after="20"/>
              <w:ind w:firstLine="0"/>
              <w:jc w:val="right"/>
            </w:pPr>
            <w:r>
              <w:rPr>
                <w:rFonts w:ascii="Times New Roman" w:hAnsi="Times New Roman"/>
                <w:sz w:val="16"/>
              </w:rPr>
              <w:t>6.107</w:t>
            </w:r>
          </w:p>
        </w:tc>
        <w:tc>
          <w:tcPr>
            <w:tcW w:type="dxa" w:w="986"/>
          </w:tcPr>
          <w:p>
            <w:pPr>
              <w:pStyle w:val="Compact"/>
              <w:spacing w:line="240" w:lineRule="auto" w:before="20" w:after="20"/>
              <w:ind w:firstLine="0"/>
              <w:jc w:val="right"/>
            </w:pPr>
            <w:r>
              <w:rPr>
                <w:rFonts w:ascii="Times New Roman" w:hAnsi="Times New Roman"/>
                <w:sz w:val="16"/>
              </w:rPr>
              <w:t>8.781</w:t>
            </w:r>
          </w:p>
        </w:tc>
        <w:tc>
          <w:tcPr>
            <w:tcW w:type="dxa" w:w="1380"/>
          </w:tcPr>
          <w:p>
            <w:pPr>
              <w:pStyle w:val="Compact"/>
              <w:spacing w:line="240" w:lineRule="auto" w:before="20" w:after="20"/>
              <w:ind w:firstLine="0"/>
              <w:jc w:val="right"/>
            </w:pPr>
            <w:r>
              <w:rPr>
                <w:rFonts w:ascii="Times New Roman" w:hAnsi="Times New Roman"/>
                <w:sz w:val="16"/>
              </w:rPr>
              <w:t>+71%</w:t>
            </w:r>
          </w:p>
        </w:tc>
      </w:tr>
      <w:tr>
        <w:trPr>
          <w:cantSplit/>
        </w:trPr>
        <w:tc>
          <w:tcPr>
            <w:tcW w:type="dxa" w:w="1774"/>
          </w:tcPr>
          <w:p>
            <w:pPr>
              <w:pStyle w:val="Compact"/>
              <w:spacing w:line="240" w:lineRule="auto" w:before="20" w:after="20"/>
              <w:ind w:firstLine="0"/>
              <w:jc w:val="left"/>
            </w:pPr>
            <w:r>
              <w:rPr>
                <w:rFonts w:ascii="Times New Roman" w:hAnsi="Times New Roman"/>
                <w:sz w:val="16"/>
              </w:rPr>
              <w:t>Maripá</w:t>
            </w:r>
          </w:p>
        </w:tc>
        <w:tc>
          <w:tcPr>
            <w:tcW w:type="dxa" w:w="1380"/>
          </w:tcPr>
          <w:p>
            <w:pPr>
              <w:pStyle w:val="Compact"/>
              <w:spacing w:line="240" w:lineRule="auto" w:before="20" w:after="20"/>
              <w:ind w:firstLine="0"/>
              <w:jc w:val="right"/>
            </w:pPr>
            <w:r>
              <w:rPr>
                <w:rFonts w:ascii="Times New Roman" w:hAnsi="Times New Roman"/>
                <w:sz w:val="16"/>
              </w:rPr>
              <w:t>6,3</w:t>
            </w:r>
          </w:p>
        </w:tc>
        <w:tc>
          <w:tcPr>
            <w:tcW w:type="dxa" w:w="854"/>
          </w:tcPr>
          <w:p>
            <w:pPr>
              <w:pStyle w:val="Compact"/>
              <w:spacing w:line="240" w:lineRule="auto" w:before="20" w:after="20"/>
              <w:ind w:firstLine="0"/>
              <w:jc w:val="right"/>
            </w:pPr>
            <w:r>
              <w:rPr>
                <w:rFonts w:ascii="Times New Roman" w:hAnsi="Times New Roman"/>
                <w:sz w:val="16"/>
              </w:rPr>
              <w:t>4.374</w:t>
            </w:r>
          </w:p>
        </w:tc>
        <w:tc>
          <w:tcPr>
            <w:tcW w:type="dxa" w:w="854"/>
          </w:tcPr>
          <w:p>
            <w:pPr>
              <w:pStyle w:val="Compact"/>
              <w:spacing w:line="240" w:lineRule="auto" w:before="20" w:after="20"/>
              <w:ind w:firstLine="0"/>
              <w:jc w:val="right"/>
            </w:pPr>
            <w:r>
              <w:rPr>
                <w:rFonts w:ascii="Times New Roman" w:hAnsi="Times New Roman"/>
                <w:sz w:val="16"/>
              </w:rPr>
              <w:t>4.728</w:t>
            </w:r>
          </w:p>
        </w:tc>
        <w:tc>
          <w:tcPr>
            <w:tcW w:type="dxa" w:w="854"/>
          </w:tcPr>
          <w:p>
            <w:pPr>
              <w:pStyle w:val="Compact"/>
              <w:spacing w:line="240" w:lineRule="auto" w:before="20" w:after="20"/>
              <w:ind w:firstLine="0"/>
              <w:jc w:val="right"/>
            </w:pPr>
            <w:r>
              <w:rPr>
                <w:rFonts w:ascii="Times New Roman" w:hAnsi="Times New Roman"/>
                <w:sz w:val="16"/>
              </w:rPr>
              <w:t>5.355</w:t>
            </w:r>
          </w:p>
        </w:tc>
        <w:tc>
          <w:tcPr>
            <w:tcW w:type="dxa" w:w="986"/>
          </w:tcPr>
          <w:p>
            <w:pPr>
              <w:pStyle w:val="Compact"/>
              <w:spacing w:line="240" w:lineRule="auto" w:before="20" w:after="20"/>
              <w:ind w:firstLine="0"/>
              <w:jc w:val="right"/>
            </w:pPr>
            <w:r>
              <w:rPr>
                <w:rFonts w:ascii="Times New Roman" w:hAnsi="Times New Roman"/>
                <w:sz w:val="16"/>
              </w:rPr>
              <w:t>6.972</w:t>
            </w:r>
          </w:p>
        </w:tc>
        <w:tc>
          <w:tcPr>
            <w:tcW w:type="dxa" w:w="986"/>
          </w:tcPr>
          <w:p>
            <w:pPr>
              <w:pStyle w:val="Compact"/>
              <w:spacing w:line="240" w:lineRule="auto" w:before="20" w:after="20"/>
              <w:ind w:firstLine="0"/>
              <w:jc w:val="right"/>
            </w:pPr>
            <w:r>
              <w:rPr>
                <w:rFonts w:ascii="Times New Roman" w:hAnsi="Times New Roman"/>
                <w:sz w:val="16"/>
              </w:rPr>
              <w:t>10.169</w:t>
            </w:r>
          </w:p>
        </w:tc>
        <w:tc>
          <w:tcPr>
            <w:tcW w:type="dxa" w:w="1380"/>
          </w:tcPr>
          <w:p>
            <w:pPr>
              <w:pStyle w:val="Compact"/>
              <w:spacing w:line="240" w:lineRule="auto" w:before="20" w:after="20"/>
              <w:ind w:firstLine="0"/>
              <w:jc w:val="right"/>
            </w:pPr>
            <w:r>
              <w:rPr>
                <w:rFonts w:ascii="Times New Roman" w:hAnsi="Times New Roman"/>
                <w:sz w:val="16"/>
              </w:rPr>
              <w:t>+132%</w:t>
            </w:r>
          </w:p>
        </w:tc>
      </w:tr>
      <w:tr>
        <w:trPr>
          <w:cantSplit/>
        </w:trPr>
        <w:tc>
          <w:tcPr>
            <w:tcW w:type="dxa" w:w="1774"/>
          </w:tcPr>
          <w:p>
            <w:pPr>
              <w:pStyle w:val="Compact"/>
              <w:spacing w:line="240" w:lineRule="auto" w:before="20" w:after="20"/>
              <w:ind w:firstLine="0"/>
              <w:jc w:val="left"/>
            </w:pPr>
            <w:r>
              <w:rPr>
                <w:rFonts w:ascii="Times New Roman" w:hAnsi="Times New Roman"/>
                <w:sz w:val="16"/>
              </w:rPr>
              <w:t>Saudade do Iguaçu</w:t>
            </w:r>
          </w:p>
        </w:tc>
        <w:tc>
          <w:tcPr>
            <w:tcW w:type="dxa" w:w="1380"/>
          </w:tcPr>
          <w:p>
            <w:pPr>
              <w:pStyle w:val="Compact"/>
              <w:spacing w:line="240" w:lineRule="auto" w:before="20" w:after="20"/>
              <w:ind w:firstLine="0"/>
              <w:jc w:val="right"/>
            </w:pPr>
            <w:r>
              <w:rPr>
                <w:rFonts w:ascii="Times New Roman" w:hAnsi="Times New Roman"/>
                <w:sz w:val="16"/>
              </w:rPr>
              <w:t>6,0</w:t>
            </w:r>
          </w:p>
        </w:tc>
        <w:tc>
          <w:tcPr>
            <w:tcW w:type="dxa" w:w="854"/>
          </w:tcPr>
          <w:p>
            <w:pPr>
              <w:pStyle w:val="Compact"/>
              <w:spacing w:line="240" w:lineRule="auto" w:before="20" w:after="20"/>
              <w:ind w:firstLine="0"/>
              <w:jc w:val="right"/>
            </w:pPr>
            <w:r>
              <w:rPr>
                <w:rFonts w:ascii="Times New Roman" w:hAnsi="Times New Roman"/>
                <w:sz w:val="16"/>
              </w:rPr>
              <w:t>4.346</w:t>
            </w:r>
          </w:p>
        </w:tc>
        <w:tc>
          <w:tcPr>
            <w:tcW w:type="dxa" w:w="854"/>
          </w:tcPr>
          <w:p>
            <w:pPr>
              <w:pStyle w:val="Compact"/>
              <w:spacing w:line="240" w:lineRule="auto" w:before="20" w:after="20"/>
              <w:ind w:firstLine="0"/>
              <w:jc w:val="right"/>
            </w:pPr>
            <w:r>
              <w:rPr>
                <w:rFonts w:ascii="Times New Roman" w:hAnsi="Times New Roman"/>
                <w:sz w:val="16"/>
              </w:rPr>
              <w:t>4.919</w:t>
            </w:r>
          </w:p>
        </w:tc>
        <w:tc>
          <w:tcPr>
            <w:tcW w:type="dxa" w:w="854"/>
          </w:tcPr>
          <w:p>
            <w:pPr>
              <w:pStyle w:val="Compact"/>
              <w:spacing w:line="240" w:lineRule="auto" w:before="20" w:after="20"/>
              <w:ind w:firstLine="0"/>
              <w:jc w:val="right"/>
            </w:pPr>
            <w:r>
              <w:rPr>
                <w:rFonts w:ascii="Times New Roman" w:hAnsi="Times New Roman"/>
                <w:sz w:val="16"/>
              </w:rPr>
              <w:t>7.998</w:t>
            </w:r>
          </w:p>
        </w:tc>
        <w:tc>
          <w:tcPr>
            <w:tcW w:type="dxa" w:w="986"/>
          </w:tcPr>
          <w:p>
            <w:pPr>
              <w:pStyle w:val="Compact"/>
              <w:spacing w:line="240" w:lineRule="auto" w:before="20" w:after="20"/>
              <w:ind w:firstLine="0"/>
              <w:jc w:val="right"/>
            </w:pPr>
            <w:r>
              <w:rPr>
                <w:rFonts w:ascii="Times New Roman" w:hAnsi="Times New Roman"/>
                <w:sz w:val="16"/>
              </w:rPr>
              <w:t>10.570</w:t>
            </w:r>
          </w:p>
        </w:tc>
        <w:tc>
          <w:tcPr>
            <w:tcW w:type="dxa" w:w="986"/>
          </w:tcPr>
          <w:p>
            <w:pPr>
              <w:pStyle w:val="Compact"/>
              <w:spacing w:line="240" w:lineRule="auto" w:before="20" w:after="20"/>
              <w:ind w:firstLine="0"/>
              <w:jc w:val="right"/>
            </w:pPr>
            <w:r>
              <w:rPr>
                <w:rFonts w:ascii="Times New Roman" w:hAnsi="Times New Roman"/>
                <w:sz w:val="16"/>
              </w:rPr>
              <w:t>15.709</w:t>
            </w:r>
          </w:p>
        </w:tc>
        <w:tc>
          <w:tcPr>
            <w:tcW w:type="dxa" w:w="1380"/>
          </w:tcPr>
          <w:p>
            <w:pPr>
              <w:pStyle w:val="Compact"/>
              <w:spacing w:line="240" w:lineRule="auto" w:before="20" w:after="20"/>
              <w:ind w:firstLine="0"/>
              <w:jc w:val="right"/>
            </w:pPr>
            <w:r>
              <w:rPr>
                <w:rFonts w:ascii="Times New Roman" w:hAnsi="Times New Roman"/>
                <w:sz w:val="16"/>
              </w:rPr>
              <w:t>+261%</w:t>
            </w:r>
          </w:p>
        </w:tc>
      </w:tr>
      <w:tr>
        <w:trPr>
          <w:cantSplit/>
        </w:trPr>
        <w:tc>
          <w:tcPr>
            <w:tcW w:type="dxa" w:w="1774"/>
          </w:tcPr>
          <w:p>
            <w:pPr>
              <w:pStyle w:val="Compact"/>
              <w:spacing w:line="240" w:lineRule="auto" w:before="20" w:after="20"/>
              <w:ind w:firstLine="0"/>
              <w:jc w:val="left"/>
            </w:pPr>
            <w:r>
              <w:rPr>
                <w:rFonts w:ascii="Times New Roman" w:hAnsi="Times New Roman"/>
                <w:sz w:val="16"/>
              </w:rPr>
              <w:t>Bom Sucesso do Sul</w:t>
            </w:r>
          </w:p>
        </w:tc>
        <w:tc>
          <w:tcPr>
            <w:tcW w:type="dxa" w:w="1380"/>
          </w:tcPr>
          <w:p>
            <w:pPr>
              <w:pStyle w:val="Compact"/>
              <w:spacing w:line="240" w:lineRule="auto" w:before="20" w:after="20"/>
              <w:ind w:firstLine="0"/>
              <w:jc w:val="right"/>
            </w:pPr>
            <w:r>
              <w:rPr>
                <w:rFonts w:ascii="Times New Roman" w:hAnsi="Times New Roman"/>
                <w:sz w:val="16"/>
              </w:rPr>
              <w:t>3,2</w:t>
            </w:r>
          </w:p>
        </w:tc>
        <w:tc>
          <w:tcPr>
            <w:tcW w:type="dxa" w:w="854"/>
          </w:tcPr>
          <w:p>
            <w:pPr>
              <w:pStyle w:val="Compact"/>
              <w:spacing w:line="240" w:lineRule="auto" w:before="20" w:after="20"/>
              <w:ind w:firstLine="0"/>
              <w:jc w:val="right"/>
            </w:pPr>
            <w:r>
              <w:rPr>
                <w:rFonts w:ascii="Times New Roman" w:hAnsi="Times New Roman"/>
                <w:sz w:val="16"/>
              </w:rPr>
              <w:t>4.298</w:t>
            </w:r>
          </w:p>
        </w:tc>
        <w:tc>
          <w:tcPr>
            <w:tcW w:type="dxa" w:w="854"/>
          </w:tcPr>
          <w:p>
            <w:pPr>
              <w:pStyle w:val="Compact"/>
              <w:spacing w:line="240" w:lineRule="auto" w:before="20" w:after="20"/>
              <w:ind w:firstLine="0"/>
              <w:jc w:val="right"/>
            </w:pPr>
            <w:r>
              <w:rPr>
                <w:rFonts w:ascii="Times New Roman" w:hAnsi="Times New Roman"/>
                <w:sz w:val="16"/>
              </w:rPr>
              <w:t>4.593</w:t>
            </w:r>
          </w:p>
        </w:tc>
        <w:tc>
          <w:tcPr>
            <w:tcW w:type="dxa" w:w="854"/>
          </w:tcPr>
          <w:p>
            <w:pPr>
              <w:pStyle w:val="Compact"/>
              <w:spacing w:line="240" w:lineRule="auto" w:before="20" w:after="20"/>
              <w:ind w:firstLine="0"/>
              <w:jc w:val="right"/>
            </w:pPr>
            <w:r>
              <w:rPr>
                <w:rFonts w:ascii="Times New Roman" w:hAnsi="Times New Roman"/>
                <w:sz w:val="16"/>
              </w:rPr>
              <w:t>4.807</w:t>
            </w:r>
          </w:p>
        </w:tc>
        <w:tc>
          <w:tcPr>
            <w:tcW w:type="dxa" w:w="986"/>
          </w:tcPr>
          <w:p>
            <w:pPr>
              <w:pStyle w:val="Compact"/>
              <w:spacing w:line="240" w:lineRule="auto" w:before="20" w:after="20"/>
              <w:ind w:firstLine="0"/>
              <w:jc w:val="right"/>
            </w:pPr>
            <w:r>
              <w:rPr>
                <w:rFonts w:ascii="Times New Roman" w:hAnsi="Times New Roman"/>
                <w:sz w:val="16"/>
              </w:rPr>
              <w:t>6.407</w:t>
            </w:r>
          </w:p>
        </w:tc>
        <w:tc>
          <w:tcPr>
            <w:tcW w:type="dxa" w:w="986"/>
          </w:tcPr>
          <w:p>
            <w:pPr>
              <w:pStyle w:val="Compact"/>
              <w:spacing w:line="240" w:lineRule="auto" w:before="20" w:after="20"/>
              <w:ind w:firstLine="0"/>
              <w:jc w:val="right"/>
            </w:pPr>
            <w:r>
              <w:rPr>
                <w:rFonts w:ascii="Times New Roman" w:hAnsi="Times New Roman"/>
                <w:sz w:val="16"/>
              </w:rPr>
              <w:t>9.950</w:t>
            </w:r>
          </w:p>
        </w:tc>
        <w:tc>
          <w:tcPr>
            <w:tcW w:type="dxa" w:w="1380"/>
          </w:tcPr>
          <w:p>
            <w:pPr>
              <w:pStyle w:val="Compact"/>
              <w:spacing w:line="240" w:lineRule="auto" w:before="20" w:after="20"/>
              <w:ind w:firstLine="0"/>
              <w:jc w:val="right"/>
            </w:pPr>
            <w:r>
              <w:rPr>
                <w:rFonts w:ascii="Times New Roman" w:hAnsi="Times New Roman"/>
                <w:sz w:val="16"/>
              </w:rPr>
              <w:t>+132%</w:t>
            </w:r>
          </w:p>
        </w:tc>
      </w:tr>
      <w:tr>
        <w:trPr>
          <w:cantSplit/>
        </w:trPr>
        <w:tc>
          <w:tcPr>
            <w:tcW w:type="dxa" w:w="9072"/>
            <w:gridSpan w:val="8"/>
          </w:tcPr>
          <w:p>
            <w:pPr>
              <w:pStyle w:val="Compact"/>
              <w:spacing w:line="240" w:lineRule="auto" w:before="20" w:after="20"/>
              <w:ind w:firstLine="0"/>
              <w:jc w:val="center"/>
            </w:pPr>
            <w:r>
              <w:rPr>
                <w:rFonts w:ascii="Times New Roman" w:hAnsi="Times New Roman"/>
                <w:sz w:val="16"/>
              </w:rPr>
              <w:t xml:space="preserve">…</w:t>
            </w:r>
          </w:p>
        </w:tc>
      </w:tr>
      <w:tr>
        <w:trPr>
          <w:cantSplit/>
        </w:trPr>
        <w:tc>
          <w:tcPr>
            <w:tcW w:type="dxa" w:w="1774"/>
          </w:tcPr>
          <w:p>
            <w:pPr>
              <w:pStyle w:val="Compact"/>
              <w:spacing w:line="240" w:lineRule="auto" w:before="20" w:after="20"/>
              <w:ind w:firstLine="0"/>
              <w:jc w:val="left"/>
            </w:pPr>
            <w:r>
              <w:rPr>
                <w:rFonts w:ascii="Times New Roman" w:hAnsi="Times New Roman"/>
                <w:sz w:val="16"/>
              </w:rPr>
              <w:t>Fazenda Rio Grande</w:t>
            </w:r>
          </w:p>
        </w:tc>
        <w:tc>
          <w:tcPr>
            <w:tcW w:type="dxa" w:w="1380"/>
          </w:tcPr>
          <w:p>
            <w:pPr>
              <w:pStyle w:val="Compact"/>
              <w:spacing w:line="240" w:lineRule="auto" w:before="20" w:after="20"/>
              <w:ind w:firstLine="0"/>
              <w:jc w:val="right"/>
            </w:pPr>
            <w:r>
              <w:rPr>
                <w:rFonts w:ascii="Times New Roman" w:hAnsi="Times New Roman"/>
                <w:sz w:val="16"/>
              </w:rPr>
              <w:t>138,4</w:t>
            </w:r>
          </w:p>
        </w:tc>
        <w:tc>
          <w:tcPr>
            <w:tcW w:type="dxa" w:w="854"/>
          </w:tcPr>
          <w:p>
            <w:pPr>
              <w:pStyle w:val="Compact"/>
              <w:spacing w:line="240" w:lineRule="auto" w:before="20" w:after="20"/>
              <w:ind w:firstLine="0"/>
              <w:jc w:val="right"/>
            </w:pPr>
            <w:r>
              <w:rPr>
                <w:rFonts w:ascii="Times New Roman" w:hAnsi="Times New Roman"/>
                <w:sz w:val="16"/>
              </w:rPr>
              <w:t>775</w:t>
            </w:r>
          </w:p>
        </w:tc>
        <w:tc>
          <w:tcPr>
            <w:tcW w:type="dxa" w:w="854"/>
          </w:tcPr>
          <w:p>
            <w:pPr>
              <w:pStyle w:val="Compact"/>
              <w:spacing w:line="240" w:lineRule="auto" w:before="20" w:after="20"/>
              <w:ind w:firstLine="0"/>
              <w:jc w:val="right"/>
            </w:pPr>
            <w:r>
              <w:rPr>
                <w:rFonts w:ascii="Times New Roman" w:hAnsi="Times New Roman"/>
                <w:sz w:val="16"/>
              </w:rPr>
              <w:t>844</w:t>
            </w:r>
          </w:p>
        </w:tc>
        <w:tc>
          <w:tcPr>
            <w:tcW w:type="dxa" w:w="854"/>
          </w:tcPr>
          <w:p>
            <w:pPr>
              <w:pStyle w:val="Compact"/>
              <w:spacing w:line="240" w:lineRule="auto" w:before="20" w:after="20"/>
              <w:ind w:firstLine="0"/>
              <w:jc w:val="right"/>
            </w:pPr>
            <w:r>
              <w:rPr>
                <w:rFonts w:ascii="Times New Roman" w:hAnsi="Times New Roman"/>
                <w:sz w:val="16"/>
              </w:rPr>
              <w:t>904</w:t>
            </w:r>
          </w:p>
        </w:tc>
        <w:tc>
          <w:tcPr>
            <w:tcW w:type="dxa" w:w="986"/>
          </w:tcPr>
          <w:p>
            <w:pPr>
              <w:pStyle w:val="Compact"/>
              <w:spacing w:line="240" w:lineRule="auto" w:before="20" w:after="20"/>
              <w:ind w:firstLine="0"/>
              <w:jc w:val="right"/>
            </w:pPr>
            <w:r>
              <w:rPr>
                <w:rFonts w:ascii="Times New Roman" w:hAnsi="Times New Roman"/>
                <w:sz w:val="16"/>
              </w:rPr>
              <w:t>1.895</w:t>
            </w:r>
          </w:p>
        </w:tc>
        <w:tc>
          <w:tcPr>
            <w:tcW w:type="dxa" w:w="986"/>
          </w:tcPr>
          <w:p>
            <w:pPr>
              <w:pStyle w:val="Compact"/>
              <w:spacing w:line="240" w:lineRule="auto" w:before="20" w:after="20"/>
              <w:ind w:firstLine="0"/>
              <w:jc w:val="right"/>
            </w:pPr>
            <w:r>
              <w:rPr>
                <w:rFonts w:ascii="Times New Roman" w:hAnsi="Times New Roman"/>
                <w:sz w:val="16"/>
              </w:rPr>
              <w:t>5.085</w:t>
            </w:r>
          </w:p>
        </w:tc>
        <w:tc>
          <w:tcPr>
            <w:tcW w:type="dxa" w:w="1380"/>
          </w:tcPr>
          <w:p>
            <w:pPr>
              <w:pStyle w:val="Compact"/>
              <w:spacing w:line="240" w:lineRule="auto" w:before="20" w:after="20"/>
              <w:ind w:firstLine="0"/>
              <w:jc w:val="right"/>
            </w:pPr>
            <w:r>
              <w:rPr>
                <w:rFonts w:ascii="Times New Roman" w:hAnsi="Times New Roman"/>
                <w:sz w:val="16"/>
              </w:rPr>
              <w:t>+556%</w:t>
            </w:r>
          </w:p>
        </w:tc>
      </w:tr>
      <w:tr>
        <w:trPr>
          <w:cantSplit/>
        </w:trPr>
        <w:tc>
          <w:tcPr>
            <w:tcW w:type="dxa" w:w="1774"/>
          </w:tcPr>
          <w:p>
            <w:pPr>
              <w:pStyle w:val="Compact"/>
              <w:spacing w:line="240" w:lineRule="auto" w:before="20" w:after="20"/>
              <w:ind w:firstLine="0"/>
              <w:jc w:val="left"/>
            </w:pPr>
            <w:r>
              <w:rPr>
                <w:rFonts w:ascii="Times New Roman" w:hAnsi="Times New Roman"/>
                <w:sz w:val="16"/>
              </w:rPr>
              <w:t>Figueira</w:t>
            </w:r>
          </w:p>
        </w:tc>
        <w:tc>
          <w:tcPr>
            <w:tcW w:type="dxa" w:w="1380"/>
          </w:tcPr>
          <w:p>
            <w:pPr>
              <w:pStyle w:val="Compact"/>
              <w:spacing w:line="240" w:lineRule="auto" w:before="20" w:after="20"/>
              <w:ind w:firstLine="0"/>
              <w:jc w:val="right"/>
            </w:pPr>
            <w:r>
              <w:rPr>
                <w:rFonts w:ascii="Times New Roman" w:hAnsi="Times New Roman"/>
                <w:sz w:val="16"/>
              </w:rPr>
              <w:t>8,0</w:t>
            </w:r>
          </w:p>
        </w:tc>
        <w:tc>
          <w:tcPr>
            <w:tcW w:type="dxa" w:w="854"/>
          </w:tcPr>
          <w:p>
            <w:pPr>
              <w:pStyle w:val="Compact"/>
              <w:spacing w:line="240" w:lineRule="auto" w:before="20" w:after="20"/>
              <w:ind w:firstLine="0"/>
              <w:jc w:val="right"/>
            </w:pPr>
            <w:r>
              <w:rPr>
                <w:rFonts w:ascii="Times New Roman" w:hAnsi="Times New Roman"/>
                <w:sz w:val="16"/>
              </w:rPr>
              <w:t>756</w:t>
            </w:r>
          </w:p>
        </w:tc>
        <w:tc>
          <w:tcPr>
            <w:tcW w:type="dxa" w:w="854"/>
          </w:tcPr>
          <w:p>
            <w:pPr>
              <w:pStyle w:val="Compact"/>
              <w:spacing w:line="240" w:lineRule="auto" w:before="20" w:after="20"/>
              <w:ind w:firstLine="0"/>
              <w:jc w:val="right"/>
            </w:pPr>
            <w:r>
              <w:rPr>
                <w:rFonts w:ascii="Times New Roman" w:hAnsi="Times New Roman"/>
                <w:sz w:val="16"/>
              </w:rPr>
              <w:t>844</w:t>
            </w:r>
          </w:p>
        </w:tc>
        <w:tc>
          <w:tcPr>
            <w:tcW w:type="dxa" w:w="854"/>
          </w:tcPr>
          <w:p>
            <w:pPr>
              <w:pStyle w:val="Compact"/>
              <w:spacing w:line="240" w:lineRule="auto" w:before="20" w:after="20"/>
              <w:ind w:firstLine="0"/>
              <w:jc w:val="right"/>
            </w:pPr>
            <w:r>
              <w:rPr>
                <w:rFonts w:ascii="Times New Roman" w:hAnsi="Times New Roman"/>
                <w:sz w:val="16"/>
              </w:rPr>
              <w:t>1.085</w:t>
            </w:r>
          </w:p>
        </w:tc>
        <w:tc>
          <w:tcPr>
            <w:tcW w:type="dxa" w:w="986"/>
          </w:tcPr>
          <w:p>
            <w:pPr>
              <w:pStyle w:val="Compact"/>
              <w:spacing w:line="240" w:lineRule="auto" w:before="20" w:after="20"/>
              <w:ind w:firstLine="0"/>
              <w:jc w:val="right"/>
            </w:pPr>
            <w:r>
              <w:rPr>
                <w:rFonts w:ascii="Times New Roman" w:hAnsi="Times New Roman"/>
                <w:sz w:val="16"/>
              </w:rPr>
              <w:t>2.252</w:t>
            </w:r>
          </w:p>
        </w:tc>
        <w:tc>
          <w:tcPr>
            <w:tcW w:type="dxa" w:w="986"/>
          </w:tcPr>
          <w:p>
            <w:pPr>
              <w:pStyle w:val="Compact"/>
              <w:spacing w:line="240" w:lineRule="auto" w:before="20" w:after="20"/>
              <w:ind w:firstLine="0"/>
              <w:jc w:val="right"/>
            </w:pPr>
            <w:r>
              <w:rPr>
                <w:rFonts w:ascii="Times New Roman" w:hAnsi="Times New Roman"/>
                <w:sz w:val="16"/>
              </w:rPr>
              <w:t>6.002</w:t>
            </w:r>
          </w:p>
        </w:tc>
        <w:tc>
          <w:tcPr>
            <w:tcW w:type="dxa" w:w="1380"/>
          </w:tcPr>
          <w:p>
            <w:pPr>
              <w:pStyle w:val="Compact"/>
              <w:spacing w:line="240" w:lineRule="auto" w:before="20" w:after="20"/>
              <w:ind w:firstLine="0"/>
              <w:jc w:val="right"/>
            </w:pPr>
            <w:r>
              <w:rPr>
                <w:rFonts w:ascii="Times New Roman" w:hAnsi="Times New Roman"/>
                <w:sz w:val="16"/>
              </w:rPr>
              <w:t>+694%</w:t>
            </w:r>
          </w:p>
        </w:tc>
      </w:tr>
      <w:tr>
        <w:trPr>
          <w:cantSplit/>
        </w:trPr>
        <w:tc>
          <w:tcPr>
            <w:tcW w:type="dxa" w:w="1774"/>
          </w:tcPr>
          <w:p>
            <w:pPr>
              <w:pStyle w:val="Compact"/>
              <w:spacing w:line="240" w:lineRule="auto" w:before="20" w:after="20"/>
              <w:ind w:firstLine="0"/>
              <w:jc w:val="left"/>
            </w:pPr>
            <w:r>
              <w:rPr>
                <w:rFonts w:ascii="Times New Roman" w:hAnsi="Times New Roman"/>
                <w:sz w:val="16"/>
              </w:rPr>
              <w:t>Jataizinho</w:t>
            </w:r>
          </w:p>
        </w:tc>
        <w:tc>
          <w:tcPr>
            <w:tcW w:type="dxa" w:w="1380"/>
          </w:tcPr>
          <w:p>
            <w:pPr>
              <w:pStyle w:val="Compact"/>
              <w:spacing w:line="240" w:lineRule="auto" w:before="20" w:after="20"/>
              <w:ind w:firstLine="0"/>
              <w:jc w:val="right"/>
            </w:pPr>
            <w:r>
              <w:rPr>
                <w:rFonts w:ascii="Times New Roman" w:hAnsi="Times New Roman"/>
                <w:sz w:val="16"/>
              </w:rPr>
              <w:t>12,2</w:t>
            </w:r>
          </w:p>
        </w:tc>
        <w:tc>
          <w:tcPr>
            <w:tcW w:type="dxa" w:w="854"/>
          </w:tcPr>
          <w:p>
            <w:pPr>
              <w:pStyle w:val="Compact"/>
              <w:spacing w:line="240" w:lineRule="auto" w:before="20" w:after="20"/>
              <w:ind w:firstLine="0"/>
              <w:jc w:val="right"/>
            </w:pPr>
            <w:r>
              <w:rPr>
                <w:rFonts w:ascii="Times New Roman" w:hAnsi="Times New Roman"/>
                <w:sz w:val="16"/>
              </w:rPr>
              <w:t>739</w:t>
            </w:r>
          </w:p>
        </w:tc>
        <w:tc>
          <w:tcPr>
            <w:tcW w:type="dxa" w:w="854"/>
          </w:tcPr>
          <w:p>
            <w:pPr>
              <w:pStyle w:val="Compact"/>
              <w:spacing w:line="240" w:lineRule="auto" w:before="20" w:after="20"/>
              <w:ind w:firstLine="0"/>
              <w:jc w:val="right"/>
            </w:pPr>
            <w:r>
              <w:rPr>
                <w:rFonts w:ascii="Times New Roman" w:hAnsi="Times New Roman"/>
                <w:sz w:val="16"/>
              </w:rPr>
              <w:t>815</w:t>
            </w:r>
          </w:p>
        </w:tc>
        <w:tc>
          <w:tcPr>
            <w:tcW w:type="dxa" w:w="854"/>
          </w:tcPr>
          <w:p>
            <w:pPr>
              <w:pStyle w:val="Compact"/>
              <w:spacing w:line="240" w:lineRule="auto" w:before="20" w:after="20"/>
              <w:ind w:firstLine="0"/>
              <w:jc w:val="right"/>
            </w:pPr>
            <w:r>
              <w:rPr>
                <w:rFonts w:ascii="Times New Roman" w:hAnsi="Times New Roman"/>
                <w:sz w:val="16"/>
              </w:rPr>
              <w:t>966</w:t>
            </w:r>
          </w:p>
        </w:tc>
        <w:tc>
          <w:tcPr>
            <w:tcW w:type="dxa" w:w="986"/>
          </w:tcPr>
          <w:p>
            <w:pPr>
              <w:pStyle w:val="Compact"/>
              <w:spacing w:line="240" w:lineRule="auto" w:before="20" w:after="20"/>
              <w:ind w:firstLine="0"/>
              <w:jc w:val="right"/>
            </w:pPr>
            <w:r>
              <w:rPr>
                <w:rFonts w:ascii="Times New Roman" w:hAnsi="Times New Roman"/>
                <w:sz w:val="16"/>
              </w:rPr>
              <w:t>2.013</w:t>
            </w:r>
          </w:p>
        </w:tc>
        <w:tc>
          <w:tcPr>
            <w:tcW w:type="dxa" w:w="986"/>
          </w:tcPr>
          <w:p>
            <w:pPr>
              <w:pStyle w:val="Compact"/>
              <w:spacing w:line="240" w:lineRule="auto" w:before="20" w:after="20"/>
              <w:ind w:firstLine="0"/>
              <w:jc w:val="right"/>
            </w:pPr>
            <w:r>
              <w:rPr>
                <w:rFonts w:ascii="Times New Roman" w:hAnsi="Times New Roman"/>
                <w:sz w:val="16"/>
              </w:rPr>
              <w:t>5.382</w:t>
            </w:r>
          </w:p>
        </w:tc>
        <w:tc>
          <w:tcPr>
            <w:tcW w:type="dxa" w:w="1380"/>
          </w:tcPr>
          <w:p>
            <w:pPr>
              <w:pStyle w:val="Compact"/>
              <w:spacing w:line="240" w:lineRule="auto" w:before="20" w:after="20"/>
              <w:ind w:firstLine="0"/>
              <w:jc w:val="right"/>
            </w:pPr>
            <w:r>
              <w:rPr>
                <w:rFonts w:ascii="Times New Roman" w:hAnsi="Times New Roman"/>
                <w:sz w:val="16"/>
              </w:rPr>
              <w:t>+629%</w:t>
            </w:r>
          </w:p>
        </w:tc>
      </w:tr>
      <w:tr>
        <w:trPr>
          <w:cantSplit/>
        </w:trPr>
        <w:tc>
          <w:tcPr>
            <w:tcW w:type="dxa" w:w="1774"/>
          </w:tcPr>
          <w:p>
            <w:pPr>
              <w:pStyle w:val="Compact"/>
              <w:spacing w:line="240" w:lineRule="auto" w:before="20" w:after="20"/>
              <w:ind w:firstLine="0"/>
              <w:jc w:val="left"/>
            </w:pPr>
            <w:r>
              <w:rPr>
                <w:rFonts w:ascii="Times New Roman" w:hAnsi="Times New Roman"/>
                <w:sz w:val="16"/>
              </w:rPr>
              <w:t>Colombo</w:t>
            </w:r>
          </w:p>
        </w:tc>
        <w:tc>
          <w:tcPr>
            <w:tcW w:type="dxa" w:w="1380"/>
          </w:tcPr>
          <w:p>
            <w:pPr>
              <w:pStyle w:val="Compact"/>
              <w:spacing w:line="240" w:lineRule="auto" w:before="20" w:after="20"/>
              <w:ind w:firstLine="0"/>
              <w:jc w:val="right"/>
            </w:pPr>
            <w:r>
              <w:rPr>
                <w:rFonts w:ascii="Times New Roman" w:hAnsi="Times New Roman"/>
                <w:sz w:val="16"/>
              </w:rPr>
              <w:t>241,7</w:t>
            </w:r>
          </w:p>
        </w:tc>
        <w:tc>
          <w:tcPr>
            <w:tcW w:type="dxa" w:w="854"/>
          </w:tcPr>
          <w:p>
            <w:pPr>
              <w:pStyle w:val="Compact"/>
              <w:spacing w:line="240" w:lineRule="auto" w:before="20" w:after="20"/>
              <w:ind w:firstLine="0"/>
              <w:jc w:val="right"/>
            </w:pPr>
            <w:r>
              <w:rPr>
                <w:rFonts w:ascii="Times New Roman" w:hAnsi="Times New Roman"/>
                <w:sz w:val="16"/>
              </w:rPr>
              <w:t>737</w:t>
            </w:r>
          </w:p>
        </w:tc>
        <w:tc>
          <w:tcPr>
            <w:tcW w:type="dxa" w:w="854"/>
          </w:tcPr>
          <w:p>
            <w:pPr>
              <w:pStyle w:val="Compact"/>
              <w:spacing w:line="240" w:lineRule="auto" w:before="20" w:after="20"/>
              <w:ind w:firstLine="0"/>
              <w:jc w:val="right"/>
            </w:pPr>
            <w:r>
              <w:rPr>
                <w:rFonts w:ascii="Times New Roman" w:hAnsi="Times New Roman"/>
                <w:sz w:val="16"/>
              </w:rPr>
              <w:t>805</w:t>
            </w:r>
          </w:p>
        </w:tc>
        <w:tc>
          <w:tcPr>
            <w:tcW w:type="dxa" w:w="854"/>
          </w:tcPr>
          <w:p>
            <w:pPr>
              <w:pStyle w:val="Compact"/>
              <w:spacing w:line="240" w:lineRule="auto" w:before="20" w:after="20"/>
              <w:ind w:firstLine="0"/>
              <w:jc w:val="right"/>
            </w:pPr>
            <w:r>
              <w:rPr>
                <w:rFonts w:ascii="Times New Roman" w:hAnsi="Times New Roman"/>
                <w:sz w:val="16"/>
              </w:rPr>
              <w:t>887</w:t>
            </w:r>
          </w:p>
        </w:tc>
        <w:tc>
          <w:tcPr>
            <w:tcW w:type="dxa" w:w="986"/>
          </w:tcPr>
          <w:p>
            <w:pPr>
              <w:pStyle w:val="Compact"/>
              <w:spacing w:line="240" w:lineRule="auto" w:before="20" w:after="20"/>
              <w:ind w:firstLine="0"/>
              <w:jc w:val="right"/>
            </w:pPr>
            <w:r>
              <w:rPr>
                <w:rFonts w:ascii="Times New Roman" w:hAnsi="Times New Roman"/>
                <w:sz w:val="16"/>
              </w:rPr>
              <w:t>1.835</w:t>
            </w:r>
          </w:p>
        </w:tc>
        <w:tc>
          <w:tcPr>
            <w:tcW w:type="dxa" w:w="986"/>
          </w:tcPr>
          <w:p>
            <w:pPr>
              <w:pStyle w:val="Compact"/>
              <w:spacing w:line="240" w:lineRule="auto" w:before="20" w:after="20"/>
              <w:ind w:firstLine="0"/>
              <w:jc w:val="right"/>
            </w:pPr>
            <w:r>
              <w:rPr>
                <w:rFonts w:ascii="Times New Roman" w:hAnsi="Times New Roman"/>
                <w:sz w:val="16"/>
              </w:rPr>
              <w:t>4.881</w:t>
            </w:r>
          </w:p>
        </w:tc>
        <w:tc>
          <w:tcPr>
            <w:tcW w:type="dxa" w:w="1380"/>
          </w:tcPr>
          <w:p>
            <w:pPr>
              <w:pStyle w:val="Compact"/>
              <w:spacing w:line="240" w:lineRule="auto" w:before="20" w:after="20"/>
              <w:ind w:firstLine="0"/>
              <w:jc w:val="right"/>
            </w:pPr>
            <w:r>
              <w:rPr>
                <w:rFonts w:ascii="Times New Roman" w:hAnsi="Times New Roman"/>
                <w:sz w:val="16"/>
              </w:rPr>
              <w:t>+562%</w:t>
            </w:r>
          </w:p>
        </w:tc>
      </w:tr>
      <w:tr>
        <w:trPr>
          <w:cantSplit/>
        </w:trPr>
        <w:tc>
          <w:tcPr>
            <w:tcW w:type="dxa" w:w="1774"/>
          </w:tcPr>
          <w:p>
            <w:pPr>
              <w:pStyle w:val="Compact"/>
              <w:spacing w:line="240" w:lineRule="auto" w:before="20" w:after="20"/>
              <w:ind w:firstLine="0"/>
              <w:jc w:val="left"/>
            </w:pPr>
            <w:r>
              <w:rPr>
                <w:rFonts w:ascii="Times New Roman" w:hAnsi="Times New Roman"/>
                <w:sz w:val="16"/>
              </w:rPr>
              <w:t>Matinhos</w:t>
            </w:r>
          </w:p>
        </w:tc>
        <w:tc>
          <w:tcPr>
            <w:tcW w:type="dxa" w:w="1380"/>
          </w:tcPr>
          <w:p>
            <w:pPr>
              <w:pStyle w:val="Compact"/>
              <w:spacing w:line="240" w:lineRule="auto" w:before="20" w:after="20"/>
              <w:ind w:firstLine="0"/>
              <w:jc w:val="right"/>
            </w:pPr>
            <w:r>
              <w:rPr>
                <w:rFonts w:ascii="Times New Roman" w:hAnsi="Times New Roman"/>
                <w:sz w:val="16"/>
              </w:rPr>
              <w:t>38,9</w:t>
            </w:r>
          </w:p>
        </w:tc>
        <w:tc>
          <w:tcPr>
            <w:tcW w:type="dxa" w:w="854"/>
          </w:tcPr>
          <w:p>
            <w:pPr>
              <w:pStyle w:val="Compact"/>
              <w:spacing w:line="240" w:lineRule="auto" w:before="20" w:after="20"/>
              <w:ind w:firstLine="0"/>
              <w:jc w:val="right"/>
            </w:pPr>
            <w:r>
              <w:rPr>
                <w:rFonts w:ascii="Times New Roman" w:hAnsi="Times New Roman"/>
                <w:sz w:val="16"/>
              </w:rPr>
              <w:t>727</w:t>
            </w:r>
          </w:p>
        </w:tc>
        <w:tc>
          <w:tcPr>
            <w:tcW w:type="dxa" w:w="854"/>
          </w:tcPr>
          <w:p>
            <w:pPr>
              <w:pStyle w:val="Compact"/>
              <w:spacing w:line="240" w:lineRule="auto" w:before="20" w:after="20"/>
              <w:ind w:firstLine="0"/>
              <w:jc w:val="right"/>
            </w:pPr>
            <w:r>
              <w:rPr>
                <w:rFonts w:ascii="Times New Roman" w:hAnsi="Times New Roman"/>
                <w:sz w:val="16"/>
              </w:rPr>
              <w:t>792</w:t>
            </w:r>
          </w:p>
        </w:tc>
        <w:tc>
          <w:tcPr>
            <w:tcW w:type="dxa" w:w="854"/>
          </w:tcPr>
          <w:p>
            <w:pPr>
              <w:pStyle w:val="Compact"/>
              <w:spacing w:line="240" w:lineRule="auto" w:before="20" w:after="20"/>
              <w:ind w:firstLine="0"/>
              <w:jc w:val="right"/>
            </w:pPr>
            <w:r>
              <w:rPr>
                <w:rFonts w:ascii="Times New Roman" w:hAnsi="Times New Roman"/>
                <w:sz w:val="16"/>
              </w:rPr>
              <w:t>810</w:t>
            </w:r>
          </w:p>
        </w:tc>
        <w:tc>
          <w:tcPr>
            <w:tcW w:type="dxa" w:w="986"/>
          </w:tcPr>
          <w:p>
            <w:pPr>
              <w:pStyle w:val="Compact"/>
              <w:spacing w:line="240" w:lineRule="auto" w:before="20" w:after="20"/>
              <w:ind w:firstLine="0"/>
              <w:jc w:val="right"/>
            </w:pPr>
            <w:r>
              <w:rPr>
                <w:rFonts w:ascii="Times New Roman" w:hAnsi="Times New Roman"/>
                <w:sz w:val="16"/>
              </w:rPr>
              <w:t>1.886</w:t>
            </w:r>
          </w:p>
        </w:tc>
        <w:tc>
          <w:tcPr>
            <w:tcW w:type="dxa" w:w="986"/>
          </w:tcPr>
          <w:p>
            <w:pPr>
              <w:pStyle w:val="Compact"/>
              <w:spacing w:line="240" w:lineRule="auto" w:before="20" w:after="20"/>
              <w:ind w:firstLine="0"/>
              <w:jc w:val="right"/>
            </w:pPr>
            <w:r>
              <w:rPr>
                <w:rFonts w:ascii="Times New Roman" w:hAnsi="Times New Roman"/>
                <w:sz w:val="16"/>
              </w:rPr>
              <w:t>5.433</w:t>
            </w:r>
          </w:p>
        </w:tc>
        <w:tc>
          <w:tcPr>
            <w:tcW w:type="dxa" w:w="1380"/>
          </w:tcPr>
          <w:p>
            <w:pPr>
              <w:pStyle w:val="Compact"/>
              <w:spacing w:line="240" w:lineRule="auto" w:before="20" w:after="20"/>
              <w:ind w:firstLine="0"/>
              <w:jc w:val="right"/>
            </w:pPr>
            <w:r>
              <w:rPr>
                <w:rFonts w:ascii="Times New Roman" w:hAnsi="Times New Roman"/>
                <w:sz w:val="16"/>
              </w:rPr>
              <w:t>+647%</w:t>
            </w:r>
          </w:p>
        </w:tc>
      </w:tr>
      <w:tr>
        <w:trPr>
          <w:cantSplit/>
        </w:trPr>
        <w:tc>
          <w:tcPr>
            <w:tcW w:type="dxa" w:w="1774"/>
          </w:tcPr>
          <w:p>
            <w:pPr>
              <w:pStyle w:val="Compact"/>
              <w:spacing w:line="240" w:lineRule="auto" w:before="20" w:after="20"/>
              <w:ind w:firstLine="0"/>
              <w:jc w:val="left"/>
            </w:pPr>
            <w:r>
              <w:rPr>
                <w:rFonts w:ascii="Times New Roman" w:hAnsi="Times New Roman"/>
                <w:sz w:val="16"/>
              </w:rPr>
              <w:t xml:space="preserve">Paiçandu</w:t>
            </w:r>
          </w:p>
        </w:tc>
        <w:tc>
          <w:tcPr>
            <w:tcW w:type="dxa" w:w="1380"/>
          </w:tcPr>
          <w:p>
            <w:pPr>
              <w:pStyle w:val="Compact"/>
              <w:spacing w:line="240" w:lineRule="auto" w:before="20" w:after="20"/>
              <w:ind w:firstLine="0"/>
              <w:jc w:val="right"/>
            </w:pPr>
            <w:r>
              <w:rPr>
                <w:rFonts w:ascii="Times New Roman" w:hAnsi="Times New Roman"/>
                <w:sz w:val="16"/>
              </w:rPr>
              <w:t>45,6</w:t>
            </w:r>
          </w:p>
        </w:tc>
        <w:tc>
          <w:tcPr>
            <w:tcW w:type="dxa" w:w="854"/>
          </w:tcPr>
          <w:p>
            <w:pPr>
              <w:pStyle w:val="Compact"/>
              <w:spacing w:line="240" w:lineRule="auto" w:before="20" w:after="20"/>
              <w:ind w:firstLine="0"/>
              <w:jc w:val="right"/>
            </w:pPr>
            <w:r>
              <w:rPr>
                <w:rFonts w:ascii="Times New Roman" w:hAnsi="Times New Roman"/>
                <w:sz w:val="16"/>
              </w:rPr>
              <w:t>616</w:t>
            </w:r>
          </w:p>
        </w:tc>
        <w:tc>
          <w:tcPr>
            <w:tcW w:type="dxa" w:w="854"/>
          </w:tcPr>
          <w:p>
            <w:pPr>
              <w:pStyle w:val="Compact"/>
              <w:spacing w:line="240" w:lineRule="auto" w:before="20" w:after="20"/>
              <w:ind w:firstLine="0"/>
              <w:jc w:val="right"/>
            </w:pPr>
            <w:r>
              <w:rPr>
                <w:rFonts w:ascii="Times New Roman" w:hAnsi="Times New Roman"/>
                <w:sz w:val="16"/>
              </w:rPr>
              <w:t>679</w:t>
            </w:r>
          </w:p>
        </w:tc>
        <w:tc>
          <w:tcPr>
            <w:tcW w:type="dxa" w:w="854"/>
          </w:tcPr>
          <w:p>
            <w:pPr>
              <w:pStyle w:val="Compact"/>
              <w:spacing w:line="240" w:lineRule="auto" w:before="20" w:after="20"/>
              <w:ind w:firstLine="0"/>
              <w:jc w:val="right"/>
            </w:pPr>
            <w:r>
              <w:rPr>
                <w:rFonts w:ascii="Times New Roman" w:hAnsi="Times New Roman"/>
                <w:sz w:val="16"/>
              </w:rPr>
              <w:t>769</w:t>
            </w:r>
          </w:p>
        </w:tc>
        <w:tc>
          <w:tcPr>
            <w:tcW w:type="dxa" w:w="986"/>
          </w:tcPr>
          <w:p>
            <w:pPr>
              <w:pStyle w:val="Compact"/>
              <w:spacing w:line="240" w:lineRule="auto" w:before="20" w:after="20"/>
              <w:ind w:firstLine="0"/>
              <w:jc w:val="right"/>
            </w:pPr>
            <w:r>
              <w:rPr>
                <w:rFonts w:ascii="Times New Roman" w:hAnsi="Times New Roman"/>
                <w:sz w:val="16"/>
              </w:rPr>
              <w:t>1.773</w:t>
            </w:r>
          </w:p>
        </w:tc>
        <w:tc>
          <w:tcPr>
            <w:tcW w:type="dxa" w:w="986"/>
          </w:tcPr>
          <w:p>
            <w:pPr>
              <w:pStyle w:val="Compact"/>
              <w:spacing w:line="240" w:lineRule="auto" w:before="20" w:after="20"/>
              <w:ind w:firstLine="0"/>
              <w:jc w:val="right"/>
            </w:pPr>
            <w:r>
              <w:rPr>
                <w:rFonts w:ascii="Times New Roman" w:hAnsi="Times New Roman"/>
                <w:sz w:val="16"/>
              </w:rPr>
              <w:t>5.074</w:t>
            </w:r>
          </w:p>
        </w:tc>
        <w:tc>
          <w:tcPr>
            <w:tcW w:type="dxa" w:w="1380"/>
          </w:tcPr>
          <w:p>
            <w:pPr>
              <w:pStyle w:val="Compact"/>
              <w:spacing w:line="240" w:lineRule="auto" w:before="20" w:after="20"/>
              <w:ind w:firstLine="0"/>
              <w:jc w:val="right"/>
            </w:pPr>
            <w:r>
              <w:rPr>
                <w:rFonts w:ascii="Times New Roman" w:hAnsi="Times New Roman"/>
                <w:sz w:val="16"/>
              </w:rPr>
              <w:t>+723%</w:t>
            </w:r>
          </w:p>
        </w:tc>
      </w:tr>
      <w:tr>
        <w:trPr>
          <w:cantSplit/>
        </w:trPr>
        <w:tc>
          <w:tcPr>
            <w:tcW w:type="dxa" w:w="1774"/>
          </w:tcPr>
          <w:p>
            <w:pPr>
              <w:pStyle w:val="Compact"/>
              <w:spacing w:line="240" w:lineRule="auto" w:before="20" w:after="20"/>
              <w:ind w:firstLine="0"/>
              <w:jc w:val="left"/>
            </w:pPr>
            <w:r>
              <w:rPr>
                <w:rFonts w:ascii="Times New Roman" w:hAnsi="Times New Roman"/>
                <w:sz w:val="16"/>
              </w:rPr>
              <w:t>Itaperuçu</w:t>
            </w:r>
          </w:p>
        </w:tc>
        <w:tc>
          <w:tcPr>
            <w:tcW w:type="dxa" w:w="1380"/>
          </w:tcPr>
          <w:p>
            <w:pPr>
              <w:pStyle w:val="Compact"/>
              <w:spacing w:line="240" w:lineRule="auto" w:before="20" w:after="20"/>
              <w:ind w:firstLine="0"/>
              <w:jc w:val="right"/>
            </w:pPr>
            <w:r>
              <w:rPr>
                <w:rFonts w:ascii="Times New Roman" w:hAnsi="Times New Roman"/>
                <w:sz w:val="16"/>
              </w:rPr>
              <w:t>31,3</w:t>
            </w:r>
          </w:p>
        </w:tc>
        <w:tc>
          <w:tcPr>
            <w:tcW w:type="dxa" w:w="854"/>
          </w:tcPr>
          <w:p>
            <w:pPr>
              <w:pStyle w:val="Compact"/>
              <w:spacing w:line="240" w:lineRule="auto" w:before="20" w:after="20"/>
              <w:ind w:firstLine="0"/>
              <w:jc w:val="right"/>
            </w:pPr>
            <w:r>
              <w:rPr>
                <w:rFonts w:ascii="Times New Roman" w:hAnsi="Times New Roman"/>
                <w:sz w:val="16"/>
              </w:rPr>
              <w:t>593</w:t>
            </w:r>
          </w:p>
        </w:tc>
        <w:tc>
          <w:tcPr>
            <w:tcW w:type="dxa" w:w="854"/>
          </w:tcPr>
          <w:p>
            <w:pPr>
              <w:pStyle w:val="Compact"/>
              <w:spacing w:line="240" w:lineRule="auto" w:before="20" w:after="20"/>
              <w:ind w:firstLine="0"/>
              <w:jc w:val="right"/>
            </w:pPr>
            <w:r>
              <w:rPr>
                <w:rFonts w:ascii="Times New Roman" w:hAnsi="Times New Roman"/>
                <w:sz w:val="16"/>
              </w:rPr>
              <w:t>654</w:t>
            </w:r>
          </w:p>
        </w:tc>
        <w:tc>
          <w:tcPr>
            <w:tcW w:type="dxa" w:w="854"/>
          </w:tcPr>
          <w:p>
            <w:pPr>
              <w:pStyle w:val="Compact"/>
              <w:spacing w:line="240" w:lineRule="auto" w:before="20" w:after="20"/>
              <w:ind w:firstLine="0"/>
              <w:jc w:val="right"/>
            </w:pPr>
            <w:r>
              <w:rPr>
                <w:rFonts w:ascii="Times New Roman" w:hAnsi="Times New Roman"/>
                <w:sz w:val="16"/>
              </w:rPr>
              <w:t>735</w:t>
            </w:r>
          </w:p>
        </w:tc>
        <w:tc>
          <w:tcPr>
            <w:tcW w:type="dxa" w:w="986"/>
          </w:tcPr>
          <w:p>
            <w:pPr>
              <w:pStyle w:val="Compact"/>
              <w:spacing w:line="240" w:lineRule="auto" w:before="20" w:after="20"/>
              <w:ind w:firstLine="0"/>
              <w:jc w:val="right"/>
            </w:pPr>
            <w:r>
              <w:rPr>
                <w:rFonts w:ascii="Times New Roman" w:hAnsi="Times New Roman"/>
                <w:sz w:val="16"/>
              </w:rPr>
              <w:t>1.767</w:t>
            </w:r>
          </w:p>
        </w:tc>
        <w:tc>
          <w:tcPr>
            <w:tcW w:type="dxa" w:w="986"/>
          </w:tcPr>
          <w:p>
            <w:pPr>
              <w:pStyle w:val="Compact"/>
              <w:spacing w:line="240" w:lineRule="auto" w:before="20" w:after="20"/>
              <w:ind w:firstLine="0"/>
              <w:jc w:val="right"/>
            </w:pPr>
            <w:r>
              <w:rPr>
                <w:rFonts w:ascii="Times New Roman" w:hAnsi="Times New Roman"/>
                <w:sz w:val="16"/>
              </w:rPr>
              <w:t>5.189</w:t>
            </w:r>
          </w:p>
        </w:tc>
        <w:tc>
          <w:tcPr>
            <w:tcW w:type="dxa" w:w="1380"/>
          </w:tcPr>
          <w:p>
            <w:pPr>
              <w:pStyle w:val="Compact"/>
              <w:spacing w:line="240" w:lineRule="auto" w:before="20" w:after="20"/>
              <w:ind w:firstLine="0"/>
              <w:jc w:val="right"/>
            </w:pPr>
            <w:r>
              <w:rPr>
                <w:rFonts w:ascii="Times New Roman" w:hAnsi="Times New Roman"/>
                <w:sz w:val="16"/>
              </w:rPr>
              <w:t>+776%</w:t>
            </w:r>
          </w:p>
        </w:tc>
      </w:tr>
      <w:tr>
        <w:trPr>
          <w:cantSplit/>
        </w:trPr>
        <w:tc>
          <w:tcPr>
            <w:tcW w:type="dxa" w:w="1774"/>
          </w:tcPr>
          <w:p>
            <w:pPr>
              <w:pStyle w:val="Compact"/>
              <w:spacing w:line="240" w:lineRule="auto" w:before="20" w:after="20"/>
              <w:ind w:firstLine="0"/>
              <w:jc w:val="left"/>
            </w:pPr>
            <w:r>
              <w:rPr>
                <w:rFonts w:ascii="Times New Roman" w:hAnsi="Times New Roman"/>
                <w:sz w:val="16"/>
              </w:rPr>
              <w:t>Pontal do Paraná</w:t>
            </w:r>
          </w:p>
        </w:tc>
        <w:tc>
          <w:tcPr>
            <w:tcW w:type="dxa" w:w="1380"/>
          </w:tcPr>
          <w:p>
            <w:pPr>
              <w:pStyle w:val="Compact"/>
              <w:spacing w:line="240" w:lineRule="auto" w:before="20" w:after="20"/>
              <w:ind w:firstLine="0"/>
              <w:jc w:val="right"/>
            </w:pPr>
            <w:r>
              <w:rPr>
                <w:rFonts w:ascii="Times New Roman" w:hAnsi="Times New Roman"/>
                <w:sz w:val="16"/>
              </w:rPr>
              <w:t>30,6</w:t>
            </w:r>
          </w:p>
        </w:tc>
        <w:tc>
          <w:tcPr>
            <w:tcW w:type="dxa" w:w="854"/>
          </w:tcPr>
          <w:p>
            <w:pPr>
              <w:pStyle w:val="Compact"/>
              <w:spacing w:line="240" w:lineRule="auto" w:before="20" w:after="20"/>
              <w:ind w:firstLine="0"/>
              <w:jc w:val="right"/>
            </w:pPr>
            <w:r>
              <w:rPr>
                <w:rFonts w:ascii="Times New Roman" w:hAnsi="Times New Roman"/>
                <w:sz w:val="16"/>
              </w:rPr>
              <w:t>591</w:t>
            </w:r>
          </w:p>
        </w:tc>
        <w:tc>
          <w:tcPr>
            <w:tcW w:type="dxa" w:w="854"/>
          </w:tcPr>
          <w:p>
            <w:pPr>
              <w:pStyle w:val="Compact"/>
              <w:spacing w:line="240" w:lineRule="auto" w:before="20" w:after="20"/>
              <w:ind w:firstLine="0"/>
              <w:jc w:val="right"/>
            </w:pPr>
            <w:r>
              <w:rPr>
                <w:rFonts w:ascii="Times New Roman" w:hAnsi="Times New Roman"/>
                <w:sz w:val="16"/>
              </w:rPr>
              <w:t>713</w:t>
            </w:r>
          </w:p>
        </w:tc>
        <w:tc>
          <w:tcPr>
            <w:tcW w:type="dxa" w:w="854"/>
          </w:tcPr>
          <w:p>
            <w:pPr>
              <w:pStyle w:val="Compact"/>
              <w:spacing w:line="240" w:lineRule="auto" w:before="20" w:after="20"/>
              <w:ind w:firstLine="0"/>
              <w:jc w:val="right"/>
            </w:pPr>
            <w:r>
              <w:rPr>
                <w:rFonts w:ascii="Times New Roman" w:hAnsi="Times New Roman"/>
                <w:sz w:val="16"/>
              </w:rPr>
              <w:t>1.465</w:t>
            </w:r>
          </w:p>
        </w:tc>
        <w:tc>
          <w:tcPr>
            <w:tcW w:type="dxa" w:w="986"/>
          </w:tcPr>
          <w:p>
            <w:pPr>
              <w:pStyle w:val="Compact"/>
              <w:spacing w:line="240" w:lineRule="auto" w:before="20" w:after="20"/>
              <w:ind w:firstLine="0"/>
              <w:jc w:val="right"/>
            </w:pPr>
            <w:r>
              <w:rPr>
                <w:rFonts w:ascii="Times New Roman" w:hAnsi="Times New Roman"/>
                <w:sz w:val="16"/>
              </w:rPr>
              <w:t>2.523</w:t>
            </w:r>
          </w:p>
        </w:tc>
        <w:tc>
          <w:tcPr>
            <w:tcW w:type="dxa" w:w="986"/>
          </w:tcPr>
          <w:p>
            <w:pPr>
              <w:pStyle w:val="Compact"/>
              <w:spacing w:line="240" w:lineRule="auto" w:before="20" w:after="20"/>
              <w:ind w:firstLine="0"/>
              <w:jc w:val="right"/>
            </w:pPr>
            <w:r>
              <w:rPr>
                <w:rFonts w:ascii="Times New Roman" w:hAnsi="Times New Roman"/>
                <w:sz w:val="16"/>
              </w:rPr>
              <w:t>5.691</w:t>
            </w:r>
          </w:p>
        </w:tc>
        <w:tc>
          <w:tcPr>
            <w:tcW w:type="dxa" w:w="1380"/>
          </w:tcPr>
          <w:p>
            <w:pPr>
              <w:pStyle w:val="Compact"/>
              <w:spacing w:line="240" w:lineRule="auto" w:before="20" w:after="20"/>
              <w:ind w:firstLine="0"/>
              <w:jc w:val="right"/>
            </w:pPr>
            <w:r>
              <w:rPr>
                <w:rFonts w:ascii="Times New Roman" w:hAnsi="Times New Roman"/>
                <w:sz w:val="16"/>
              </w:rPr>
              <w:t>+862%</w:t>
            </w:r>
          </w:p>
        </w:tc>
      </w:tr>
      <w:tr>
        <w:trPr>
          <w:cantSplit/>
        </w:trPr>
        <w:tc>
          <w:tcPr>
            <w:tcW w:type="dxa" w:w="1774"/>
          </w:tcPr>
          <w:p>
            <w:pPr>
              <w:pStyle w:val="Compact"/>
              <w:spacing w:line="240" w:lineRule="auto" w:before="20" w:after="20"/>
              <w:ind w:firstLine="0"/>
              <w:jc w:val="left"/>
            </w:pPr>
            <w:r>
              <w:rPr>
                <w:rFonts w:ascii="Times New Roman" w:hAnsi="Times New Roman"/>
                <w:sz w:val="16"/>
              </w:rPr>
              <w:t xml:space="preserve">Almirante Tamandaré</w:t>
            </w:r>
          </w:p>
        </w:tc>
        <w:tc>
          <w:tcPr>
            <w:tcW w:type="dxa" w:w="1380"/>
          </w:tcPr>
          <w:p>
            <w:pPr>
              <w:pStyle w:val="Compact"/>
              <w:spacing w:line="240" w:lineRule="auto" w:before="20" w:after="20"/>
              <w:ind w:firstLine="0"/>
              <w:jc w:val="right"/>
            </w:pPr>
            <w:r>
              <w:rPr>
                <w:rFonts w:ascii="Times New Roman" w:hAnsi="Times New Roman"/>
                <w:sz w:val="16"/>
              </w:rPr>
              <w:t>122,5</w:t>
            </w:r>
          </w:p>
        </w:tc>
        <w:tc>
          <w:tcPr>
            <w:tcW w:type="dxa" w:w="854"/>
          </w:tcPr>
          <w:p>
            <w:pPr>
              <w:pStyle w:val="Compact"/>
              <w:spacing w:line="240" w:lineRule="auto" w:before="20" w:after="20"/>
              <w:ind w:firstLine="0"/>
              <w:jc w:val="right"/>
            </w:pPr>
            <w:r>
              <w:rPr>
                <w:rFonts w:ascii="Times New Roman" w:hAnsi="Times New Roman"/>
                <w:sz w:val="16"/>
              </w:rPr>
              <w:t>569</w:t>
            </w:r>
          </w:p>
        </w:tc>
        <w:tc>
          <w:tcPr>
            <w:tcW w:type="dxa" w:w="854"/>
          </w:tcPr>
          <w:p>
            <w:pPr>
              <w:pStyle w:val="Compact"/>
              <w:spacing w:line="240" w:lineRule="auto" w:before="20" w:after="20"/>
              <w:ind w:firstLine="0"/>
              <w:jc w:val="right"/>
            </w:pPr>
            <w:r>
              <w:rPr>
                <w:rFonts w:ascii="Times New Roman" w:hAnsi="Times New Roman"/>
                <w:sz w:val="16"/>
              </w:rPr>
              <w:t>631</w:t>
            </w:r>
          </w:p>
        </w:tc>
        <w:tc>
          <w:tcPr>
            <w:tcW w:type="dxa" w:w="854"/>
          </w:tcPr>
          <w:p>
            <w:pPr>
              <w:pStyle w:val="Compact"/>
              <w:spacing w:line="240" w:lineRule="auto" w:before="20" w:after="20"/>
              <w:ind w:firstLine="0"/>
              <w:jc w:val="right"/>
            </w:pPr>
            <w:r>
              <w:rPr>
                <w:rFonts w:ascii="Times New Roman" w:hAnsi="Times New Roman"/>
                <w:sz w:val="16"/>
              </w:rPr>
              <w:t>741</w:t>
            </w:r>
          </w:p>
        </w:tc>
        <w:tc>
          <w:tcPr>
            <w:tcW w:type="dxa" w:w="986"/>
          </w:tcPr>
          <w:p>
            <w:pPr>
              <w:pStyle w:val="Compact"/>
              <w:spacing w:line="240" w:lineRule="auto" w:before="20" w:after="20"/>
              <w:ind w:firstLine="0"/>
              <w:jc w:val="right"/>
            </w:pPr>
            <w:r>
              <w:rPr>
                <w:rFonts w:ascii="Times New Roman" w:hAnsi="Times New Roman"/>
                <w:sz w:val="16"/>
              </w:rPr>
              <w:t>1.728</w:t>
            </w:r>
          </w:p>
        </w:tc>
        <w:tc>
          <w:tcPr>
            <w:tcW w:type="dxa" w:w="986"/>
          </w:tcPr>
          <w:p>
            <w:pPr>
              <w:pStyle w:val="Compact"/>
              <w:spacing w:line="240" w:lineRule="auto" w:before="20" w:after="20"/>
              <w:ind w:firstLine="0"/>
              <w:jc w:val="right"/>
            </w:pPr>
            <w:r>
              <w:rPr>
                <w:rFonts w:ascii="Times New Roman" w:hAnsi="Times New Roman"/>
                <w:sz w:val="16"/>
              </w:rPr>
              <w:t>4.980</w:t>
            </w:r>
          </w:p>
        </w:tc>
        <w:tc>
          <w:tcPr>
            <w:tcW w:type="dxa" w:w="1380"/>
          </w:tcPr>
          <w:p>
            <w:pPr>
              <w:pStyle w:val="Compact"/>
              <w:spacing w:line="240" w:lineRule="auto" w:before="20" w:after="20"/>
              <w:ind w:firstLine="0"/>
              <w:jc w:val="right"/>
            </w:pPr>
            <w:r>
              <w:rPr>
                <w:rFonts w:ascii="Times New Roman" w:hAnsi="Times New Roman"/>
                <w:sz w:val="16"/>
              </w:rPr>
              <w:t>+775%</w:t>
            </w:r>
          </w:p>
        </w:tc>
      </w:tr>
      <w:tr>
        <w:trPr>
          <w:cantSplit/>
        </w:trPr>
        <w:tc>
          <w:tcPr>
            <w:tcW w:type="dxa" w:w="1774"/>
          </w:tcPr>
          <w:p>
            <w:pPr>
              <w:pStyle w:val="Compact"/>
              <w:spacing w:line="240" w:lineRule="auto" w:before="20" w:after="20"/>
              <w:ind w:firstLine="0"/>
              <w:jc w:val="left"/>
            </w:pPr>
            <w:r>
              <w:rPr>
                <w:rFonts w:ascii="Times New Roman" w:hAnsi="Times New Roman"/>
                <w:sz w:val="16"/>
              </w:rPr>
              <w:t xml:space="preserve">Sarandi</w:t>
            </w:r>
          </w:p>
        </w:tc>
        <w:tc>
          <w:tcPr>
            <w:tcW w:type="dxa" w:w="1380"/>
          </w:tcPr>
          <w:p>
            <w:pPr>
              <w:pStyle w:val="Compact"/>
              <w:spacing w:line="240" w:lineRule="auto" w:before="20" w:after="20"/>
              <w:ind w:firstLine="0"/>
              <w:jc w:val="right"/>
            </w:pPr>
            <w:r>
              <w:rPr>
                <w:rFonts w:ascii="Times New Roman" w:hAnsi="Times New Roman"/>
                <w:sz w:val="16"/>
              </w:rPr>
              <w:t>114,8</w:t>
            </w:r>
          </w:p>
        </w:tc>
        <w:tc>
          <w:tcPr>
            <w:tcW w:type="dxa" w:w="854"/>
          </w:tcPr>
          <w:p>
            <w:pPr>
              <w:pStyle w:val="Compact"/>
              <w:spacing w:line="240" w:lineRule="auto" w:before="20" w:after="20"/>
              <w:ind w:firstLine="0"/>
              <w:jc w:val="right"/>
            </w:pPr>
            <w:r>
              <w:rPr>
                <w:rFonts w:ascii="Times New Roman" w:hAnsi="Times New Roman"/>
                <w:sz w:val="16"/>
              </w:rPr>
              <w:t>473</w:t>
            </w:r>
          </w:p>
        </w:tc>
        <w:tc>
          <w:tcPr>
            <w:tcW w:type="dxa" w:w="854"/>
          </w:tcPr>
          <w:p>
            <w:pPr>
              <w:pStyle w:val="Compact"/>
              <w:spacing w:line="240" w:lineRule="auto" w:before="20" w:after="20"/>
              <w:ind w:firstLine="0"/>
              <w:jc w:val="right"/>
            </w:pPr>
            <w:r>
              <w:rPr>
                <w:rFonts w:ascii="Times New Roman" w:hAnsi="Times New Roman"/>
                <w:sz w:val="16"/>
              </w:rPr>
              <w:t>527</w:t>
            </w:r>
          </w:p>
        </w:tc>
        <w:tc>
          <w:tcPr>
            <w:tcW w:type="dxa" w:w="854"/>
          </w:tcPr>
          <w:p>
            <w:pPr>
              <w:pStyle w:val="Compact"/>
              <w:spacing w:line="240" w:lineRule="auto" w:before="20" w:after="20"/>
              <w:ind w:firstLine="0"/>
              <w:jc w:val="right"/>
            </w:pPr>
            <w:r>
              <w:rPr>
                <w:rFonts w:ascii="Times New Roman" w:hAnsi="Times New Roman"/>
                <w:sz w:val="16"/>
              </w:rPr>
              <w:t>624</w:t>
            </w:r>
          </w:p>
        </w:tc>
        <w:tc>
          <w:tcPr>
            <w:tcW w:type="dxa" w:w="986"/>
          </w:tcPr>
          <w:p>
            <w:pPr>
              <w:pStyle w:val="Compact"/>
              <w:spacing w:line="240" w:lineRule="auto" w:before="20" w:after="20"/>
              <w:ind w:firstLine="0"/>
              <w:jc w:val="right"/>
            </w:pPr>
            <w:r>
              <w:rPr>
                <w:rFonts w:ascii="Times New Roman" w:hAnsi="Times New Roman"/>
                <w:sz w:val="16"/>
              </w:rPr>
              <w:t>1.593</w:t>
            </w:r>
          </w:p>
        </w:tc>
        <w:tc>
          <w:tcPr>
            <w:tcW w:type="dxa" w:w="986"/>
          </w:tcPr>
          <w:p>
            <w:pPr>
              <w:pStyle w:val="Compact"/>
              <w:spacing w:line="240" w:lineRule="auto" w:before="20" w:after="20"/>
              <w:ind w:firstLine="0"/>
              <w:jc w:val="right"/>
            </w:pPr>
            <w:r>
              <w:rPr>
                <w:rFonts w:ascii="Times New Roman" w:hAnsi="Times New Roman"/>
                <w:sz w:val="16"/>
              </w:rPr>
              <w:t>4.836</w:t>
            </w:r>
          </w:p>
        </w:tc>
        <w:tc>
          <w:tcPr>
            <w:tcW w:type="dxa" w:w="1380"/>
          </w:tcPr>
          <w:p>
            <w:pPr>
              <w:pStyle w:val="Compact"/>
              <w:spacing w:line="240" w:lineRule="auto" w:before="20" w:after="20"/>
              <w:ind w:firstLine="0"/>
              <w:jc w:val="right"/>
            </w:pPr>
            <w:r>
              <w:rPr>
                <w:rFonts w:ascii="Times New Roman" w:hAnsi="Times New Roman"/>
                <w:sz w:val="16"/>
              </w:rPr>
              <w:t>+923%</w:t>
            </w:r>
          </w:p>
        </w:tc>
      </w:tr>
      <w:tr>
        <w:trPr>
          <w:cantSplit/>
        </w:trPr>
        <w:tc>
          <w:tcPr>
            <w:tcW w:type="dxa" w:w="1774"/>
            <w:shd w:val="clear" w:color="auto" w:fill="E7E6E6"/>
          </w:tcPr>
          <w:p>
            <w:pPr>
              <w:pStyle w:val="Compact"/>
              <w:spacing w:line="240" w:lineRule="auto" w:before="20" w:after="20"/>
              <w:ind w:firstLine="0"/>
              <w:jc w:val="left"/>
            </w:pPr>
            <w:r>
              <w:rPr>
                <w:rFonts w:ascii="Times New Roman" w:hAnsi="Times New Roman"/>
                <w:sz w:val="16"/>
              </w:rPr>
              <w:t>Razão máx./mín. – 399 municípios</w:t>
            </w:r>
            <w:r>
              <w:rPr>
                <w:rFonts w:ascii="Times New Roman" w:hAnsi="Times New Roman"/>
                <w:b/>
                <w:bCs/>
                <w:sz w:val="16"/>
              </w:rPr>
            </w:r>
          </w:p>
        </w:tc>
        <w:tc>
          <w:tcPr>
            <w:tcW w:type="dxa" w:w="1380"/>
            <w:shd w:val="clear" w:color="auto" w:fill="E7E6E6"/>
          </w:tcPr>
          <w:p>
            <w:pPr>
              <w:pStyle w:val="Compact"/>
              <w:spacing w:line="240" w:lineRule="auto" w:before="20" w:after="20"/>
              <w:ind w:firstLine="0"/>
            </w:pPr>
          </w:p>
        </w:tc>
        <w:tc>
          <w:tcPr>
            <w:tcW w:type="dxa" w:w="854"/>
            <w:shd w:val="clear" w:color="auto" w:fill="E7E6E6"/>
          </w:tcPr>
          <w:p>
            <w:pPr>
              <w:pStyle w:val="Compact"/>
              <w:spacing w:line="240" w:lineRule="auto" w:before="20" w:after="20"/>
              <w:ind w:firstLine="0"/>
              <w:jc w:val="right"/>
            </w:pPr>
            <w:r>
              <w:rPr>
                <w:rFonts w:ascii="Times New Roman" w:hAnsi="Times New Roman"/>
                <w:b/>
                <w:bCs/>
                <w:sz w:val="16"/>
              </w:rPr>
              <w:t>14,6</w:t>
            </w:r>
          </w:p>
        </w:tc>
        <w:tc>
          <w:tcPr>
            <w:tcW w:type="dxa" w:w="854"/>
            <w:shd w:val="clear" w:color="auto" w:fill="E7E6E6"/>
          </w:tcPr>
          <w:p>
            <w:pPr>
              <w:pStyle w:val="Compact"/>
              <w:spacing w:line="240" w:lineRule="auto" w:before="20" w:after="20"/>
              <w:ind w:firstLine="0"/>
              <w:jc w:val="right"/>
            </w:pPr>
            <w:r>
              <w:rPr>
                <w:rFonts w:ascii="Times New Roman" w:hAnsi="Times New Roman"/>
                <w:b/>
                <w:bCs/>
                <w:sz w:val="16"/>
              </w:rPr>
              <w:t>13,8</w:t>
            </w:r>
          </w:p>
        </w:tc>
        <w:tc>
          <w:tcPr>
            <w:tcW w:type="dxa" w:w="854"/>
            <w:shd w:val="clear" w:color="auto" w:fill="E7E6E6"/>
          </w:tcPr>
          <w:p>
            <w:pPr>
              <w:pStyle w:val="Compact"/>
              <w:spacing w:line="240" w:lineRule="auto" w:before="20" w:after="20"/>
              <w:ind w:firstLine="0"/>
              <w:jc w:val="right"/>
            </w:pPr>
            <w:r>
              <w:rPr>
                <w:rFonts w:ascii="Times New Roman" w:hAnsi="Times New Roman"/>
                <w:b/>
                <w:bCs/>
                <w:sz w:val="16"/>
              </w:rPr>
              <w:t>13,2</w:t>
            </w:r>
          </w:p>
        </w:tc>
        <w:tc>
          <w:tcPr>
            <w:tcW w:type="dxa" w:w="986"/>
            <w:shd w:val="clear" w:color="auto" w:fill="E7E6E6"/>
          </w:tcPr>
          <w:p>
            <w:pPr>
              <w:pStyle w:val="Compact"/>
              <w:spacing w:line="240" w:lineRule="auto" w:before="20" w:after="20"/>
              <w:ind w:firstLine="0"/>
              <w:jc w:val="right"/>
            </w:pPr>
            <w:r>
              <w:rPr>
                <w:rFonts w:ascii="Times New Roman" w:hAnsi="Times New Roman"/>
                <w:b/>
                <w:bCs/>
                <w:sz w:val="16"/>
              </w:rPr>
              <w:t>7,7</w:t>
            </w:r>
          </w:p>
        </w:tc>
        <w:tc>
          <w:tcPr>
            <w:tcW w:type="dxa" w:w="986"/>
            <w:shd w:val="clear" w:color="auto" w:fill="E7E6E6"/>
          </w:tcPr>
          <w:p>
            <w:pPr>
              <w:pStyle w:val="Compact"/>
              <w:spacing w:line="240" w:lineRule="auto" w:before="20" w:after="20"/>
              <w:ind w:firstLine="0"/>
              <w:jc w:val="right"/>
            </w:pPr>
            <w:r>
              <w:rPr>
                <w:rFonts w:ascii="Times New Roman" w:hAnsi="Times New Roman"/>
                <w:b/>
                <w:bCs/>
                <w:sz w:val="16"/>
              </w:rPr>
              <w:t>4,6</w:t>
            </w:r>
          </w:p>
        </w:tc>
        <w:tc>
          <w:tcPr>
            <w:tcW w:type="dxa" w:w="1380"/>
            <w:shd w:val="clear" w:color="auto" w:fill="E7E6E6"/>
          </w:tcPr>
          <w:p>
            <w:pPr>
              <w:pStyle w:val="Compact"/>
              <w:spacing w:line="240" w:lineRule="auto" w:before="20" w:after="20"/>
              <w:ind w:firstLine="0"/>
            </w:pPr>
          </w:p>
        </w:tc>
      </w:tr>
      <w:tr>
        <w:trPr>
          <w:cantSplit/>
        </w:trPr>
        <w:tc>
          <w:tcPr>
            <w:tcW w:type="dxa" w:w="1774"/>
            <w:shd w:val="clear" w:color="auto" w:fill="E7E6E6"/>
          </w:tcPr>
          <w:p>
            <w:pPr>
              <w:pStyle w:val="Compact"/>
              <w:spacing w:line="240" w:lineRule="auto" w:before="20" w:after="20"/>
              <w:ind w:firstLine="0"/>
              <w:jc w:val="left"/>
            </w:pPr>
            <w:r>
              <w:rPr>
                <w:rFonts w:ascii="Times New Roman" w:hAnsi="Times New Roman"/>
                <w:sz w:val="16"/>
              </w:rPr>
              <w:t>Índice de Gini – 399 municípios</w:t>
            </w:r>
            <w:r>
              <w:rPr>
                <w:rFonts w:ascii="Times New Roman" w:hAnsi="Times New Roman"/>
                <w:b/>
                <w:bCs/>
                <w:sz w:val="16"/>
              </w:rPr>
            </w:r>
          </w:p>
        </w:tc>
        <w:tc>
          <w:tcPr>
            <w:tcW w:type="dxa" w:w="1380"/>
            <w:shd w:val="clear" w:color="auto" w:fill="E7E6E6"/>
          </w:tcPr>
          <w:p>
            <w:pPr>
              <w:pStyle w:val="Compact"/>
              <w:spacing w:line="240" w:lineRule="auto" w:before="20" w:after="20"/>
              <w:ind w:firstLine="0"/>
            </w:pPr>
          </w:p>
        </w:tc>
        <w:tc>
          <w:tcPr>
            <w:tcW w:type="dxa" w:w="854"/>
            <w:shd w:val="clear" w:color="auto" w:fill="E7E6E6"/>
          </w:tcPr>
          <w:p>
            <w:pPr>
              <w:pStyle w:val="Compact"/>
              <w:spacing w:line="240" w:lineRule="auto" w:before="20" w:after="20"/>
              <w:ind w:firstLine="0"/>
              <w:jc w:val="right"/>
            </w:pPr>
            <w:r>
              <w:rPr>
                <w:rFonts w:ascii="Times New Roman" w:hAnsi="Times New Roman"/>
                <w:b/>
                <w:bCs/>
                <w:sz w:val="16"/>
              </w:rPr>
              <w:t>0,232</w:t>
            </w:r>
          </w:p>
        </w:tc>
        <w:tc>
          <w:tcPr>
            <w:tcW w:type="dxa" w:w="854"/>
            <w:shd w:val="clear" w:color="auto" w:fill="E7E6E6"/>
          </w:tcPr>
          <w:p>
            <w:pPr>
              <w:pStyle w:val="Compact"/>
              <w:spacing w:line="240" w:lineRule="auto" w:before="20" w:after="20"/>
              <w:ind w:firstLine="0"/>
              <w:jc w:val="right"/>
            </w:pPr>
            <w:r>
              <w:rPr>
                <w:rFonts w:ascii="Times New Roman" w:hAnsi="Times New Roman"/>
                <w:b/>
                <w:bCs/>
                <w:sz w:val="16"/>
              </w:rPr>
              <w:t>0,229</w:t>
            </w:r>
          </w:p>
        </w:tc>
        <w:tc>
          <w:tcPr>
            <w:tcW w:type="dxa" w:w="854"/>
            <w:shd w:val="clear" w:color="auto" w:fill="E7E6E6"/>
          </w:tcPr>
          <w:p>
            <w:pPr>
              <w:pStyle w:val="Compact"/>
              <w:spacing w:line="240" w:lineRule="auto" w:before="20" w:after="20"/>
              <w:ind w:firstLine="0"/>
              <w:jc w:val="right"/>
            </w:pPr>
            <w:r>
              <w:rPr>
                <w:rFonts w:ascii="Times New Roman" w:hAnsi="Times New Roman"/>
                <w:b/>
                <w:bCs/>
                <w:sz w:val="16"/>
              </w:rPr>
              <w:t>0,222</w:t>
            </w:r>
          </w:p>
        </w:tc>
        <w:tc>
          <w:tcPr>
            <w:tcW w:type="dxa" w:w="986"/>
            <w:shd w:val="clear" w:color="auto" w:fill="E7E6E6"/>
          </w:tcPr>
          <w:p>
            <w:pPr>
              <w:pStyle w:val="Compact"/>
              <w:spacing w:line="240" w:lineRule="auto" w:before="20" w:after="20"/>
              <w:ind w:firstLine="0"/>
              <w:jc w:val="right"/>
            </w:pPr>
            <w:r>
              <w:rPr>
                <w:rFonts w:ascii="Times New Roman" w:hAnsi="Times New Roman"/>
                <w:b/>
                <w:bCs/>
                <w:sz w:val="16"/>
              </w:rPr>
              <w:t>0,167</w:t>
            </w:r>
          </w:p>
        </w:tc>
        <w:tc>
          <w:tcPr>
            <w:tcW w:type="dxa" w:w="986"/>
            <w:shd w:val="clear" w:color="auto" w:fill="E7E6E6"/>
          </w:tcPr>
          <w:p>
            <w:pPr>
              <w:pStyle w:val="Compact"/>
              <w:spacing w:line="240" w:lineRule="auto" w:before="20" w:after="20"/>
              <w:ind w:firstLine="0"/>
              <w:jc w:val="right"/>
            </w:pPr>
            <w:r>
              <w:rPr>
                <w:rFonts w:ascii="Times New Roman" w:hAnsi="Times New Roman"/>
                <w:b/>
                <w:bCs/>
                <w:sz w:val="16"/>
              </w:rPr>
              <w:t>0,112</w:t>
            </w:r>
          </w:p>
        </w:tc>
        <w:tc>
          <w:tcPr>
            <w:tcW w:type="dxa" w:w="1380"/>
            <w:shd w:val="clear" w:color="auto" w:fill="E7E6E6"/>
          </w:tcPr>
          <w:p>
            <w:pPr>
              <w:pStyle w:val="Compact"/>
              <w:spacing w:line="240" w:lineRule="auto" w:before="20" w:after="20"/>
              <w:ind w:firstLine="0"/>
            </w:pPr>
          </w:p>
        </w:tc>
      </w:tr>
    </w:tbl>
    <w:bookmarkEnd w:id="78"/>
    <w:p>
      <w:pPr>
        <w:pStyle w:val="BodyText"/>
        <w:spacing w:line="240" w:lineRule="auto" w:before="40" w:after="0"/>
        <w:ind w:firstLine="0"/>
        <w:jc w:val="both"/>
      </w:pPr>
      <w:r>
        <w:rPr>
          <w:rFonts w:ascii="Times New Roman" w:hAnsi="Times New Roman"/>
          <w:i/>
          <w:iCs/>
          <w:sz w:val="18"/>
        </w:rPr>
        <w:t>Nota: Receita per capita em R$ de 2025, reunindo o ICMS ou ISS remanescente, o IBS pelo componente histórico e pelo destino, o Seguro-Receita e a dedução do CGIBS, com população média fixa em todo o período. A razão máx./mín. e o índice de Gini referem-se aos 399 municípios; excluídos os 31 com ISS incompleto, os resultados mudam pouco (razão de 13,5 para 4,6; Gini de 0,228 para 0,111). Mato Rico, com pendência de validação do ISS, aparece entre os maiores valores de 2025.</w:t>
      </w:r>
      <w:r>
        <w:rPr>
          <w:rFonts w:ascii="Times New Roman" w:hAnsi="Times New Roman"/>
          <w:sz w:val="18"/>
        </w:rPr>
      </w:r>
      <w:r>
        <w:rPr>
          <w:rFonts w:ascii="Times New Roman" w:hAnsi="Times New Roman"/>
          <w:sz w:val="18"/>
        </w:rPr>
      </w:r>
    </w:p>
    <w:p>
      <w:pPr>
        <w:pStyle w:val="BodyText"/>
        <w:spacing w:line="240" w:lineRule="auto" w:before="40" w:after="200"/>
        <w:ind w:firstLine="0"/>
        <w:jc w:val="both"/>
      </w:pPr>
      <w:r>
        <w:rPr>
          <w:rFonts w:ascii="Times New Roman" w:hAnsi="Times New Roman"/>
          <w:i/>
          <w:iCs/>
          <w:sz w:val="18"/>
        </w:rPr>
        <w:t xml:space="preserve">Fonte:</w:t>
      </w:r>
      <w:r>
        <w:rPr>
          <w:rFonts w:ascii="Times New Roman" w:hAnsi="Times New Roman"/>
          <w:sz w:val="18"/>
        </w:rPr>
        <w:t xml:space="preserve"> </w:t>
      </w:r>
      <w:r>
        <w:rPr>
          <w:rFonts w:ascii="Times New Roman" w:hAnsi="Times New Roman"/>
          <w:sz w:val="18"/>
        </w:rPr>
        <w:t xml:space="preserve">Elaboração própria, a partir da base consolidada e auditada de projeções.</w:t>
      </w:r>
    </w:p>
    <w:bookmarkEnd w:id="79"/>
    <w:sectPr>
      <w:footerReference w:type="default" r:id="rId10"/>
      <w:footnotePr>
        <w:numRestart w:val="eachSect"/>
      </w:footnotePr>
      <w:pgSz w:w="11906" w:h="16838"/>
      <w:pgMar w:top="1701" w:left="1701" w:bottom="1134" w:right="113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20" w:before="0" w:line="276" w:lineRule="auto"/>
      <w:ind w:firstLine="0"/>
      <w:jc w:val="both"/>
    </w:pPr>
    <w:rPr>
      <w:rFonts w:ascii="Times New Roman" w:cs="Times New Roman" w:eastAsia="Times New Roman" w:hAnsi="Times New Roman"/>
      <w:color w:val="000000"/>
      <w:sz w:val="24"/>
    </w:rPr>
  </w:style>
  <w:style w:styleId="BodyText" w:type="paragraph">
    <w:name w:val="Body Text"/>
    <w:basedOn w:val="Normal"/>
    <w:link w:val="BodyTextChar"/>
    <w:qFormat/>
    <w:pPr>
      <w:keepNext w:val="0"/>
      <w:spacing w:after="120" w:before="0" w:line="276" w:lineRule="auto"/>
      <w:ind w:firstLine="709"/>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keepNext w:val="0"/>
      <w:spacing w:after="120" w:before="0" w:line="276"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keepNext w:val="0"/>
      <w:spacing w:after="0" w:before="0" w:line="240" w:lineRule="auto"/>
      <w:ind w:firstLine="0"/>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ind w:firstLine="0"/>
      <w:jc w:val="left"/>
      <w:outlineLvl w:val="0"/>
    </w:pPr>
    <w:rPr>
      <w:rFonts w:ascii="Times New Roman" w:cs="Times New Roman" w:cstheme="majorBidi" w:eastAsia="Times New Roman" w:hAnsi="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ind w:firstLine="0"/>
      <w:jc w:val="left"/>
      <w:outlineLvl w:val="1"/>
    </w:pPr>
    <w:rPr>
      <w:rFonts w:ascii="Times New Roman" w:cs="Times New Roman" w:cstheme="majorBidi" w:eastAsia="Times New Roman" w:hAnsi="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ind w:firstLine="0"/>
      <w:jc w:val="left"/>
      <w:outlineLvl w:val="2"/>
    </w:pPr>
    <w:rPr>
      <w:rFonts w:ascii="Times New Roman" w:cs="Times New Roman" w:cstheme="majorBidi" w:eastAsia="Times New Roman" w:hAnsi="Times New Roman"/>
      <w:b/>
      <w:i/>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80" w:before="240" w:line="240" w:lineRule="auto"/>
      <w:ind w:firstLine="0"/>
      <w:jc w:val="left"/>
    </w:pPr>
    <w:rPr>
      <w:rFonts w:ascii="Times New Roman" w:cs="Times New Roman" w:eastAsia="Times New Roman" w:hAnsi="Times New Roman"/>
      <w:b w:val="0"/>
      <w:i w:val="0"/>
      <w:color w:val="000000"/>
      <w:sz w:val="20"/>
    </w:rPr>
  </w:style>
  <w:style w:customStyle="1" w:styleId="TableCaption" w:type="paragraph">
    <w:name w:val="Table Caption"/>
    <w:basedOn w:val="Caption"/>
    <w:pPr>
      <w:keepNext/>
      <w:spacing w:after="80" w:before="240" w:line="240" w:lineRule="auto"/>
      <w:ind w:firstLine="0"/>
      <w:jc w:val="left"/>
    </w:pPr>
    <w:rPr>
      <w:rFonts w:ascii="Times New Roman" w:cs="Times New Roman" w:eastAsia="Times New Roman" w:hAnsi="Times New Roman"/>
      <w:b w:val="0"/>
      <w:i w:val="0"/>
      <w:color w:val="000000"/>
      <w:sz w:val="20"/>
    </w:rPr>
  </w:style>
  <w:style w:customStyle="1" w:styleId="ImageCaption" w:type="paragraph">
    <w:name w:val="Image Caption"/>
    <w:basedOn w:val="Caption"/>
    <w:pPr>
      <w:keepNext w:val="0"/>
      <w:spacing w:after="80" w:before="240" w:line="240" w:lineRule="auto"/>
      <w:ind w:firstLine="0"/>
      <w:jc w:val="left"/>
    </w:pPr>
    <w:rPr>
      <w:rFonts w:ascii="Times New Roman" w:cs="Times New Roman" w:eastAsia="Times New Roman" w:hAnsi="Times New Roman"/>
      <w:b w:val="0"/>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3" Type="http://schemas.openxmlformats.org/officeDocument/2006/relationships/image" Target="media/rId33.png"/><Relationship Id="rId64" Type="http://schemas.openxmlformats.org/officeDocument/2006/relationships/image" Target="media/rId64.png"/><Relationship Id="rId61" Type="http://schemas.openxmlformats.org/officeDocument/2006/relationships/image" Target="media/rId61.png"/><Relationship Id="rId21" Type="http://schemas.openxmlformats.org/officeDocument/2006/relationships/image" Target="media/rId21.png"/><Relationship Id="rId49" Type="http://schemas.openxmlformats.org/officeDocument/2006/relationships/hyperlink" Target="https://ftp.ibge.gov.br/Estimativas_de_Populacao/" TargetMode="External"/><Relationship Id="rId53" Type="http://schemas.openxmlformats.org/officeDocument/2006/relationships/hyperlink" Target="https://ipardes.emnuvens.com.br/revistaparanaense/article/view/203" TargetMode="External"/><Relationship Id="rId42" Type="http://schemas.openxmlformats.org/officeDocument/2006/relationships/hyperlink" Target="https://ipardes.emnuvens.com.br/revistaparanaense/article/view/23" TargetMode="External"/><Relationship Id="rId57" Type="http://schemas.openxmlformats.org/officeDocument/2006/relationships/hyperlink" Target="https://pit.tce.pr.gov.br/Arquivos/Repasses-Receitas.html" TargetMode="External"/><Relationship Id="rId56" Type="http://schemas.openxmlformats.org/officeDocument/2006/relationships/hyperlink" Target="https://siconfi.tesouro.gov.br/" TargetMode="External"/><Relationship Id="rId41" Type="http://schemas.openxmlformats.org/officeDocument/2006/relationships/hyperlink" Target="https://www.bcb.gov.br/publicacoes/focus" TargetMode="External"/><Relationship Id="rId48" Type="http://schemas.openxmlformats.org/officeDocument/2006/relationships/hyperlink" Target="https://www.ibge.gov.br/estatisticas/sociais/populacao/22827-censo-demografico-2022.html" TargetMode="External"/><Relationship Id="rId50" Type="http://schemas.openxmlformats.org/officeDocument/2006/relationships/hyperlink" Target="https://www.ibge.gov.br/estatisticas/sociais/populacao/24786-pesquisa-de-orcamentos-familiares-2.html" TargetMode="External"/><Relationship Id="rId51" Type="http://schemas.openxmlformats.org/officeDocument/2006/relationships/hyperlink" Target="https://www.ibge.gov.br/estatisticas/sociais/trabalho/22827-censo-demografico-2022.html" TargetMode="External"/><Relationship Id="rId46" Type="http://schemas.openxmlformats.org/officeDocument/2006/relationships/hyperlink" Target="https://www.imf.org/external/pubs/nft/2001/VAT/" TargetMode="External"/><Relationship Id="rId47" Type="http://schemas.openxmlformats.org/officeDocument/2006/relationships/hyperlink" Target="https://www.ipea.gov.br/cartadeconjuntura/wp-content/uploads/2023/08/230828_reforma_tributaria_cc_60_nota_18.pdf" TargetMode="External"/><Relationship Id="rId55" Type="http://schemas.openxmlformats.org/officeDocument/2006/relationships/hyperlink" Target="https://www.joserobertoafonso.com.br/wp-content/uploads/2025/08/A_DIMENSAO_FEDERATIVA_DA_REFORMA_TRIBUTARIA.pdf" TargetMode="External"/><Relationship Id="rId43" Type="http://schemas.openxmlformats.org/officeDocument/2006/relationships/hyperlink" Target="https://www.planalto.gov.br/ccivil_03/constituicao/emendas/emc/emc132.htm" TargetMode="External"/><Relationship Id="rId44" Type="http://schemas.openxmlformats.org/officeDocument/2006/relationships/hyperlink" Target="https://www.planalto.gov.br/ccivil_03/leis/lcp/lcp214.htm" TargetMode="External"/><Relationship Id="rId45" Type="http://schemas.openxmlformats.org/officeDocument/2006/relationships/hyperlink" Target="https://www.planalto.gov.br/ccivil_03/leis/lcp/lcp227.htm" TargetMode="External"/><Relationship Id="rId54" Type="http://schemas.openxmlformats.org/officeDocument/2006/relationships/hyperlink" Target="https://www.transparencia.pr.gov.br/" TargetMode="External"/><Relationship Id="rId52" Type="http://schemas.openxmlformats.org/officeDocument/2006/relationships/hyperlink" Target="https://www2.senado.leg.br/bdsf/bitstream/handle/id/816727/RAF107_DEZ2025.pdf"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9" Type="http://schemas.openxmlformats.org/officeDocument/2006/relationships/hyperlink" Target="https://ftp.ibge.gov.br/Estimativas_de_Populacao/" TargetMode="External"/><Relationship Id="rId53" Type="http://schemas.openxmlformats.org/officeDocument/2006/relationships/hyperlink" Target="https://ipardes.emnuvens.com.br/revistaparanaense/article/view/203" TargetMode="External"/><Relationship Id="rId42" Type="http://schemas.openxmlformats.org/officeDocument/2006/relationships/hyperlink" Target="https://ipardes.emnuvens.com.br/revistaparanaense/article/view/23" TargetMode="External"/><Relationship Id="rId57" Type="http://schemas.openxmlformats.org/officeDocument/2006/relationships/hyperlink" Target="https://pit.tce.pr.gov.br/Arquivos/Repasses-Receitas.html" TargetMode="External"/><Relationship Id="rId56" Type="http://schemas.openxmlformats.org/officeDocument/2006/relationships/hyperlink" Target="https://siconfi.tesouro.gov.br/" TargetMode="External"/><Relationship Id="rId41" Type="http://schemas.openxmlformats.org/officeDocument/2006/relationships/hyperlink" Target="https://www.bcb.gov.br/publicacoes/focus" TargetMode="External"/><Relationship Id="rId48" Type="http://schemas.openxmlformats.org/officeDocument/2006/relationships/hyperlink" Target="https://www.ibge.gov.br/estatisticas/sociais/populacao/22827-censo-demografico-2022.html" TargetMode="External"/><Relationship Id="rId50" Type="http://schemas.openxmlformats.org/officeDocument/2006/relationships/hyperlink" Target="https://www.ibge.gov.br/estatisticas/sociais/populacao/24786-pesquisa-de-orcamentos-familiares-2.html" TargetMode="External"/><Relationship Id="rId51" Type="http://schemas.openxmlformats.org/officeDocument/2006/relationships/hyperlink" Target="https://www.ibge.gov.br/estatisticas/sociais/trabalho/22827-censo-demografico-2022.html" TargetMode="External"/><Relationship Id="rId46" Type="http://schemas.openxmlformats.org/officeDocument/2006/relationships/hyperlink" Target="https://www.imf.org/external/pubs/nft/2001/VAT/" TargetMode="External"/><Relationship Id="rId47" Type="http://schemas.openxmlformats.org/officeDocument/2006/relationships/hyperlink" Target="https://www.ipea.gov.br/cartadeconjuntura/wp-content/uploads/2023/08/230828_reforma_tributaria_cc_60_nota_18.pdf" TargetMode="External"/><Relationship Id="rId55" Type="http://schemas.openxmlformats.org/officeDocument/2006/relationships/hyperlink" Target="https://www.joserobertoafonso.com.br/wp-content/uploads/2025/08/A_DIMENSAO_FEDERATIVA_DA_REFORMA_TRIBUTARIA.pdf" TargetMode="External"/><Relationship Id="rId43" Type="http://schemas.openxmlformats.org/officeDocument/2006/relationships/hyperlink" Target="https://www.planalto.gov.br/ccivil_03/constituicao/emendas/emc/emc132.htm" TargetMode="External"/><Relationship Id="rId44" Type="http://schemas.openxmlformats.org/officeDocument/2006/relationships/hyperlink" Target="https://www.planalto.gov.br/ccivil_03/leis/lcp/lcp214.htm" TargetMode="External"/><Relationship Id="rId45" Type="http://schemas.openxmlformats.org/officeDocument/2006/relationships/hyperlink" Target="https://www.planalto.gov.br/ccivil_03/leis/lcp/lcp227.htm" TargetMode="External"/><Relationship Id="rId54" Type="http://schemas.openxmlformats.org/officeDocument/2006/relationships/hyperlink" Target="https://www.transparencia.pr.gov.br/" TargetMode="External"/><Relationship Id="rId52" Type="http://schemas.openxmlformats.org/officeDocument/2006/relationships/hyperlink" Target="https://www2.senado.leg.br/bdsf/bitstream/handle/id/816727/RAF107_DEZ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2026-10-01T02:49:09Z</dcterms:created>
  <dcterms:modified xsi:type="dcterms:W3CDTF">2026-10-01T02:49:09Z</dcterms:modified>
  <cp:lastModifiedBy/>
  <dc:description/>
  <dc:subject/>
  <cp:category/>
</cp:coreProperties>
</file>

<file path=docProps/custom.xml><?xml version="1.0" encoding="utf-8"?>
<Properties xmlns="http://schemas.openxmlformats.org/officeDocument/2006/custom-properties" xmlns:vt="http://schemas.openxmlformats.org/officeDocument/2006/docPropsVTypes"/>
</file>