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rodução"/>
    <w:p>
      <w:pPr>
        <w:spacing w:line="276" w:lineRule="auto" w:before="0" w:after="120"/>
        <w:ind w:firstLine="0"/>
        <w:jc w:val="center"/>
      </w:pPr>
      <w:r>
        <w:rPr>
          <w:rFonts w:ascii="Times New Roman" w:hAnsi="Times New Roman"/>
          <w:b/>
          <w:i w:val="0"/>
          <w:caps w:val="0"/>
          <w:sz w:val="28"/>
        </w:rPr>
        <w:t>IMPACTOS REDISTRIBUTIVOS DA REFORMA TRIBUTÁRIA DO CONSUMO NO PARANÁ</w:t>
      </w:r>
    </w:p>
    <w:p>
      <w:pPr>
        <w:spacing w:line="276" w:lineRule="auto" w:before="0" w:after="360"/>
        <w:ind w:firstLine="0"/>
        <w:jc w:val="center"/>
      </w:pPr>
      <w:r>
        <w:rPr>
          <w:rFonts w:ascii="Times New Roman" w:hAnsi="Times New Roman"/>
          <w:b/>
          <w:i w:val="0"/>
          <w:caps w:val="0"/>
          <w:sz w:val="24"/>
        </w:rPr>
        <w:t>Projeções de receita e implicações fiscais para o Estado e os municípios</w:t>
      </w:r>
    </w:p>
    <w:p>
      <w:pPr>
        <w:spacing w:line="276" w:lineRule="auto" w:before="120" w:after="120"/>
        <w:ind w:firstLine="0"/>
        <w:jc w:val="left"/>
      </w:pPr>
      <w:r>
        <w:rPr>
          <w:rFonts w:ascii="Times New Roman" w:hAnsi="Times New Roman"/>
          <w:b/>
          <w:i w:val="0"/>
          <w:caps w:val="0"/>
          <w:sz w:val="24"/>
        </w:rPr>
        <w:t>RESUMO</w:t>
      </w:r>
    </w:p>
    <w:p>
      <w:pPr>
        <w:spacing w:line="240" w:lineRule="auto" w:before="0" w:after="120"/>
        <w:ind w:firstLine="0"/>
        <w:jc w:val="both"/>
      </w:pPr>
      <w:r>
        <w:rPr>
          <w:rFonts w:ascii="Times New Roman" w:hAnsi="Times New Roman"/>
          <w:b w:val="0"/>
          <w:i w:val="0"/>
          <w:caps w:val="0"/>
          <w:sz w:val="24"/>
        </w:rPr>
        <w:t>Este artigo estima os efeitos da reforma tributária do consumo sobre as receitas do Estado do Paraná e de seus municípios. A metodologia aplica as regras de transição do ICMS e do ISS para o IBS e compara as receitas projetadas com um cenário contrafactual sem reforma. Os resultados indicam relativa neutralidade para o governo estadual: em 2033, a receita líquida da cota-parte municipal é projetada em R$ 47,5 bilhões, 0,8% acima do contrafactual. Entre os municípios, 229 apresentam perdas, que somam R$ 2,13 bilhões entre 2029 e 2033. Os resultados ressaltam o papel do coeficiente de participação histórica na suavização dos efeitos iniciais da reforma e a relevância da qualidade das informações fiscais para a projeção das receitas subnacionais.</w:t>
      </w:r>
    </w:p>
    <w:p>
      <w:pPr>
        <w:spacing w:line="276" w:lineRule="auto" w:before="120" w:after="280"/>
        <w:ind w:firstLine="0"/>
        <w:jc w:val="left"/>
      </w:pPr>
      <w:r>
        <w:rPr>
          <w:rFonts w:ascii="Times New Roman" w:hAnsi="Times New Roman"/>
          <w:b/>
          <w:sz w:val="24"/>
        </w:rPr>
        <w:t>Palavras-chave:</w:t>
      </w:r>
      <w:r>
        <w:rPr>
          <w:rFonts w:ascii="Times New Roman" w:hAnsi="Times New Roman"/>
          <w:b w:val="0"/>
          <w:i w:val="0"/>
          <w:caps w:val="0"/>
          <w:sz w:val="24"/>
        </w:rPr>
        <w:t xml:space="preserve"> reforma tributária; IBS; federalismo fiscal.</w:t>
      </w:r>
    </w:p>
    <w:p>
      <w:pPr>
        <w:spacing w:line="276" w:lineRule="auto" w:before="120" w:after="120"/>
        <w:ind w:firstLine="0"/>
        <w:jc w:val="left"/>
      </w:pPr>
      <w:r>
        <w:rPr>
          <w:rFonts w:ascii="Times New Roman" w:hAnsi="Times New Roman"/>
          <w:b/>
          <w:i w:val="0"/>
          <w:caps w:val="0"/>
          <w:sz w:val="24"/>
        </w:rPr>
        <w:t>ABSTRACT</w:t>
      </w:r>
    </w:p>
    <w:p>
      <w:pPr>
        <w:spacing w:line="240" w:lineRule="auto" w:before="0" w:after="120"/>
        <w:ind w:firstLine="0"/>
        <w:jc w:val="both"/>
      </w:pPr>
      <w:r>
        <w:rPr>
          <w:rFonts w:ascii="Times New Roman" w:hAnsi="Times New Roman"/>
          <w:b w:val="0"/>
          <w:i w:val="0"/>
          <w:caps w:val="0"/>
          <w:sz w:val="24"/>
        </w:rPr>
        <w:t>This paper estimates the effects of Brazil’s consumption tax reform on the revenues of the State of Paraná and its municipalities. The methodology applies the transition rules from ICMS and ISS to the IBS and compares projected revenues with a no-reform counterfactual. Results indicate relative neutrality for the state government: in 2033, revenue net of the municipal share is projected at BRL 47.5 billion, 0.8% above the counterfactual. Among municipalities, 229 record losses, which total BRL 2.13 billion over 2029–2033. The results highlight the role of the historical participation coefficient in smoothing the initial effects of the reform and the relevance of fiscal data quality for projecting subnational revenues.</w:t>
      </w:r>
    </w:p>
    <w:p>
      <w:pPr>
        <w:spacing w:line="276" w:lineRule="auto" w:before="120" w:after="280"/>
        <w:ind w:firstLine="0"/>
        <w:jc w:val="left"/>
      </w:pPr>
      <w:r>
        <w:rPr>
          <w:rFonts w:ascii="Times New Roman" w:hAnsi="Times New Roman"/>
          <w:b/>
          <w:sz w:val="24"/>
        </w:rPr>
        <w:t>Keywords:</w:t>
      </w:r>
      <w:r>
        <w:rPr>
          <w:rFonts w:ascii="Times New Roman" w:hAnsi="Times New Roman"/>
          <w:b w:val="0"/>
          <w:i w:val="0"/>
          <w:caps w:val="0"/>
          <w:sz w:val="24"/>
        </w:rPr>
        <w:t xml:space="preserve"> tax reform; IBS; fiscal federalism.</w:t>
      </w:r>
    </w:p>
    <w:p>
      <w:pPr>
        <w:pStyle w:val="Heading1"/>
        <w:pageBreakBefore w:val="0"/>
      </w:pPr>
      <w:r>
        <w:rPr>
          <w:rStyle w:val="SectionNumber"/>
        </w:rPr>
        <w:t xml:space="preserve">1</w:t>
      </w:r>
      <w:r>
        <w:tab/>
      </w:r>
      <w:r>
        <w:t xml:space="preserve">Introdução</w:t>
      </w:r>
    </w:p>
    <w:p>
      <w:pPr>
        <w:pStyle w:val="FirstParagraph"/>
      </w:pPr>
      <w:r>
        <w:t>A reforma tributária do consumo representa uma das principais mudanças no federalismo fiscal brasileiro. O novo regime tributário altera a lógica de apropriação da receita ao deslocá-la progressivamente da origem da produção para o local do consumo. Essa mudança pode modificar a arrecadação dos entes subnacionais e afeta diretamente algumas de suas principais fontes de financiamento. No Paraná, estão em questão cerca de R$ 53 bilhões de arrecadação anual de ICMS, valor superior à metade das receitas correntes brutas do Estado.</w:t>
      </w:r>
      <w:r>
        <w:rPr>
          <w:vertAlign w:val="superscript"/>
        </w:rPr>
      </w:r>
      <w:r/>
    </w:p>
    <w:p>
      <w:pPr>
        <w:pStyle w:val="BodyText"/>
      </w:pPr>
      <w:r>
        <w:t>A literatura aplicada à reforma tributária avançou na mensuração de seus efeitos distributivos, mas ainda oferece poucas evidências sobre a trajetória das receitas de estados e municípios ao longo da transição. Entre os estudos disponíveis, Gobetti e Monteiro (2023) estimaram ganho de aproximadamente 15,6% na receita conjunta dos entes paranaenses sob as novas regras de distribuição, em comparação com o sistema então vigente. O exercício, contudo, foi elaborado durante a tramitação da reforma, antes da edição das Leis Complementares n.º 214/2025 e n.º 227/2026. Seus resultados constituem referência importante para a análise dos efeitos distributivos associados ao critério de destino, mas não incorporam integralmente as regras posteriormente definidas para a formação e a distribuição da receita do IBS.</w:t>
      </w:r>
    </w:p>
    <w:p>
      <w:pPr>
        <w:pStyle w:val="BodyText"/>
      </w:pPr>
      <w:r>
        <w:t>Nesse sentido, permanece em aberto a magnitude dos efeitos do desenho definitivo da transição sobre as receitas do Estado e dos municípios do Paraná. A passagem para o destino será gradual e conviverá, por várias décadas, com mecanismos de preservação da distribuição anterior por meio do coeficiente de participação histórica. A pergunta que orienta este trabalho é, portanto: como a transição do ICMS e do ISS para o IBS afetará as receitas do governo estadual e dos municípios do Paraná nos primeiros anos de implementação da reforma?</w:t>
      </w:r>
    </w:p>
    <w:p>
      <w:pPr>
        <w:pStyle w:val="BodyText"/>
      </w:pPr>
      <w:r>
        <w:t>Este estudo estima os efeitos da transição para o IBS sobre as receitas do Estado e dos municípios do Paraná entre 2029 e 2033. O modelo estima os coeficientes histórico e de destino, aplica as regras de repartição e compara a receita projetada com um cenário contrafactual sem reforma. Para o governo estadual, os resultados indicam relativa neutralidade: a receita projetada alcança R$ 47,5 bilhões em 2033, 0,8% acima do contrafactual. Entre os 399 municípios paranaenses, 229 registram receita inferior ao cenário sem reforma em 2033, com perdas acumuladas de R$ 2,13 bilhões no período. O exercício oferece, assim, uma estrutura replicável para acompanhar como os mecanismos da transição se convertem em receita efetivamente disponível para os governos subnacionais.</w:t>
      </w:r>
    </w:p>
    <w:p>
      <w:pPr>
        <w:pStyle w:val="BodyText"/>
      </w:pPr>
      <w:r>
        <w:t>Além desta introdução, o artigo está organizado em cinco seções. A Seção 2 apresenta o enquadramento conceitual da reforma a partir da literatura sobre federalismo fiscal. A Seção 3 descreve os dados, os parâmetros legais e o modelo de projeção. A Seção 4 apresenta os resultados para o governo estadual e os municípios paranaenses, incluindo uma comparação do Paraná com outras unidades da Federação. A Seção 5 discute as implicações fiscais e institucionais. A Seção 6 reúne as considerações finais.</w:t>
      </w:r>
    </w:p>
    <w:bookmarkEnd w:id="9"/>
    <w:bookmarkStart w:id="10" w:name="X0cec52c4fad5a9b6f661e5010dacacf31990b10"/>
    <w:p>
      <w:pPr>
        <w:pStyle w:val="Heading1"/>
      </w:pPr>
      <w:r>
        <w:rPr>
          <w:rStyle w:val="SectionNumber"/>
        </w:rPr>
        <w:t xml:space="preserve">2</w:t>
      </w:r>
      <w:r>
        <w:tab/>
      </w:r>
      <w:r>
        <w:t xml:space="preserve">Federalismo fiscal e redistribuição da receita no IBS</w:t>
      </w:r>
    </w:p>
    <w:p>
      <w:pPr>
        <w:pStyle w:val="FirstParagraph"/>
      </w:pPr>
      <w:r>
        <w:t xml:space="preserve">O federalismo fiscal tem entre suas questões centrais a relação entre a descentralização das funções de governo e a distribuição dos recursos necessários ao seu financiamento (Oates, 1999). No caso brasileiro, a repartição de receitas constitui uma dimensão importante das relações financeiras intergovernamentais e da autonomia dos governos subnacionais (Afonso, 1992). Na reforma da tributação do consumo, essa dimensão ganha relevância porque a simplificação e a harmonização das regras vêm acompanhadas de uma reorganização dos critérios de distribuição territorial da receita entre estados e municípios. Prado (2025) destaca justamente essa dimensão federativa da reforma, que vai além do desenho técnico do novo imposto e alcança a forma como os recursos são apropriados pelos diferentes entes.</w:t>
      </w:r>
    </w:p>
    <w:p>
      <w:pPr>
        <w:pStyle w:val="BodyText"/>
      </w:pPr>
      <w:r>
        <w:t xml:space="preserve">Nos impostos sobre valor agregado, uma questão de desenho é definir a qual jurisdição será atribuída a receita de cada operação. Em termos gerais, pelo princípio da origem, essa receita mantém maior vínculo com o território em que ocorre a produção; pelo princípio do destino, acompanha o local do consumo final. Nesse desenho, a adoção do destino é associada à tributação no local do consumo e à maior neutralidade nas decisões de produção e comércio (OECD, 2017). No caso brasileiro, o ICMS combinou elementos de origem e destino, mas preservou vínculo relevante entre a localização da atividade econômica e a receita estadual (Baratto e Macedo, 2007). Com a reforma, o IBS desloca progressivamente essa apropriação para o destino, embora a transição preserve parcela expressiva da distribuição histórica da receita; ainda assim, a combinação dos dois critérios pode alterar a posição fiscal relativa de estados e municípios em relação ao sistema vigente, em magnitude que depende da posição de cada ente em ambos (Brasil, 2023; Brasil, 2026).</w:t>
      </w:r>
    </w:p>
    <w:p>
      <w:pPr>
        <w:pStyle w:val="BodyText"/>
      </w:pPr>
      <w:r>
        <w:t xml:space="preserve">A literatura quantitativa sobre a reforma tributária brasileira avançou nos últimos anos, embora permaneça relativamente limitada em extensão e escopo. Os estudos disponíveis apontam ganhos potenciais de eficiência e bem-estar decorrentes da redução da cumulatividade e da dispersão de alíquotas (Delalibera et al., 2024), mas também mostram que esses efeitos podem se distribuir de forma desigual entre regiões e atividades econômicas (Haddad, Araújo e Sacco, 2023). Cebreiro Gomez et al. (2025), por sua vez, mostram que a neutralidade da arrecadação agregada depende de hipóteses sobre conformidade tributária, informalidade e funcionamento do mecanismo de créditos. Apesar desses avanços, a base acadêmica acumulada ainda é estreita: Araújo et al. (2024) identificam apenas 16 artigos de periódico sobre reforma tributária no Brasil ao longo de 23 anos. A evidência existente indica, portanto, efeitos economicamente relevantes e heterogêneos, mas deixa espaço para análises mais específicas de sua dimensão federativa e distributiva.</w:t>
      </w:r>
    </w:p>
    <w:p>
      <w:pPr>
        <w:pStyle w:val="BodyText"/>
      </w:pPr>
      <w:r>
        <w:t xml:space="preserve">Na dimensão federativa, Orair e Gobetti (2021) e Gobetti e Monteiro (2023) oferecem os antecedentes quantitativos mais próximos da questão analisada neste artigo. O primeiro estudo estima alíquotas neutras e simula os efeitos de uma partilha baseada no destino; o segundo atualiza o exercício com dados de 2022 e o texto então aprovado pela Câmara dos Deputados, estimando a distribuição da receita entre estados e municípios. Os resultados apontam ganhos relativos para 60% dos estados e 82% dos municípios; no caso específico do Paraná, a receita conjunta do Estado e de seus municípios aumentaria cerca de 15,7% em relação ao sistema então vigente (Gobetti e Monteiro, 2023). Essas estimativas constituem uma referência importante para a direção e a magnitude da redistribuição. Contudo, foram produzidas antes da consolidação do desenho normativo atual, com a promulgação da EC </w:t>
      </w:r>
      <w:r>
        <w:t xml:space="preserve">n.</w:t>
      </w:r>
      <w:r>
        <w:rPr>
          <w:vertAlign w:val="superscript"/>
        </w:rPr>
        <w:t xml:space="preserve">o</w:t>
      </w:r>
      <w:r>
        <w:t xml:space="preserve"> 132/2023 e, posteriormente, das Leis Complementares </w:t>
      </w:r>
      <w:r>
        <w:t xml:space="preserve">n.</w:t>
      </w:r>
      <w:r>
        <w:rPr>
          <w:vertAlign w:val="superscript"/>
        </w:rPr>
        <w:t xml:space="preserve">o</w:t>
      </w:r>
      <w:r>
        <w:t xml:space="preserve"> 214/2025 e </w:t>
      </w:r>
      <w:r>
        <w:t xml:space="preserve">n.</w:t>
      </w:r>
      <w:r>
        <w:rPr>
          <w:vertAlign w:val="superscript"/>
        </w:rPr>
        <w:t xml:space="preserve">o</w:t>
      </w:r>
      <w:r>
        <w:t xml:space="preserve"> 227/2026, que detalharam a incidência no destino e os mecanismos de formação e distribuição da receita durante a transição.</w:t>
      </w:r>
    </w:p>
    <w:p>
      <w:pPr>
        <w:pStyle w:val="BodyText"/>
      </w:pPr>
      <w:r>
        <w:t xml:space="preserve">Permanece, contudo, uma lacuna entre as estimativas da redistribuição associada ao destino e a mensuração da receita efetivamente apropriada pelos entes ao longo da transição. Essa distinção é particularmente relevante entre 2029 e 2033, quando a substituição gradual do ICMS e do ISS pelo IBS convive com a preservação de parcela expressiva da distribuição histórica da receita e com os demais mecanismos definidos pela regulamentação posterior. Este estudo avança nessa direção ao combinar, para o Paraná e seus municípios, a receita remanescente dos tributos atuais, os coeficientes histórico e de destino e os mecanismos de retenção e redistribuição previstos na legislação vigente, comparando a trajetória resultante com um cenário sem reforma. A seção seguinte apresenta a estratégia utilizada para operacionalizar essa comparação.</w:t>
      </w:r>
    </w:p>
    <w:bookmarkEnd w:id="10"/>
    <w:bookmarkStart w:id="18" w:name="metodologia"/>
    <w:p>
      <w:pPr>
        <w:pStyle w:val="Heading1"/>
      </w:pPr>
      <w:r>
        <w:rPr>
          <w:rStyle w:val="SectionNumber"/>
        </w:rPr>
        <w:t xml:space="preserve">3</w:t>
      </w:r>
      <w:r>
        <w:tab/>
      </w:r>
      <w:r>
        <w:t xml:space="preserve">Metodologia</w:t>
      </w:r>
    </w:p>
    <w:p>
      <w:pPr>
        <w:pStyle w:val="FirstParagraph"/>
      </w:pPr>
      <w:r>
        <w:t xml:space="preserve">Esta seção descreve a estratégia utilizada para estimar os efeitos da transição para o IBS sobre a receita do governo estadual e dos municípios do Paraná entre 2029 e 2033. O método projeta a arrecadação nacional de referência, aplica as regras de transição e repartição, estima os coeficientes histórico e de destino e incorpora o Seguro-Receita e o financiamento do CGIBS. A receita resultante é comparada com um cenário sem reforma que preserva a participação de cada ente na arrecadação nacional observada em 2025.</w:t>
      </w:r>
    </w:p>
    <w:bookmarkStart w:id="12" w:name="X86c13fa8db8cf746f6be89a141cd42a083ad4b6"/>
    <w:p>
      <w:pPr>
        <w:pStyle w:val="Heading2"/>
      </w:pPr>
      <w:r>
        <w:rPr>
          <w:rStyle w:val="SectionNumber"/>
        </w:rPr>
        <w:t xml:space="preserve">3.1</w:t>
      </w:r>
      <w:r>
        <w:tab/>
      </w:r>
      <w:r>
        <w:t xml:space="preserve">Arrecadação nacional e parâmetros da transição</w:t>
      </w:r>
    </w:p>
    <w:p>
      <w:pPr>
        <w:pStyle w:val="FirstParagraph"/>
      </w:pPr>
      <w:r>
        <w:t xml:space="preserve">A projeção parte da arrecadação nacional de referência. Com o IBS, a receita de cada ente passa a depender não apenas da evolução de sua própria base tributária, mas também da parcela que lhe cabe em um agregado nacional. O modelo projeta primeiro esse montante e, em seguida, aplica as regras de transição e repartição para determinar a receita de cada ente. A mesma trajetória nacional é utilizada nos cenários com e sem reforma, de modo que a diferença entre eles reflita as novas regras de distribuição da receita.</w:t>
      </w:r>
    </w:p>
    <w:p>
      <w:pPr>
        <w:pStyle w:val="BodyText"/>
      </w:pPr>
      <w:r>
        <w:t xml:space="preserve">O agregado nacional é projetado a partir do princípio de neutralidade previsto nos arts. 361 a 365 da Lei Complementar n.</w:t>
      </w:r>
      <w:r>
        <w:rPr>
          <w:vertAlign w:val="superscript"/>
        </w:rPr>
        <w:t xml:space="preserve">o</w:t>
      </w:r>
      <w:r>
        <w:t xml:space="preserve"> 214/2025, com as alterações da Lei Complementar n.</w:t>
      </w:r>
      <w:r>
        <w:rPr>
          <w:vertAlign w:val="superscript"/>
        </w:rPr>
        <w:t xml:space="preserve">o</w:t>
      </w:r>
      <w:r>
        <w:t xml:space="preserve"> 227/2026. A legislação utiliza a razão média entre a receita de referência e o PIB observada entre 2024 e 2026 para calibrar as alíquotas de referência. O modelo utiliza os dados fechados de 2024 e 2025 e, para 2026, uma estimativa preliminar construída com a arrecadação disponível no RREO e o PIB projetado pelo Boletim Focus. </w:t>
      </w:r>
      <w:r>
        <w:rPr/>
        <w:t>A média resultante é de 8,0193% do PIB.</w:t>
      </w:r>
      <w:r>
        <w:rPr/>
      </w:r>
    </w:p>
    <w:p>
      <w:pPr>
        <w:pStyle w:val="BodyText"/>
      </w:pPr>
      <w:r>
        <w:t xml:space="preserve">Essa razão é aplicada à trajetória projetada do PIB real. O Boletim Focus é utilizado no horizonte mais próximo e as projeções da Instituição Fiscal Independente nos anos subsequentes. Os valores são expressos a preços constantes de 2025. A arrecadação nacional de referência no ano</w:t>
      </w:r>
      <w:r>
        <w:t xml:space="preserve"> </w:t>
      </w:r>
      <m:oMath>
        <m:r>
          <m:t>t</m:t>
        </m:r>
      </m:oMath>
      <w:r>
        <w:t xml:space="preserve"> </w:t>
      </w:r>
      <w:r>
        <w:t xml:space="preserve">é denotada por</w:t>
      </w:r>
      <w:r>
        <w:t xml:space="preserve"> </w:t>
      </w:r>
      <m:oMath>
        <m:sSub>
          <m:e>
            <m:r>
              <m:t>A</m:t>
            </m:r>
          </m:e>
          <m:sub>
            <m:r>
              <m:t>t</m:t>
            </m:r>
          </m:sub>
        </m:sSub>
      </m:oMath>
      <w:r>
        <w:t xml:space="preserve">.</w:t>
      </w:r>
    </w:p>
    <w:p>
      <w:pPr>
        <w:pStyle w:val="BodyText"/>
      </w:pPr>
      <w:r>
        <w:t xml:space="preserve">Uma vez projetada</w:t>
      </w:r>
      <w:r>
        <w:t xml:space="preserve"> </w:t>
      </w:r>
      <m:oMath>
        <m:sSub>
          <m:e>
            <m:r>
              <m:t>A</m:t>
            </m:r>
          </m:e>
          <m:sub>
            <m:r>
              <m:t>t</m:t>
            </m:r>
          </m:sub>
        </m:sSub>
      </m:oMath>
      <w:r>
        <w:t xml:space="preserve">, o modelo incorpora duas transições simultâneas. A primeira é a substituição gradual do ICMS e do ISS pelo IBS. Entre 2029 e 2032, uma parcela da arrecadação permanece associada aos tributos anteriores e outra já corresponde ao IBS. Em 2033, ICMS e ISS são extintos e toda a base de referência passa ao novo imposto. Essas parcelas são representadas por</w:t>
      </w:r>
      <w:r>
        <w:t xml:space="preserve"> </w:t>
      </w:r>
      <m:oMath>
        <m:sSub>
          <m:e>
            <m:r>
              <m:t>f</m:t>
            </m:r>
          </m:e>
          <m:sub>
            <m:r>
              <m:t>t</m:t>
            </m:r>
          </m:sub>
        </m:sSub>
      </m:oMath>
      <w:r>
        <w:t xml:space="preserve"> </w:t>
      </w:r>
      <w:r>
        <w:t xml:space="preserve">e</w:t>
      </w:r>
      <w:r>
        <w:t xml:space="preserve"> </w:t>
      </w:r>
      <m:oMath>
        <m:sSub>
          <m:e>
            <m:r>
              <m:t>s</m:t>
            </m:r>
          </m:e>
          <m:sub>
            <m:r>
              <m:t>t</m:t>
            </m:r>
          </m:sub>
        </m:sSub>
        <m:r>
          <m:rPr>
            <m:sty m:val="p"/>
          </m:rPr>
          <m:t>=</m:t>
        </m:r>
        <m:r>
          <m:t>1</m:t>
        </m:r>
        <m:r>
          <m:rPr>
            <m:sty m:val="p"/>
          </m:rPr>
          <m:t>−</m:t>
        </m:r>
        <m:sSub>
          <m:e>
            <m:r>
              <m:t>f</m:t>
            </m:r>
          </m:e>
          <m:sub>
            <m:r>
              <m:t>t</m:t>
            </m:r>
          </m:sub>
        </m:sSub>
      </m:oMath>
      <w:r>
        <w:t xml:space="preserve">.</w:t>
      </w:r>
    </w:p>
    <w:p>
      <w:pPr>
        <w:pStyle w:val="BodyText"/>
      </w:pPr>
      <w:r>
        <w:t xml:space="preserve">A segunda é a transição na regra de repartição do IBS. O novo imposto não passa imediatamente a ser distribuído apenas pelo destino. No horizonte analisado, a maior parte permanece vinculada à participação histórica dos entes: 80% do IBS entre 2029 e 2032 e 90% em 2033. A parcela não distribuída pelo componente histórico financia o Seguro-Receita e, após essa retenção, segue para o destino do consumo. Em horizonte mais longo, o peso do componente histórico diminui progressivamente e o destino passa a predominar.</w:t>
      </w:r>
    </w:p>
    <w:p>
      <w:pPr>
        <w:pStyle w:val="BodyText"/>
      </w:pPr>
      <w:r>
        <w:t xml:space="preserve">A Tabela 1 resume as duas transições e os demais parâmetros utilizados no modelo. A primeira aparece nas parcelas</w:t>
      </w:r>
      <w:r>
        <w:t xml:space="preserve"> </w:t>
      </w:r>
      <m:oMath>
        <m:sSub>
          <m:e>
            <m:r>
              <m:t>f</m:t>
            </m:r>
          </m:e>
          <m:sub>
            <m:r>
              <m:t>t</m:t>
            </m:r>
          </m:sub>
        </m:sSub>
      </m:oMath>
      <w:r>
        <w:t xml:space="preserve"> </w:t>
      </w:r>
      <w:r>
        <w:t xml:space="preserve">e</w:t>
      </w:r>
      <w:r>
        <w:t xml:space="preserve"> </w:t>
      </w:r>
      <m:oMath>
        <m:sSub>
          <m:e>
            <m:r>
              <m:t>s</m:t>
            </m:r>
          </m:e>
          <m:sub>
            <m:r>
              <m:t>t</m:t>
            </m:r>
          </m:sub>
        </m:sSub>
      </m:oMath>
      <w:r>
        <w:t xml:space="preserve">. A segunda é representada por</w:t>
      </w:r>
      <w:r>
        <w:t xml:space="preserve"> </w:t>
      </w:r>
      <m:oMath>
        <m:sSub>
          <m:e>
            <m:r>
              <m:t>λ</m:t>
            </m:r>
          </m:e>
          <m:sub>
            <m:r>
              <m:t>t</m:t>
            </m:r>
          </m:sub>
        </m:sSub>
      </m:oMath>
      <w:r>
        <w:t xml:space="preserve">, que define o peso do componente histórico dentro do IBS. O parâmetro</w:t>
      </w:r>
      <w:r>
        <w:t xml:space="preserve"> </w:t>
      </w:r>
      <m:oMath>
        <m:sSub>
          <m:e>
            <m:r>
              <m:t>ρ</m:t>
            </m:r>
          </m:e>
          <m:sub>
            <m:r>
              <m:t>t</m:t>
            </m:r>
          </m:sub>
        </m:sSub>
      </m:oMath>
      <w:r>
        <w:t xml:space="preserve"> </w:t>
      </w:r>
      <w:r>
        <w:t xml:space="preserve">corresponde à retenção destinada ao Seguro-Receita, enquanto o financiamento do CGIBS é tratado como dedução posterior da receita de IBS atribuída ao ente. Como o componente histórico domina a distribuição do IBS no período analisado, sua mensuração é o primeiro elemento específico de repartição considerado na subseção seguinte.</w:t>
      </w:r>
    </w:p>
    <w:bookmarkStart w:id="11" w:name="tab:parametros"/>
    <w:p>
      <w:pPr>
        <w:pStyle w:val="TableCaption"/>
      </w:pPr>
      <w:r>
        <w:rPr>
          <w:b/>
          <w:bCs/>
        </w:rPr>
        <w:t xml:space="preserve">Tabela 1:</w:t>
      </w:r>
      <w:r>
        <w:t xml:space="preserve"> Parâmetros das duas transições utilizados no modelo de projeção</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1: Parâmetros das duas transições utilizados no modelo de projeção"/>
      </w:tblPr>
      <w:tblGrid>
        <w:gridCol w:w="623"/>
        <w:gridCol w:w="1077"/>
        <w:gridCol w:w="850"/>
        <w:gridCol w:w="1757"/>
        <w:gridCol w:w="1190"/>
        <w:gridCol w:w="1757"/>
        <w:gridCol w:w="963"/>
        <w:gridCol w:w="850"/>
      </w:tblGrid>
      <w:tr>
        <w:trPr>
          <w:tblHeader w:val="on"/>
          <w:cantSplit/>
          <w:tblHeader/>
        </w:trPr>
        <w:tc>
          <w:tcPr>
            <w:tcW w:type="dxa" w:w="62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Ano</w:t>
            </w:r>
          </w:p>
        </w:tc>
        <w:tc>
          <w:tcPr>
            <w:tcW w:type="dxa" w:w="107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ICMS/ISS</w:t>
            </w:r>
            <w:r>
              <w:rPr>
                <w:rFonts w:ascii="Times New Roman" w:hAnsi="Times New Roman"/>
                <w:b/>
                <w:sz w:val="16"/>
              </w:rPr>
              <w:br/>
            </w:r>
            <w:r>
              <w:rPr>
                <w:rFonts w:ascii="Times New Roman" w:hAnsi="Times New Roman"/>
                <w:b/>
                <w:bCs/>
                <w:sz w:val="16"/>
              </w:rPr>
              <w:t xml:space="preserve">reman.</w:t>
            </w:r>
            <w:r>
              <w:rPr>
                <w:rFonts w:ascii="Times New Roman" w:hAnsi="Times New Roman"/>
                <w:b/>
                <w:sz w:val="16"/>
              </w:rPr>
              <w:br/>
            </w:r>
            <m:oMath>
              <m:sSub>
                <m:e>
                  <m:r>
                    <m:t>f</m:t>
                  </m:r>
                </m:e>
                <m:sub>
                  <m:r>
                    <m:t>t</m:t>
                  </m:r>
                </m:sub>
              </m:sSub>
            </m:oMath>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Base em</w:t>
            </w:r>
            <w:r>
              <w:rPr>
                <w:rFonts w:ascii="Times New Roman" w:hAnsi="Times New Roman"/>
                <w:b/>
                <w:sz w:val="16"/>
              </w:rPr>
              <w:br/>
            </w:r>
            <w:r>
              <w:rPr>
                <w:rFonts w:ascii="Times New Roman" w:hAnsi="Times New Roman"/>
                <w:b/>
                <w:bCs/>
                <w:sz w:val="16"/>
              </w:rPr>
              <w:t xml:space="preserve">IBS</w:t>
            </w:r>
            <w:r>
              <w:rPr>
                <w:rFonts w:ascii="Times New Roman" w:hAnsi="Times New Roman"/>
                <w:b/>
                <w:sz w:val="16"/>
              </w:rPr>
              <w:br/>
            </w:r>
            <m:oMath>
              <m:sSub>
                <m:e>
                  <m:r>
                    <m:t>s</m:t>
                  </m:r>
                </m:e>
                <m:sub>
                  <m:r>
                    <m:t>t</m:t>
                  </m:r>
                </m:sub>
              </m:sSub>
            </m:oMath>
          </w:p>
        </w:tc>
        <w:tc>
          <w:tcPr>
            <w:tcW w:type="dxa" w:w="17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Componente</w:t>
            </w:r>
            <w:r>
              <w:rPr>
                <w:rFonts w:ascii="Times New Roman" w:hAnsi="Times New Roman"/>
                <w:b/>
                <w:sz w:val="16"/>
              </w:rPr>
              <w:br/>
            </w:r>
            <w:r>
              <w:rPr>
                <w:rFonts w:ascii="Times New Roman" w:hAnsi="Times New Roman"/>
                <w:b/>
                <w:bCs/>
                <w:sz w:val="16"/>
              </w:rPr>
              <w:t xml:space="preserve">histórico no IBS</w:t>
            </w:r>
            <w:r>
              <w:rPr>
                <w:rFonts w:ascii="Times New Roman" w:hAnsi="Times New Roman"/>
                <w:b/>
                <w:sz w:val="16"/>
              </w:rPr>
              <w:br/>
            </w:r>
            <m:oMath>
              <m:sSub>
                <m:e>
                  <m:r>
                    <m:t>λ</m:t>
                  </m:r>
                </m:e>
                <m:sub>
                  <m:r>
                    <m:t>t</m:t>
                  </m:r>
                </m:sub>
              </m:sSub>
            </m:oMath>
          </w:p>
        </w:tc>
        <w:tc>
          <w:tcPr>
            <w:tcW w:type="dxa" w:w="119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Histórico</w:t>
            </w:r>
            <w:r>
              <w:rPr>
                <w:rFonts w:ascii="Times New Roman" w:hAnsi="Times New Roman"/>
                <w:b/>
                <w:sz w:val="16"/>
              </w:rPr>
              <w:br/>
            </w:r>
            <w:r>
              <w:rPr>
                <w:rFonts w:ascii="Times New Roman" w:hAnsi="Times New Roman"/>
                <w:b/>
                <w:bCs/>
                <w:sz w:val="16"/>
              </w:rPr>
              <w:t xml:space="preserve">sobre</w:t>
            </w:r>
            <w:r>
              <w:rPr>
                <w:rFonts w:ascii="Times New Roman" w:hAnsi="Times New Roman"/>
                <w:b/>
                <w:bCs/>
                <w:sz w:val="16"/>
              </w:rPr>
              <w:t xml:space="preserve"> </w:t>
            </w:r>
            <m:oMath>
              <m:sSub>
                <m:e>
                  <m:r>
                    <m:t>A</m:t>
                  </m:r>
                </m:e>
                <m:sub>
                  <m:r>
                    <m:t>t</m:t>
                  </m:r>
                </m:sub>
              </m:sSub>
            </m:oMath>
          </w:p>
        </w:tc>
        <w:tc>
          <w:tcPr>
            <w:tcW w:type="dxa" w:w="17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Seguro-Receita</w:t>
            </w:r>
            <w:r>
              <w:rPr>
                <w:rFonts w:ascii="Times New Roman" w:hAnsi="Times New Roman"/>
                <w:b/>
                <w:sz w:val="16"/>
              </w:rPr>
              <w:br/>
            </w:r>
            <w:r>
              <w:rPr>
                <w:rFonts w:ascii="Times New Roman" w:hAnsi="Times New Roman"/>
                <w:b/>
                <w:bCs/>
                <w:sz w:val="16"/>
              </w:rPr>
              <w:t xml:space="preserve">sobre</w:t>
            </w:r>
            <w:r>
              <w:rPr>
                <w:rFonts w:ascii="Times New Roman" w:hAnsi="Times New Roman"/>
                <w:b/>
                <w:bCs/>
                <w:sz w:val="16"/>
              </w:rPr>
              <w:t xml:space="preserve"> </w:t>
            </w:r>
            <m:oMath>
              <m:sSub>
                <m:e>
                  <m:r>
                    <m:t>A</m:t>
                  </m:r>
                </m:e>
                <m:sub>
                  <m:r>
                    <m:t>t</m:t>
                  </m:r>
                </m:sub>
              </m:sSub>
            </m:oMath>
          </w:p>
        </w:tc>
        <w:tc>
          <w:tcPr>
            <w:tcW w:type="dxa" w:w="96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Destino</w:t>
            </w:r>
            <w:r>
              <w:rPr>
                <w:rFonts w:ascii="Times New Roman" w:hAnsi="Times New Roman"/>
                <w:b/>
                <w:sz w:val="16"/>
              </w:rPr>
              <w:br/>
            </w:r>
            <w:r>
              <w:rPr>
                <w:rFonts w:ascii="Times New Roman" w:hAnsi="Times New Roman"/>
                <w:b/>
                <w:bCs/>
                <w:sz w:val="16"/>
              </w:rPr>
              <w:t xml:space="preserve">sobre</w:t>
            </w:r>
            <w:r>
              <w:rPr>
                <w:rFonts w:ascii="Times New Roman" w:hAnsi="Times New Roman"/>
                <w:b/>
                <w:bCs/>
                <w:sz w:val="16"/>
              </w:rPr>
              <w:t xml:space="preserve"> </w:t>
            </w:r>
            <m:oMath>
              <m:sSub>
                <m:e>
                  <m:r>
                    <m:t>A</m:t>
                  </m:r>
                </m:e>
                <m:sub>
                  <m:r>
                    <m:t>t</m:t>
                  </m:r>
                </m:sub>
              </m:sSub>
            </m:oMath>
          </w:p>
        </w:tc>
        <w:tc>
          <w:tcPr>
            <w:tcW w:type="dxa" w:w="85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Limite</w:t>
            </w:r>
            <w:r>
              <w:rPr>
                <w:rFonts w:ascii="Times New Roman" w:hAnsi="Times New Roman"/>
                <w:b/>
                <w:sz w:val="16"/>
              </w:rPr>
              <w:br/>
            </w:r>
            <w:r>
              <w:rPr>
                <w:rFonts w:ascii="Times New Roman" w:hAnsi="Times New Roman"/>
                <w:b/>
                <w:bCs/>
                <w:sz w:val="16"/>
              </w:rPr>
              <w:t xml:space="preserve">CGIBS</w:t>
            </w:r>
          </w:p>
        </w:tc>
      </w:tr>
      <w:tr>
        <w:trPr>
          <w:cantSplit/>
        </w:trPr>
        <w:tc>
          <w:tcPr>
            <w:tcW w:type="dxa" w:w="623"/>
          </w:tcPr>
          <w:p>
            <w:pPr>
              <w:pStyle w:val="Compact"/>
              <w:spacing w:line="240" w:lineRule="auto" w:before="20" w:after="20"/>
              <w:ind w:firstLine="0"/>
              <w:jc w:val="left"/>
            </w:pPr>
            <w:r>
              <w:rPr>
                <w:rFonts w:ascii="Times New Roman" w:hAnsi="Times New Roman"/>
                <w:sz w:val="16"/>
              </w:rPr>
              <w:t xml:space="preserve">2029</w:t>
            </w:r>
          </w:p>
        </w:tc>
        <w:tc>
          <w:tcPr>
            <w:tcW w:type="dxa" w:w="1077"/>
          </w:tcPr>
          <w:p>
            <w:pPr>
              <w:pStyle w:val="Compact"/>
              <w:spacing w:line="240" w:lineRule="auto" w:before="20" w:after="20"/>
              <w:ind w:firstLine="0"/>
              <w:jc w:val="center"/>
            </w:pPr>
            <w:r>
              <w:rPr>
                <w:rFonts w:ascii="Times New Roman" w:hAnsi="Times New Roman"/>
                <w:sz w:val="16"/>
              </w:rPr>
              <w:t xml:space="preserve">90%</w:t>
            </w:r>
          </w:p>
        </w:tc>
        <w:tc>
          <w:tcPr>
            <w:tcW w:type="dxa" w:w="850"/>
          </w:tcPr>
          <w:p>
            <w:pPr>
              <w:pStyle w:val="Compact"/>
              <w:spacing w:line="240" w:lineRule="auto" w:before="20" w:after="20"/>
              <w:ind w:firstLine="0"/>
              <w:jc w:val="center"/>
            </w:pPr>
            <w:r>
              <w:rPr>
                <w:rFonts w:ascii="Times New Roman" w:hAnsi="Times New Roman"/>
                <w:sz w:val="16"/>
              </w:rPr>
              <w:t xml:space="preserve">10%</w:t>
            </w:r>
          </w:p>
        </w:tc>
        <w:tc>
          <w:tcPr>
            <w:tcW w:type="dxa" w:w="1757"/>
          </w:tcPr>
          <w:p>
            <w:pPr>
              <w:pStyle w:val="Compact"/>
              <w:spacing w:line="240" w:lineRule="auto" w:before="20" w:after="20"/>
              <w:ind w:firstLine="0"/>
              <w:jc w:val="center"/>
            </w:pPr>
            <w:r>
              <w:rPr>
                <w:rFonts w:ascii="Times New Roman" w:hAnsi="Times New Roman"/>
                <w:sz w:val="16"/>
              </w:rPr>
              <w:t xml:space="preserve">80%</w:t>
            </w:r>
          </w:p>
        </w:tc>
        <w:tc>
          <w:tcPr>
            <w:tcW w:type="dxa" w:w="1190"/>
          </w:tcPr>
          <w:p>
            <w:pPr>
              <w:pStyle w:val="Compact"/>
              <w:spacing w:line="240" w:lineRule="auto" w:before="20" w:after="20"/>
              <w:ind w:firstLine="0"/>
              <w:jc w:val="center"/>
            </w:pPr>
            <w:r>
              <w:rPr>
                <w:rFonts w:ascii="Times New Roman" w:hAnsi="Times New Roman"/>
                <w:sz w:val="16"/>
              </w:rPr>
              <w:t xml:space="preserve">8,00%</w:t>
            </w:r>
          </w:p>
        </w:tc>
        <w:tc>
          <w:tcPr>
            <w:tcW w:type="dxa" w:w="1757"/>
          </w:tcPr>
          <w:p>
            <w:pPr>
              <w:pStyle w:val="Compact"/>
              <w:spacing w:line="240" w:lineRule="auto" w:before="20" w:after="20"/>
              <w:ind w:firstLine="0"/>
              <w:jc w:val="center"/>
            </w:pPr>
            <w:r>
              <w:rPr>
                <w:rFonts w:ascii="Times New Roman" w:hAnsi="Times New Roman"/>
                <w:sz w:val="16"/>
              </w:rPr>
              <w:t xml:space="preserve">0,10%</w:t>
            </w:r>
          </w:p>
        </w:tc>
        <w:tc>
          <w:tcPr>
            <w:tcW w:type="dxa" w:w="963"/>
          </w:tcPr>
          <w:p>
            <w:pPr>
              <w:pStyle w:val="Compact"/>
              <w:spacing w:line="240" w:lineRule="auto" w:before="20" w:after="20"/>
              <w:ind w:firstLine="0"/>
              <w:jc w:val="center"/>
            </w:pPr>
            <w:r>
              <w:rPr>
                <w:rFonts w:ascii="Times New Roman" w:hAnsi="Times New Roman"/>
                <w:sz w:val="16"/>
              </w:rPr>
              <w:t xml:space="preserve">1,90%</w:t>
            </w:r>
          </w:p>
        </w:tc>
        <w:tc>
          <w:tcPr>
            <w:tcW w:type="dxa" w:w="850"/>
          </w:tcPr>
          <w:p>
            <w:pPr>
              <w:pStyle w:val="Compact"/>
              <w:spacing w:line="240" w:lineRule="auto" w:before="20" w:after="20"/>
              <w:ind w:firstLine="0"/>
              <w:jc w:val="center"/>
            </w:pPr>
            <w:r>
              <w:rPr>
                <w:rFonts w:ascii="Times New Roman" w:hAnsi="Times New Roman"/>
                <w:sz w:val="16"/>
              </w:rPr>
              <w:t xml:space="preserve">2,00%</w:t>
            </w:r>
          </w:p>
        </w:tc>
      </w:tr>
      <w:tr>
        <w:trPr>
          <w:cantSplit/>
        </w:trPr>
        <w:tc>
          <w:tcPr>
            <w:tcW w:type="dxa" w:w="623"/>
          </w:tcPr>
          <w:p>
            <w:pPr>
              <w:pStyle w:val="Compact"/>
              <w:spacing w:line="240" w:lineRule="auto" w:before="20" w:after="20"/>
              <w:ind w:firstLine="0"/>
              <w:jc w:val="left"/>
            </w:pPr>
            <w:r>
              <w:rPr>
                <w:rFonts w:ascii="Times New Roman" w:hAnsi="Times New Roman"/>
                <w:sz w:val="16"/>
              </w:rPr>
              <w:t xml:space="preserve">2030</w:t>
            </w:r>
          </w:p>
        </w:tc>
        <w:tc>
          <w:tcPr>
            <w:tcW w:type="dxa" w:w="1077"/>
          </w:tcPr>
          <w:p>
            <w:pPr>
              <w:pStyle w:val="Compact"/>
              <w:spacing w:line="240" w:lineRule="auto" w:before="20" w:after="20"/>
              <w:ind w:firstLine="0"/>
              <w:jc w:val="center"/>
            </w:pPr>
            <w:r>
              <w:rPr>
                <w:rFonts w:ascii="Times New Roman" w:hAnsi="Times New Roman"/>
                <w:sz w:val="16"/>
              </w:rPr>
              <w:t xml:space="preserve">80%</w:t>
            </w:r>
          </w:p>
        </w:tc>
        <w:tc>
          <w:tcPr>
            <w:tcW w:type="dxa" w:w="850"/>
          </w:tcPr>
          <w:p>
            <w:pPr>
              <w:pStyle w:val="Compact"/>
              <w:spacing w:line="240" w:lineRule="auto" w:before="20" w:after="20"/>
              <w:ind w:firstLine="0"/>
              <w:jc w:val="center"/>
            </w:pPr>
            <w:r>
              <w:rPr>
                <w:rFonts w:ascii="Times New Roman" w:hAnsi="Times New Roman"/>
                <w:sz w:val="16"/>
              </w:rPr>
              <w:t xml:space="preserve">20%</w:t>
            </w:r>
          </w:p>
        </w:tc>
        <w:tc>
          <w:tcPr>
            <w:tcW w:type="dxa" w:w="1757"/>
          </w:tcPr>
          <w:p>
            <w:pPr>
              <w:pStyle w:val="Compact"/>
              <w:spacing w:line="240" w:lineRule="auto" w:before="20" w:after="20"/>
              <w:ind w:firstLine="0"/>
              <w:jc w:val="center"/>
            </w:pPr>
            <w:r>
              <w:rPr>
                <w:rFonts w:ascii="Times New Roman" w:hAnsi="Times New Roman"/>
                <w:sz w:val="16"/>
              </w:rPr>
              <w:t xml:space="preserve">80%</w:t>
            </w:r>
          </w:p>
        </w:tc>
        <w:tc>
          <w:tcPr>
            <w:tcW w:type="dxa" w:w="1190"/>
          </w:tcPr>
          <w:p>
            <w:pPr>
              <w:pStyle w:val="Compact"/>
              <w:spacing w:line="240" w:lineRule="auto" w:before="20" w:after="20"/>
              <w:ind w:firstLine="0"/>
              <w:jc w:val="center"/>
            </w:pPr>
            <w:r>
              <w:rPr>
                <w:rFonts w:ascii="Times New Roman" w:hAnsi="Times New Roman"/>
                <w:sz w:val="16"/>
              </w:rPr>
              <w:t xml:space="preserve">16,00%</w:t>
            </w:r>
          </w:p>
        </w:tc>
        <w:tc>
          <w:tcPr>
            <w:tcW w:type="dxa" w:w="1757"/>
          </w:tcPr>
          <w:p>
            <w:pPr>
              <w:pStyle w:val="Compact"/>
              <w:spacing w:line="240" w:lineRule="auto" w:before="20" w:after="20"/>
              <w:ind w:firstLine="0"/>
              <w:jc w:val="center"/>
            </w:pPr>
            <w:r>
              <w:rPr>
                <w:rFonts w:ascii="Times New Roman" w:hAnsi="Times New Roman"/>
                <w:sz w:val="16"/>
              </w:rPr>
              <w:t xml:space="preserve">0,20%</w:t>
            </w:r>
          </w:p>
        </w:tc>
        <w:tc>
          <w:tcPr>
            <w:tcW w:type="dxa" w:w="963"/>
          </w:tcPr>
          <w:p>
            <w:pPr>
              <w:pStyle w:val="Compact"/>
              <w:spacing w:line="240" w:lineRule="auto" w:before="20" w:after="20"/>
              <w:ind w:firstLine="0"/>
              <w:jc w:val="center"/>
            </w:pPr>
            <w:r>
              <w:rPr>
                <w:rFonts w:ascii="Times New Roman" w:hAnsi="Times New Roman"/>
                <w:sz w:val="16"/>
              </w:rPr>
              <w:t xml:space="preserve">3,80%</w:t>
            </w:r>
          </w:p>
        </w:tc>
        <w:tc>
          <w:tcPr>
            <w:tcW w:type="dxa" w:w="850"/>
          </w:tcPr>
          <w:p>
            <w:pPr>
              <w:pStyle w:val="Compact"/>
              <w:spacing w:line="240" w:lineRule="auto" w:before="20" w:after="20"/>
              <w:ind w:firstLine="0"/>
              <w:jc w:val="center"/>
            </w:pPr>
            <w:r>
              <w:rPr>
                <w:rFonts w:ascii="Times New Roman" w:hAnsi="Times New Roman"/>
                <w:sz w:val="16"/>
              </w:rPr>
              <w:t xml:space="preserve">1,00%</w:t>
            </w:r>
          </w:p>
        </w:tc>
      </w:tr>
      <w:tr>
        <w:trPr>
          <w:cantSplit/>
        </w:trPr>
        <w:tc>
          <w:tcPr>
            <w:tcW w:type="dxa" w:w="623"/>
          </w:tcPr>
          <w:p>
            <w:pPr>
              <w:pStyle w:val="Compact"/>
              <w:spacing w:line="240" w:lineRule="auto" w:before="20" w:after="20"/>
              <w:ind w:firstLine="0"/>
              <w:jc w:val="left"/>
            </w:pPr>
            <w:r>
              <w:rPr>
                <w:rFonts w:ascii="Times New Roman" w:hAnsi="Times New Roman"/>
                <w:sz w:val="16"/>
              </w:rPr>
              <w:t xml:space="preserve">2031</w:t>
            </w:r>
          </w:p>
        </w:tc>
        <w:tc>
          <w:tcPr>
            <w:tcW w:type="dxa" w:w="1077"/>
          </w:tcPr>
          <w:p>
            <w:pPr>
              <w:pStyle w:val="Compact"/>
              <w:spacing w:line="240" w:lineRule="auto" w:before="20" w:after="20"/>
              <w:ind w:firstLine="0"/>
              <w:jc w:val="center"/>
            </w:pPr>
            <w:r>
              <w:rPr>
                <w:rFonts w:ascii="Times New Roman" w:hAnsi="Times New Roman"/>
                <w:sz w:val="16"/>
              </w:rPr>
              <w:t xml:space="preserve">70%</w:t>
            </w:r>
          </w:p>
        </w:tc>
        <w:tc>
          <w:tcPr>
            <w:tcW w:type="dxa" w:w="850"/>
          </w:tcPr>
          <w:p>
            <w:pPr>
              <w:pStyle w:val="Compact"/>
              <w:spacing w:line="240" w:lineRule="auto" w:before="20" w:after="20"/>
              <w:ind w:firstLine="0"/>
              <w:jc w:val="center"/>
            </w:pPr>
            <w:r>
              <w:rPr>
                <w:rFonts w:ascii="Times New Roman" w:hAnsi="Times New Roman"/>
                <w:sz w:val="16"/>
              </w:rPr>
              <w:t xml:space="preserve">30%</w:t>
            </w:r>
          </w:p>
        </w:tc>
        <w:tc>
          <w:tcPr>
            <w:tcW w:type="dxa" w:w="1757"/>
          </w:tcPr>
          <w:p>
            <w:pPr>
              <w:pStyle w:val="Compact"/>
              <w:spacing w:line="240" w:lineRule="auto" w:before="20" w:after="20"/>
              <w:ind w:firstLine="0"/>
              <w:jc w:val="center"/>
            </w:pPr>
            <w:r>
              <w:rPr>
                <w:rFonts w:ascii="Times New Roman" w:hAnsi="Times New Roman"/>
                <w:sz w:val="16"/>
              </w:rPr>
              <w:t xml:space="preserve">80%</w:t>
            </w:r>
          </w:p>
        </w:tc>
        <w:tc>
          <w:tcPr>
            <w:tcW w:type="dxa" w:w="1190"/>
          </w:tcPr>
          <w:p>
            <w:pPr>
              <w:pStyle w:val="Compact"/>
              <w:spacing w:line="240" w:lineRule="auto" w:before="20" w:after="20"/>
              <w:ind w:firstLine="0"/>
              <w:jc w:val="center"/>
            </w:pPr>
            <w:r>
              <w:rPr>
                <w:rFonts w:ascii="Times New Roman" w:hAnsi="Times New Roman"/>
                <w:sz w:val="16"/>
              </w:rPr>
              <w:t xml:space="preserve">24,00%</w:t>
            </w:r>
          </w:p>
        </w:tc>
        <w:tc>
          <w:tcPr>
            <w:tcW w:type="dxa" w:w="1757"/>
          </w:tcPr>
          <w:p>
            <w:pPr>
              <w:pStyle w:val="Compact"/>
              <w:spacing w:line="240" w:lineRule="auto" w:before="20" w:after="20"/>
              <w:ind w:firstLine="0"/>
              <w:jc w:val="center"/>
            </w:pPr>
            <w:r>
              <w:rPr>
                <w:rFonts w:ascii="Times New Roman" w:hAnsi="Times New Roman"/>
                <w:sz w:val="16"/>
              </w:rPr>
              <w:t xml:space="preserve">0,30%</w:t>
            </w:r>
          </w:p>
        </w:tc>
        <w:tc>
          <w:tcPr>
            <w:tcW w:type="dxa" w:w="963"/>
          </w:tcPr>
          <w:p>
            <w:pPr>
              <w:pStyle w:val="Compact"/>
              <w:spacing w:line="240" w:lineRule="auto" w:before="20" w:after="20"/>
              <w:ind w:firstLine="0"/>
              <w:jc w:val="center"/>
            </w:pPr>
            <w:r>
              <w:rPr>
                <w:rFonts w:ascii="Times New Roman" w:hAnsi="Times New Roman"/>
                <w:sz w:val="16"/>
              </w:rPr>
              <w:t xml:space="preserve">5,70%</w:t>
            </w:r>
          </w:p>
        </w:tc>
        <w:tc>
          <w:tcPr>
            <w:tcW w:type="dxa" w:w="850"/>
          </w:tcPr>
          <w:p>
            <w:pPr>
              <w:pStyle w:val="Compact"/>
              <w:spacing w:line="240" w:lineRule="auto" w:before="20" w:after="20"/>
              <w:ind w:firstLine="0"/>
              <w:jc w:val="center"/>
            </w:pPr>
            <w:r>
              <w:rPr>
                <w:rFonts w:ascii="Times New Roman" w:hAnsi="Times New Roman"/>
                <w:sz w:val="16"/>
              </w:rPr>
              <w:t xml:space="preserve">0,67%</w:t>
            </w:r>
          </w:p>
        </w:tc>
      </w:tr>
      <w:tr>
        <w:trPr>
          <w:cantSplit/>
        </w:trPr>
        <w:tc>
          <w:tcPr>
            <w:tcW w:type="dxa" w:w="623"/>
          </w:tcPr>
          <w:p>
            <w:pPr>
              <w:pStyle w:val="Compact"/>
              <w:spacing w:line="240" w:lineRule="auto" w:before="20" w:after="20"/>
              <w:ind w:firstLine="0"/>
              <w:jc w:val="left"/>
            </w:pPr>
            <w:r>
              <w:rPr>
                <w:rFonts w:ascii="Times New Roman" w:hAnsi="Times New Roman"/>
                <w:sz w:val="16"/>
              </w:rPr>
              <w:t xml:space="preserve">2032</w:t>
            </w:r>
          </w:p>
        </w:tc>
        <w:tc>
          <w:tcPr>
            <w:tcW w:type="dxa" w:w="1077"/>
          </w:tcPr>
          <w:p>
            <w:pPr>
              <w:pStyle w:val="Compact"/>
              <w:spacing w:line="240" w:lineRule="auto" w:before="20" w:after="20"/>
              <w:ind w:firstLine="0"/>
              <w:jc w:val="center"/>
            </w:pPr>
            <w:r>
              <w:rPr>
                <w:rFonts w:ascii="Times New Roman" w:hAnsi="Times New Roman"/>
                <w:sz w:val="16"/>
              </w:rPr>
              <w:t xml:space="preserve">60%</w:t>
            </w:r>
          </w:p>
        </w:tc>
        <w:tc>
          <w:tcPr>
            <w:tcW w:type="dxa" w:w="850"/>
          </w:tcPr>
          <w:p>
            <w:pPr>
              <w:pStyle w:val="Compact"/>
              <w:spacing w:line="240" w:lineRule="auto" w:before="20" w:after="20"/>
              <w:ind w:firstLine="0"/>
              <w:jc w:val="center"/>
            </w:pPr>
            <w:r>
              <w:rPr>
                <w:rFonts w:ascii="Times New Roman" w:hAnsi="Times New Roman"/>
                <w:sz w:val="16"/>
              </w:rPr>
              <w:t xml:space="preserve">40%</w:t>
            </w:r>
          </w:p>
        </w:tc>
        <w:tc>
          <w:tcPr>
            <w:tcW w:type="dxa" w:w="1757"/>
          </w:tcPr>
          <w:p>
            <w:pPr>
              <w:pStyle w:val="Compact"/>
              <w:spacing w:line="240" w:lineRule="auto" w:before="20" w:after="20"/>
              <w:ind w:firstLine="0"/>
              <w:jc w:val="center"/>
            </w:pPr>
            <w:r>
              <w:rPr>
                <w:rFonts w:ascii="Times New Roman" w:hAnsi="Times New Roman"/>
                <w:sz w:val="16"/>
              </w:rPr>
              <w:t xml:space="preserve">80%</w:t>
            </w:r>
          </w:p>
        </w:tc>
        <w:tc>
          <w:tcPr>
            <w:tcW w:type="dxa" w:w="1190"/>
          </w:tcPr>
          <w:p>
            <w:pPr>
              <w:pStyle w:val="Compact"/>
              <w:spacing w:line="240" w:lineRule="auto" w:before="20" w:after="20"/>
              <w:ind w:firstLine="0"/>
              <w:jc w:val="center"/>
            </w:pPr>
            <w:r>
              <w:rPr>
                <w:rFonts w:ascii="Times New Roman" w:hAnsi="Times New Roman"/>
                <w:sz w:val="16"/>
              </w:rPr>
              <w:t xml:space="preserve">32,00%</w:t>
            </w:r>
          </w:p>
        </w:tc>
        <w:tc>
          <w:tcPr>
            <w:tcW w:type="dxa" w:w="1757"/>
          </w:tcPr>
          <w:p>
            <w:pPr>
              <w:pStyle w:val="Compact"/>
              <w:spacing w:line="240" w:lineRule="auto" w:before="20" w:after="20"/>
              <w:ind w:firstLine="0"/>
              <w:jc w:val="center"/>
            </w:pPr>
            <w:r>
              <w:rPr>
                <w:rFonts w:ascii="Times New Roman" w:hAnsi="Times New Roman"/>
                <w:sz w:val="16"/>
              </w:rPr>
              <w:t xml:space="preserve">0,40%</w:t>
            </w:r>
          </w:p>
        </w:tc>
        <w:tc>
          <w:tcPr>
            <w:tcW w:type="dxa" w:w="963"/>
          </w:tcPr>
          <w:p>
            <w:pPr>
              <w:pStyle w:val="Compact"/>
              <w:spacing w:line="240" w:lineRule="auto" w:before="20" w:after="20"/>
              <w:ind w:firstLine="0"/>
              <w:jc w:val="center"/>
            </w:pPr>
            <w:r>
              <w:rPr>
                <w:rFonts w:ascii="Times New Roman" w:hAnsi="Times New Roman"/>
                <w:sz w:val="16"/>
              </w:rPr>
              <w:t xml:space="preserve">7,60%</w:t>
            </w:r>
          </w:p>
        </w:tc>
        <w:tc>
          <w:tcPr>
            <w:tcW w:type="dxa" w:w="850"/>
          </w:tcPr>
          <w:p>
            <w:pPr>
              <w:pStyle w:val="Compact"/>
              <w:spacing w:line="240" w:lineRule="auto" w:before="20" w:after="20"/>
              <w:ind w:firstLine="0"/>
              <w:jc w:val="center"/>
            </w:pPr>
            <w:r>
              <w:rPr>
                <w:rFonts w:ascii="Times New Roman" w:hAnsi="Times New Roman"/>
                <w:sz w:val="16"/>
              </w:rPr>
              <w:t xml:space="preserve">0,50%</w:t>
            </w:r>
          </w:p>
        </w:tc>
      </w:tr>
      <w:tr>
        <w:trPr>
          <w:cantSplit/>
        </w:trPr>
        <w:tc>
          <w:tcPr>
            <w:tcW w:type="dxa" w:w="623"/>
          </w:tcPr>
          <w:p>
            <w:pPr>
              <w:pStyle w:val="Compact"/>
              <w:spacing w:line="240" w:lineRule="auto" w:before="20" w:after="20"/>
              <w:ind w:firstLine="0"/>
              <w:jc w:val="left"/>
            </w:pPr>
            <w:r>
              <w:rPr>
                <w:rFonts w:ascii="Times New Roman" w:hAnsi="Times New Roman"/>
                <w:sz w:val="16"/>
              </w:rPr>
              <w:t xml:space="preserve">2033</w:t>
            </w:r>
          </w:p>
        </w:tc>
        <w:tc>
          <w:tcPr>
            <w:tcW w:type="dxa" w:w="1077"/>
          </w:tcPr>
          <w:p>
            <w:pPr>
              <w:pStyle w:val="Compact"/>
              <w:spacing w:line="240" w:lineRule="auto" w:before="20" w:after="20"/>
              <w:ind w:firstLine="0"/>
              <w:jc w:val="center"/>
            </w:pPr>
            <w:r>
              <w:rPr>
                <w:rFonts w:ascii="Times New Roman" w:hAnsi="Times New Roman"/>
                <w:sz w:val="16"/>
              </w:rPr>
              <w:t xml:space="preserve">0%</w:t>
            </w:r>
          </w:p>
        </w:tc>
        <w:tc>
          <w:tcPr>
            <w:tcW w:type="dxa" w:w="850"/>
          </w:tcPr>
          <w:p>
            <w:pPr>
              <w:pStyle w:val="Compact"/>
              <w:spacing w:line="240" w:lineRule="auto" w:before="20" w:after="20"/>
              <w:ind w:firstLine="0"/>
              <w:jc w:val="center"/>
            </w:pPr>
            <w:r>
              <w:rPr>
                <w:rFonts w:ascii="Times New Roman" w:hAnsi="Times New Roman"/>
                <w:sz w:val="16"/>
              </w:rPr>
              <w:t xml:space="preserve">100%</w:t>
            </w:r>
          </w:p>
        </w:tc>
        <w:tc>
          <w:tcPr>
            <w:tcW w:type="dxa" w:w="1757"/>
          </w:tcPr>
          <w:p>
            <w:pPr>
              <w:pStyle w:val="Compact"/>
              <w:spacing w:line="240" w:lineRule="auto" w:before="20" w:after="20"/>
              <w:ind w:firstLine="0"/>
              <w:jc w:val="center"/>
            </w:pPr>
            <w:r>
              <w:rPr>
                <w:rFonts w:ascii="Times New Roman" w:hAnsi="Times New Roman"/>
                <w:sz w:val="16"/>
              </w:rPr>
              <w:t xml:space="preserve">90%</w:t>
            </w:r>
          </w:p>
        </w:tc>
        <w:tc>
          <w:tcPr>
            <w:tcW w:type="dxa" w:w="1190"/>
          </w:tcPr>
          <w:p>
            <w:pPr>
              <w:pStyle w:val="Compact"/>
              <w:spacing w:line="240" w:lineRule="auto" w:before="20" w:after="20"/>
              <w:ind w:firstLine="0"/>
              <w:jc w:val="center"/>
            </w:pPr>
            <w:r>
              <w:rPr>
                <w:rFonts w:ascii="Times New Roman" w:hAnsi="Times New Roman"/>
                <w:sz w:val="16"/>
              </w:rPr>
              <w:t xml:space="preserve">90,00%</w:t>
            </w:r>
          </w:p>
        </w:tc>
        <w:tc>
          <w:tcPr>
            <w:tcW w:type="dxa" w:w="1757"/>
          </w:tcPr>
          <w:p>
            <w:pPr>
              <w:pStyle w:val="Compact"/>
              <w:spacing w:line="240" w:lineRule="auto" w:before="20" w:after="20"/>
              <w:ind w:firstLine="0"/>
              <w:jc w:val="center"/>
            </w:pPr>
            <w:r>
              <w:rPr>
                <w:rFonts w:ascii="Times New Roman" w:hAnsi="Times New Roman"/>
                <w:sz w:val="16"/>
              </w:rPr>
              <w:t xml:space="preserve">0,50%</w:t>
            </w:r>
          </w:p>
        </w:tc>
        <w:tc>
          <w:tcPr>
            <w:tcW w:type="dxa" w:w="963"/>
          </w:tcPr>
          <w:p>
            <w:pPr>
              <w:pStyle w:val="Compact"/>
              <w:spacing w:line="240" w:lineRule="auto" w:before="20" w:after="20"/>
              <w:ind w:firstLine="0"/>
              <w:jc w:val="center"/>
            </w:pPr>
            <w:r>
              <w:rPr>
                <w:rFonts w:ascii="Times New Roman" w:hAnsi="Times New Roman"/>
                <w:sz w:val="16"/>
              </w:rPr>
              <w:t xml:space="preserve">9,50%</w:t>
            </w:r>
          </w:p>
        </w:tc>
        <w:tc>
          <w:tcPr>
            <w:tcW w:type="dxa" w:w="850"/>
          </w:tcPr>
          <w:p>
            <w:pPr>
              <w:pStyle w:val="Compact"/>
              <w:spacing w:line="240" w:lineRule="auto" w:before="20" w:after="20"/>
              <w:ind w:firstLine="0"/>
              <w:jc w:val="center"/>
            </w:pPr>
            <w:r>
              <w:rPr>
                <w:rFonts w:ascii="Times New Roman" w:hAnsi="Times New Roman"/>
                <w:sz w:val="16"/>
              </w:rPr>
              <w:t xml:space="preserve">0,20%</w:t>
            </w:r>
          </w:p>
        </w:tc>
      </w:tr>
    </w:tbl>
    <w:bookmarkEnd w:id="11"/>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As parcelas de transição, Seguro-Receita e destino são expressas como proporção de</w:t>
      </w:r>
      <w:r>
        <w:rPr>
          <w:rFonts w:ascii="Times New Roman" w:hAnsi="Times New Roman"/>
          <w:sz w:val="18"/>
        </w:rPr>
        <w:t xml:space="preserve"> </w:t>
      </w:r>
      <m:oMath>
        <m:sSub>
          <m:e>
            <m:r>
              <m:t>A</m:t>
            </m:r>
          </m:e>
          <m:sub>
            <m:r>
              <m:t>t</m:t>
            </m:r>
          </m:sub>
        </m:sSub>
      </m:oMath>
      <w:r>
        <w:rPr>
          <w:rFonts w:ascii="Times New Roman" w:hAnsi="Times New Roman"/>
          <w:sz w:val="18"/>
        </w:rPr>
        <w:t xml:space="preserve">. A parcela de destino é apresentada após a retenção do Seguro-Receita e antes da dedução do CGIBS. O percentual efetivo destinado ao CGIBS pode ser inferior aos limites legais; a simulação utiliza os limites máximos.</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ADCT, arts. 128 a 132; Lei Complementar n.</w:t>
      </w:r>
      <w:r>
        <w:rPr>
          <w:rFonts w:ascii="Times New Roman" w:hAnsi="Times New Roman"/>
          <w:sz w:val="18"/>
          <w:vertAlign w:val="superscript"/>
        </w:rPr>
        <w:t xml:space="preserve">o</w:t>
      </w:r>
      <w:r>
        <w:rPr>
          <w:rFonts w:ascii="Times New Roman" w:hAnsi="Times New Roman"/>
          <w:sz w:val="18"/>
        </w:rPr>
        <w:t xml:space="preserve"> 227/2026, arts. 47, 51, 109 e 110. Elaboração própria.</w:t>
      </w:r>
    </w:p>
    <w:bookmarkEnd w:id="12"/>
    <w:bookmarkStart w:id="13" w:name="X59677ea8fdca2c27ec2b0b37e8f129c57844232"/>
    <w:p>
      <w:pPr>
        <w:pStyle w:val="Heading2"/>
      </w:pPr>
      <w:r>
        <w:rPr>
          <w:rStyle w:val="SectionNumber"/>
        </w:rPr>
        <w:t xml:space="preserve">3.2</w:t>
      </w:r>
      <w:r>
        <w:tab/>
      </w:r>
      <w:r>
        <w:t xml:space="preserve">Coeficiente de participação na transição federativa</w:t>
      </w:r>
    </w:p>
    <w:p>
      <w:pPr>
        <w:pStyle w:val="FirstParagraph"/>
      </w:pPr>
      <w:r>
        <w:t xml:space="preserve">O coeficiente de participação na transição federativa determina como será distribuída entre os entes a parcela do IBS temporariamente vinculada à receita histórica. Em 2033, 90% do IBS ainda é distribuído segundo esse critério. Nos termos dos arts. 114 e 115 da Lei Complementar n.</w:t>
      </w:r>
      <w:r>
        <w:rPr>
          <w:vertAlign w:val="superscript"/>
        </w:rPr>
        <w:t xml:space="preserve">o</w:t>
      </w:r>
      <w:r>
        <w:t xml:space="preserve"> 227/2026, o coeficiente corresponde à participação de cada ente na receita média de referência do conjunto dos entes federativos.</w:t>
      </w:r>
    </w:p>
    <w:p>
      <w:pPr>
        <w:pStyle w:val="BodyText"/>
      </w:pPr>
      <w:r>
        <w:t xml:space="preserve">No modelo, essa participação é representada por</w:t>
      </w:r>
      <w:r>
        <w:t xml:space="preserve"> </w:t>
      </w:r>
      <m:oMath>
        <m:sSubSup>
          <m:e>
            <m:r>
              <m:t>w</m:t>
            </m:r>
          </m:e>
          <m:sub>
            <m:r>
              <m:t>i</m:t>
            </m:r>
          </m:sub>
          <m:sup>
            <m:r>
              <m:t>H</m:t>
            </m:r>
          </m:sup>
        </m:sSubSup>
      </m:oMath>
      <w:r>
        <w:t xml:space="preserve"> </w:t>
      </w:r>
      <w:r>
        <w:t xml:space="preserve">e estimada por</w:t>
      </w:r>
    </w:p>
    <w:p>
      <w:pPr>
        <w:pStyle w:val="BodyText"/>
      </w:pPr>
      <m:oMathPara>
        <m:oMathParaPr>
          <m:jc m:val="center"/>
        </m:oMathParaPr>
        <m:oMath>
          <m:sSubSup>
            <m:e>
              <m:r>
                <m:t>w</m:t>
              </m:r>
            </m:e>
            <m:sub>
              <m:r>
                <m:t>i</m:t>
              </m:r>
            </m:sub>
            <m:sup>
              <m:r>
                <m:t>H</m:t>
              </m:r>
            </m:sup>
          </m:sSubSup>
          <m:r>
            <m:rPr>
              <m:sty m:val="p"/>
            </m:rPr>
            <m:t>=</m:t>
          </m:r>
          <m:f>
            <m:fPr>
              <m:type m:val="bar"/>
            </m:fPr>
            <m:num>
              <m:f>
                <m:fPr>
                  <m:type m:val="bar"/>
                </m:fPr>
                <m:num>
                  <m:r>
                    <m:t>1</m:t>
                  </m:r>
                </m:num>
                <m:den>
                  <m:r>
                    <m:t>8</m:t>
                  </m:r>
                </m:den>
              </m:f>
              <m:nary>
                <m:naryPr>
                  <m:chr m:val="∑"/>
                  <m:limLoc m:val="undOvr"/>
                  <m:subHide m:val="off"/>
                  <m:supHide m:val="off"/>
                </m:naryPr>
                <m:sub>
                  <m:r>
                    <m:t>τ</m:t>
                  </m:r>
                  <m:r>
                    <m:rPr>
                      <m:sty m:val="p"/>
                    </m:rPr>
                    <m:t>=</m:t>
                  </m:r>
                  <m:r>
                    <m:t>2019</m:t>
                  </m:r>
                </m:sub>
                <m:sup>
                  <m:r>
                    <m:t>2026</m:t>
                  </m:r>
                </m:sup>
                <m:e>
                  <m:sSub>
                    <m:e>
                      <m:r>
                        <m:t>R</m:t>
                      </m:r>
                    </m:e>
                    <m:sub>
                      <m:r>
                        <m:t>i</m:t>
                      </m:r>
                      <m:r>
                        <m:t>τ</m:t>
                      </m:r>
                    </m:sub>
                  </m:sSub>
                </m:e>
              </m:nary>
              <m:d>
                <m:dPr>
                  <m:begChr m:val="("/>
                  <m:sepChr m:val=""/>
                  <m:endChr m:val=")"/>
                  <m:grow/>
                </m:dPr>
                <m:e>
                  <m:f>
                    <m:fPr>
                      <m:type m:val="bar"/>
                    </m:fPr>
                    <m:num>
                      <m:sSub>
                        <m:e>
                          <m:r>
                            <m:t>A</m:t>
                          </m:r>
                        </m:e>
                        <m:sub>
                          <m:r>
                            <m:t>2025</m:t>
                          </m:r>
                        </m:sub>
                      </m:sSub>
                    </m:num>
                    <m:den>
                      <m:sSub>
                        <m:e>
                          <m:r>
                            <m:t>A</m:t>
                          </m:r>
                        </m:e>
                        <m:sub>
                          <m:r>
                            <m:t>τ</m:t>
                          </m:r>
                        </m:sub>
                      </m:sSub>
                    </m:den>
                  </m:f>
                </m:e>
              </m:d>
            </m:num>
            <m:den>
              <m:sSub>
                <m:e>
                  <m:bar>
                    <m:barPr>
                      <m:pos m:val="top"/>
                    </m:barPr>
                    <m:e>
                      <m:r>
                        <m:t>R</m:t>
                      </m:r>
                    </m:e>
                  </m:bar>
                </m:e>
                <m:sub>
                  <m:r>
                    <m:t>T</m:t>
                  </m:r>
                </m:sub>
              </m:sSub>
            </m:den>
          </m:f>
          <m:r>
            <m:rPr>
              <m:sty m:val="p"/>
            </m:rPr>
            <m:t>,</m:t>
          </m:r>
          <m:r>
            <m:t>  </m:t>
          </m:r>
          <m:r>
            <m:t>  </m:t>
          </m:r>
          <m:r>
            <m:rPr>
              <m:sty m:val="p"/>
            </m:rPr>
            <m:t>(</m:t>
          </m:r>
          <m:r>
            <m:t>1</m:t>
          </m:r>
          <m:r>
            <m:rPr>
              <m:sty m:val="p"/>
            </m:rPr>
            <m:t>)</m:t>
          </m:r>
        </m:oMath>
      </m:oMathPara>
    </w:p>
    <w:p>
      <w:pPr>
        <w:pStyle w:val="FirstParagraph"/>
      </w:pPr>
      <w:r>
        <w:t xml:space="preserve">em que</w:t>
      </w:r>
      <w:r>
        <w:t xml:space="preserve"> </w:t>
      </w:r>
      <m:oMath>
        <m:sSub>
          <m:e>
            <m:r>
              <m:t>R</m:t>
            </m:r>
          </m:e>
          <m:sub>
            <m:r>
              <m:t>i</m:t>
            </m:r>
            <m:r>
              <m:t>τ</m:t>
            </m:r>
          </m:sub>
        </m:sSub>
      </m:oMath>
      <w:r>
        <w:t xml:space="preserve"> </w:t>
      </w:r>
      <w:r>
        <w:t xml:space="preserve">corresponde à receita de referência do ente</w:t>
      </w:r>
      <w:r>
        <w:t xml:space="preserve"> </w:t>
      </w:r>
      <m:oMath>
        <m:r>
          <m:t>i</m:t>
        </m:r>
      </m:oMath>
      <w:r>
        <w:t xml:space="preserve"> </w:t>
      </w:r>
      <w:r>
        <w:t xml:space="preserve">no ano</w:t>
      </w:r>
      <w:r>
        <w:t xml:space="preserve"> </w:t>
      </w:r>
      <m:oMath>
        <m:r>
          <m:t>τ</m:t>
        </m:r>
      </m:oMath>
      <w:r>
        <w:t xml:space="preserve">,</w:t>
      </w:r>
      <w:r>
        <w:t xml:space="preserve"> </w:t>
      </w:r>
      <m:oMath>
        <m:sSub>
          <m:e>
            <m:r>
              <m:t>A</m:t>
            </m:r>
          </m:e>
          <m:sub>
            <m:r>
              <m:t>τ</m:t>
            </m:r>
          </m:sub>
        </m:sSub>
      </m:oMath>
      <w:r>
        <w:t xml:space="preserve"> </w:t>
      </w:r>
      <w:r>
        <w:t xml:space="preserve">à arrecadação nacional de referência no mesmo exercício e</w:t>
      </w:r>
      <w:r>
        <w:t xml:space="preserve"> </w:t>
      </w:r>
      <m:oMath>
        <m:sSub>
          <m:e>
            <m:bar>
              <m:barPr>
                <m:pos m:val="top"/>
              </m:barPr>
              <m:e>
                <m:r>
                  <m:t>R</m:t>
                </m:r>
              </m:e>
            </m:bar>
          </m:e>
          <m:sub>
            <m:r>
              <m:t>T</m:t>
            </m:r>
          </m:sub>
        </m:sSub>
      </m:oMath>
      <w:r>
        <w:t xml:space="preserve"> </w:t>
      </w:r>
      <w:r>
        <w:t xml:space="preserve">à receita média de referência do conjunto dos entes. As receitas anuais são convertidas para uma base comum de 2025 pela variação da arrecadação nacional de referência.</w:t>
      </w:r>
    </w:p>
    <w:p>
      <w:pPr>
        <w:pStyle w:val="BodyText"/>
      </w:pPr>
      <w:r>
        <w:t>Para os estados, a receita de referência corresponde ao ICMS bruto, líquido das demais deduções registradas na DCA e da cota-parte municipal, acrescido do Fundo de Combate à Pobreza (FECOP) e das contribuições a fundos estaduais de que trata o art. 115, inciso I, alínea “b”, da Lei Complementar n.o 227/2026. Esta última categoria só é incorporada quando o valor pode ser verificado na DCA, o que hoje ocorre apenas com o Amazonas; Goiás, Mato Grosso e Rio de Janeiro permanecem pendentes de informação oficial. Para os municípios, somam-se o ISS e a cota-parte do ICMS, e o Distrito Federal, ente de esfera única, incorpora também o ISS. Como a lei inclui 2026 na média, mas o exercício só será fechado na DCA em 2027, esse ano entra estimado. Nos estados, o ICMS líquido e a cota-parte de 2025 são corrigidos pelo desempenho relativo de cada UF no RREO de janeiro a agosto de 2026, com renormalização que preserva o total. Nos municípios, a cota-parte segue o fator da UF e o ISS repete o valor de 2025, tratamento que apresentou o menor erro de previsão em todas as faixas de população entre 2022 e 2025. Nos testes com os estados, a estimativa errou em média 0,24% da participação, contra 0,45% ao repetir 2025 e 0,90% ao omitir 2026.</w:t>
      </w:r>
      <w:r>
        <w:rPr/>
      </w:r>
      <w:r>
        <w:rPr/>
      </w:r>
    </w:p>
    <w:p>
      <w:pPr>
        <w:pStyle w:val="BodyText"/>
      </w:pPr>
      <w:r>
        <w:t>No caso municipal, a série é submetida a uma etapa de consistência antes do cálculo do coeficiente. A cota-parte do ICMS declarada pelos municípios é confrontada com os repasses brutos registrados pelo Estado do Paraná e reconciliada ao total estadual da DCA; o ISS permanece ancorado na DCA e somente é substituído quando uma divergência material é confirmada em segunda fonte oficial. Ausência de informação não é tratada como valor igual a zero: as 74 observações de ISS ausentes na DCA, de um total de 2.793, são imputadas a partir dos demais anos do próprio município (53 casos) ou recuperadas de versão anterior da base (21). O objetivo é preservar a lógica do coeficiente legal sem permitir que falhas de preenchimento ou de cobertura determinem artificialmente a participação histórica. O Anexo B documenta a comparação entre as fontes e seus efeitos sobre os resultados.</w:t>
      </w:r>
    </w:p>
    <w:p>
      <w:pPr>
        <w:pStyle w:val="BodyText"/>
      </w:pPr>
      <w:r>
        <w:t xml:space="preserve">Para o governo estadual do Paraná, </w:t>
      </w:r>
      <w:r>
        <w:rPr/>
      </w:r>
      <w:r>
        <w:rPr/>
        <w:t>o coeficiente estimado é de 3,9798%, frente a uma participação de referência de 3,9360% em 2025</w:t>
      </w:r>
      <w:r>
        <w:rPr/>
      </w:r>
      <w:r>
        <w:rPr/>
        <w:t>. A diferença é pequena, mas relevante porque, no horizonte analisado, o componente histórico ainda responde pela maior parte da distribuição do IBS. A memória de cálculo do coeficiente paranaense é apresentada na Tabela A.2.</w:t>
      </w:r>
    </w:p>
    <w:bookmarkEnd w:id="13"/>
    <w:bookmarkStart w:id="14" w:name="participação-pelo-destino"/>
    <w:p>
      <w:pPr>
        <w:pStyle w:val="Heading2"/>
      </w:pPr>
      <w:r>
        <w:rPr>
          <w:rStyle w:val="SectionNumber"/>
        </w:rPr>
        <w:t xml:space="preserve">3.3</w:t>
      </w:r>
      <w:r>
        <w:tab/>
      </w:r>
      <w:r>
        <w:t xml:space="preserve">Participação pelo destino</w:t>
      </w:r>
    </w:p>
    <w:p>
      <w:pPr>
        <w:pStyle w:val="FirstParagraph"/>
      </w:pPr>
      <w:r>
        <w:t xml:space="preserve">A parcela do IBS não distribuída pelo componente histórico é, após a retenção do Seguro-Receita, repartida segundo o destino do consumo. Esse é o segundo coeficiente específico do modelo e ganha peso à medida que avança o cronograma de transição. Como a distribuição efetiva do consumo somente será observada com o funcionamento do IBS, o estudo estima</w:t>
      </w:r>
      <w:r>
        <w:t xml:space="preserve"> </w:t>
      </w:r>
      <m:oMath>
        <m:sSubSup>
          <m:e>
            <m:r>
              <m:t>w</m:t>
            </m:r>
          </m:e>
          <m:sub>
            <m:r>
              <m:t>i</m:t>
            </m:r>
          </m:sub>
          <m:sup>
            <m:r>
              <m:t>D</m:t>
            </m:r>
          </m:sup>
        </m:sSubSup>
      </m:oMath>
      <w:r>
        <w:t xml:space="preserve"> </w:t>
      </w:r>
      <w:r>
        <w:t xml:space="preserve">a partir das informações disponíveis.</w:t>
      </w:r>
    </w:p>
    <w:p>
      <w:pPr>
        <w:pStyle w:val="BodyText"/>
      </w:pPr>
      <w:r>
        <w:t xml:space="preserve">Para as unidades da federação, a estimativa combina a despesa de consumo monetária e não monetária média mensal familiar da POF 2017/2018 com o número de domicílios particulares ocupados do Censo de 2022. A participação da UF</w:t>
      </w:r>
      <w:r>
        <w:t xml:space="preserve"> </w:t>
      </w:r>
      <m:oMath>
        <m:r>
          <m:t>u</m:t>
        </m:r>
      </m:oMath>
      <w:r>
        <w:t xml:space="preserve"> </w:t>
      </w:r>
      <w:r>
        <w:t xml:space="preserve">é aproximada por</w:t>
      </w:r>
    </w:p>
    <w:p>
      <w:pPr>
        <w:pStyle w:val="BodyText"/>
      </w:pPr>
      <m:oMathPara>
        <m:oMathParaPr>
          <m:jc m:val="center"/>
        </m:oMathParaPr>
        <m:oMath>
          <m:sSubSup>
            <m:e>
              <m:r>
                <m:t>w</m:t>
              </m:r>
            </m:e>
            <m:sub>
              <m:r>
                <m:t>u</m:t>
              </m:r>
            </m:sub>
            <m:sup>
              <m:r>
                <m:t>D</m:t>
              </m:r>
            </m:sup>
          </m:sSubSup>
          <m:r>
            <m:rPr>
              <m:sty m:val="p"/>
            </m:rPr>
            <m:t>=</m:t>
          </m:r>
          <m:f>
            <m:fPr>
              <m:type m:val="bar"/>
            </m:fPr>
            <m:num>
              <m:sSub>
                <m:e>
                  <m:r>
                    <m:t>d</m:t>
                  </m:r>
                </m:e>
                <m:sub>
                  <m:r>
                    <m:t>u</m:t>
                  </m:r>
                </m:sub>
              </m:sSub>
              <m:sSub>
                <m:e>
                  <m:r>
                    <m:t>h</m:t>
                  </m:r>
                </m:e>
                <m:sub>
                  <m:r>
                    <m:t>u</m:t>
                  </m:r>
                </m:sub>
              </m:sSub>
            </m:num>
            <m:den>
              <m:nary>
                <m:naryPr>
                  <m:chr m:val="∑"/>
                  <m:limLoc m:val="undOvr"/>
                  <m:subHide m:val="off"/>
                  <m:supHide m:val="on"/>
                </m:naryPr>
                <m:sub>
                  <m:r>
                    <m:t>j</m:t>
                  </m:r>
                </m:sub>
                <m:sup>
                  <m:r>
                    <m:t>​</m:t>
                  </m:r>
                </m:sup>
                <m:e>
                  <m:sSub>
                    <m:e>
                      <m:r>
                        <m:t>d</m:t>
                      </m:r>
                    </m:e>
                    <m:sub>
                      <m:r>
                        <m:t>j</m:t>
                      </m:r>
                    </m:sub>
                  </m:sSub>
                </m:e>
              </m:nary>
              <m:sSub>
                <m:e>
                  <m:r>
                    <m:t>h</m:t>
                  </m:r>
                </m:e>
                <m:sub>
                  <m:r>
                    <m:t>j</m:t>
                  </m:r>
                </m:sub>
              </m:sSub>
            </m:den>
          </m:f>
          <m:r>
            <m:rPr>
              <m:sty m:val="p"/>
            </m:rPr>
            <m:t>,</m:t>
          </m:r>
          <m:r>
            <m:t>  </m:t>
          </m:r>
          <m:r>
            <m:t>  </m:t>
          </m:r>
          <m:r>
            <m:rPr>
              <m:sty m:val="p"/>
            </m:rPr>
            <m:t>(</m:t>
          </m:r>
          <m:r>
            <m:t>2</m:t>
          </m:r>
          <m:r>
            <m:rPr>
              <m:sty m:val="p"/>
            </m:rPr>
            <m:t>)</m:t>
          </m:r>
        </m:oMath>
      </m:oMathPara>
    </w:p>
    <w:p>
      <w:pPr>
        <w:pStyle w:val="FirstParagraph"/>
      </w:pPr>
      <w:r>
        <w:t xml:space="preserve">em que</w:t>
      </w:r>
      <w:r>
        <w:t xml:space="preserve"> </w:t>
      </w:r>
      <m:oMath>
        <m:sSub>
          <m:e>
            <m:r>
              <m:t>d</m:t>
            </m:r>
          </m:e>
          <m:sub>
            <m:r>
              <m:t>u</m:t>
            </m:r>
          </m:sub>
        </m:sSub>
      </m:oMath>
      <w:r>
        <w:t xml:space="preserve"> </w:t>
      </w:r>
      <w:r>
        <w:t xml:space="preserve">representa a despesa média familiar e</w:t>
      </w:r>
      <w:r>
        <w:t xml:space="preserve"> </w:t>
      </w:r>
      <m:oMath>
        <m:sSub>
          <m:e>
            <m:r>
              <m:t>h</m:t>
            </m:r>
          </m:e>
          <m:sub>
            <m:r>
              <m:t>u</m:t>
            </m:r>
          </m:sub>
        </m:sSub>
      </m:oMath>
      <w:r>
        <w:t xml:space="preserve"> </w:t>
      </w:r>
      <w:r>
        <w:t xml:space="preserve">o número de domicílios. </w:t>
      </w:r>
      <w:r>
        <w:rPr/>
      </w:r>
      <w:r>
        <w:rPr/>
        <w:t>A POF entra em nível agregado por UF nessa expressão; seus microdados são usados adiante para ponderar a despesa e estimar a elasticidade-renda do consumo.</w:t>
      </w:r>
      <w:r>
        <w:rPr/>
      </w:r>
      <w:r>
        <w:rPr/>
        <w:t xml:space="preserve"> O produto</w:t>
      </w:r>
      <w:r>
        <w:t xml:space="preserve"> </w:t>
      </w:r>
      <m:oMath>
        <m:sSub>
          <m:e>
            <m:r>
              <m:t>d</m:t>
            </m:r>
          </m:e>
          <m:sub>
            <m:r>
              <m:t>u</m:t>
            </m:r>
          </m:sub>
        </m:sSub>
        <m:sSub>
          <m:e>
            <m:r>
              <m:t>h</m:t>
            </m:r>
          </m:e>
          <m:sub>
            <m:r>
              <m:t>u</m:t>
            </m:r>
          </m:sub>
        </m:sSub>
      </m:oMath>
      <w:r>
        <w:t xml:space="preserve"> </w:t>
      </w:r>
      <w:r>
        <w:t xml:space="preserve">é, portanto, um índice de distribuição relativa do consumo, não uma mensuração direta do consumo tributável que será observado sob o IBS. </w:t>
      </w:r>
      <w:r>
        <w:rPr/>
        <w:t>Para reduzir a dependência de uma única fonte, o coeficiente adotado é a média simples de três rotas, todas sobre a despesa tributável, isto é, a que exclui itens fora do IBS, como o aluguel imputado, e pondera os demais pelas reduções de alíquota da LC n.o 214/2025. A primeira rota é a expressão acima, com a despesa por pessoa multiplicada pelos moradores do Censo. A segunda a atualiza pela renda relativa de cada UF na PNAD Contínua entre 2018 e 2022, com a elasticidade-renda do consumo de 0,75, extremo inferior da faixa de 0,75 a 0,87 sustentada pelos microdados da POF. A terceira distribui os moradores do Censo por classes de salário mínimo e atribui a cada classe a despesa tributável por pessoa observada na POF. Para o Paraná, as rotas resultam em 6,50%, 6,28% e 6,67%, e o composto, em participação agregada de 6,485%, com incerteza relativa de 8%, que combina a dispersão entre rotas e variantes com o erro de validação cruzada. Nessa validação, que exclui uma UF por vez, a renda prevê a participação de cada UF no consumo com erro relativo médio de 6,2%, contra 40% para a população sozinha.</w:t>
      </w:r>
      <w:r>
        <w:rPr/>
      </w:r>
    </w:p>
    <w:p>
      <w:pPr>
        <w:pStyle w:val="BodyText"/>
      </w:pPr>
      <w:r>
        <w:rPr/>
        <w:t xml:space="preserve">Esse coeficiente agregado é repartido entre as esferas segundo a participação relativa das respectivas receitas de referência (63,8331% estadual e 36,1669% municipal). Em cada esfera, o índice de consumo é combinado com a participação da UF nas compras públicas, porque o IBS das compras governamentais pertence ao ente comprador (LC n.o 214/2025, art. 473; LC n.o 227/2026, art. 106). As compras, medidas na DCA/SICONFI (média de 2024 e 2025, a preços de 2025), pesam 42% no IBS municipal e 6% no estadual, proporção em que o imposto das compras iguala os tributos antigos nelas embutidos (LC n.o 214/2025, art. 370). </w:t>
      </w:r>
      <w:r>
        <w:rPr/>
        <w:t>Para o Paraná, resultam 4,1298% para o governo estadual e 2,2885% para os municípios (6,418% no total).</w:t>
      </w:r>
      <w:r>
        <w:rPr/>
      </w:r>
    </w:p>
    <w:p>
      <w:pPr>
        <w:pStyle w:val="BodyText"/>
      </w:pPr>
      <w:r>
        <w:t xml:space="preserve">No nível municipal, a parcela de destino combina dois componentes. A cota-parte do IBS estadual segue o art. 128 da Lei Complementar n.</w:t>
      </w:r>
      <w:r>
        <w:rPr>
          <w:vertAlign w:val="superscript"/>
        </w:rPr>
        <w:t xml:space="preserve">o</w:t>
      </w:r>
      <w:r>
        <w:t xml:space="preserve"> 227/2026: 80% pela população e 5% em parcelas iguais; como os indicadores educacional e ambiental necessários aos 15% restantes ainda não estão disponíveis, essa parcela é também aproximada pela população, resultando operacionalmente em 95% pela população e 5% em parcelas iguais. A parcela própria do IBS municipal, sucessora do ISS, </w:t>
      </w:r>
      <w:r>
        <w:rPr/>
        <w:t>é distribuída dentro de cada UF combinando o consumo estimado de cada município (população vezes a renda domiciliar per capita do Censo de 2022 elevada à elasticidade-renda do consumo) e as compras da prefeitura. A elasticidade, estimada em 0,80 nos microdados da POF, significa que um município com o dobro da renda consome cerca de 74% mais, e não 100%. A cota-parte de 25% também incide sobre o IBS das compras estaduais.</w:t>
      </w:r>
      <w:r>
        <w:rPr/>
        <w:t xml:space="preserve"> A soma desses dois componentes determina</w:t>
      </w:r>
      <w:r>
        <w:t xml:space="preserve"> </w:t>
      </w:r>
      <m:oMath>
        <m:sSubSup>
          <m:e>
            <m:r>
              <m:t>w</m:t>
            </m:r>
          </m:e>
          <m:sub>
            <m:r>
              <m:t>i</m:t>
            </m:r>
          </m:sub>
          <m:sup>
            <m:r>
              <m:t>D</m:t>
            </m:r>
          </m:sup>
        </m:sSubSup>
      </m:oMath>
      <w:r>
        <w:t xml:space="preserve"> </w:t>
      </w:r>
      <w:r>
        <w:t xml:space="preserve">para cada município e, por construção, reproduz o coeficiente agregado da respectiva UF.</w:t>
      </w:r>
    </w:p>
    <w:bookmarkEnd w:id="14"/>
    <w:bookmarkStart w:id="15" w:name="seguro-receita"/>
    <w:p>
      <w:pPr>
        <w:pStyle w:val="Heading2"/>
      </w:pPr>
      <w:r>
        <w:rPr>
          <w:rStyle w:val="SectionNumber"/>
        </w:rPr>
        <w:t xml:space="preserve">3.4</w:t>
      </w:r>
      <w:r>
        <w:tab/>
      </w:r>
      <w:r>
        <w:t xml:space="preserve">Seguro-Receita</w:t>
      </w:r>
    </w:p>
    <w:p>
      <w:pPr>
        <w:pStyle w:val="FirstParagraph"/>
      </w:pPr>
      <w:r>
        <w:t>O Seguro-Receita atua sobre a parcela do IBS não distribuída pelo componente histórico, antes de sua repartição pelo destino. Nos termos do art. 132 do ADCT e dos arts. 110 e 117 da Lei Complementar n.o 227/2026, 5% dessa parcela é retida para compensar os entes com as menores razões entre dois valores: a média, nos doze meses anteriores, do IBS que cada ente apuraria pelo critério do destino, com as alíquotas de referência, e a respectiva receita média de referência ajustada. O numerador da razão é, portanto, o IBS total do ente pelo destino, e não apenas a fração já distribuída por esse critério. No horizonte analisado, a retenção corresponde a 0,10% da arrecadação nacional de referência em 2029 e alcança 0,50% em 2033.</w:t>
      </w:r>
      <w:r>
        <w:rPr>
          <w:vertAlign w:val="superscript"/>
        </w:rPr>
      </w:r>
      <w:r/>
    </w:p>
    <w:p>
      <w:pPr>
        <w:pStyle w:val="BodyText"/>
      </w:pPr>
      <w:r>
        <w:t xml:space="preserve">A receita média de referência ajustada corresponde ao menor valor entre a receita média histórica do ente e o limite de três vezes a média nacional per capita da respectiva esfera. A distribuição é conjunta e sucessiva: os recursos são inicialmente direcionados aos entes com as menores razões e os elevam até um nível comum; o processo continua até o esgotamento do fundo. Assim, não existe um coeficiente de corte fixado previamente. O limiar de elegibilidade é endógeno e corresponde ao nível de equalização alcançado em cada ano. O repasse recebido pelo ente</w:t>
      </w:r>
      <w:r>
        <w:t xml:space="preserve"> </w:t>
      </w:r>
      <m:oMath>
        <m:r>
          <m:t>i</m:t>
        </m:r>
      </m:oMath>
      <w:r>
        <w:t xml:space="preserve"> </w:t>
      </w:r>
      <w:r>
        <w:t xml:space="preserve">no ano</w:t>
      </w:r>
      <w:r>
        <w:t xml:space="preserve"> </w:t>
      </w:r>
      <m:oMath>
        <m:r>
          <m:t>t</m:t>
        </m:r>
      </m:oMath>
      <w:r>
        <w:t xml:space="preserve"> </w:t>
      </w:r>
      <w:r>
        <w:t xml:space="preserve">é representado por</w:t>
      </w:r>
      <w:r>
        <w:t xml:space="preserve"> </w:t>
      </w:r>
      <m:oMath>
        <m:sSub>
          <m:e>
            <m:r>
              <m:t>S</m:t>
            </m:r>
          </m:e>
          <m:sub>
            <m:r>
              <m:t>i</m:t>
            </m:r>
            <m:r>
              <m:t>t</m:t>
            </m:r>
          </m:sub>
        </m:sSub>
      </m:oMath>
      <w:r>
        <w:t xml:space="preserve">.</w:t>
      </w:r>
    </w:p>
    <w:p>
      <w:pPr>
        <w:pStyle w:val="BodyText"/>
      </w:pPr>
      <w:r>
        <w:t>Na simulação, o fundo nacional cresce de R$ 1,10 bilhão em 2029 para R$ 5,99 bilhões em 2033, e o número de entes contemplados cai de 292 para 200 à medida que o nível de equalização se eleva. Entre os estados, apenas o Amazonas é contemplado, resultado coerente com a simulação do Comsefaz, em que esse é o primeiro estado beneficiário. No Paraná, o governo estadual não recebe repasses no período, e entre 7 e 12 municípios são contemplados a cada ano. Após a auditoria dos dados municipais, os repasses aos municípios paranaenses somam aproximadamente R$ 562,3 milhões entre 2029 e 2033; o detalhamento anual é apresentado no Anexo C.</w:t>
      </w:r>
      <w:r>
        <w:rPr/>
      </w:r>
      <w:r>
        <w:rPr/>
      </w:r>
      <w:r>
        <w:rPr/>
      </w:r>
      <w:r>
        <w:rPr/>
      </w:r>
      <w:r>
        <w:rPr/>
      </w:r>
      <w:r>
        <w:rPr/>
      </w:r>
      <w:r>
        <w:rPr/>
      </w:r>
      <w:r>
        <w:rPr/>
      </w:r>
      <w:r>
        <w:rPr/>
      </w:r>
      <w:r>
        <w:rPr/>
      </w:r>
      <w:r>
        <w:rPr/>
      </w:r>
      <w:r>
        <w:rPr/>
      </w:r>
      <w:r>
        <w:rPr/>
      </w:r>
      <w:r>
        <w:rPr/>
      </w:r>
    </w:p>
    <w:p>
      <w:pPr>
        <w:pStyle w:val="BodyText"/>
      </w:pPr>
      <w:r>
        <w:t>A simulação reproduz o procedimento previsto em lei: a distribuição é feita mês a mês, com média móvel de doze meses e, de 2029 a 2033, com a correção dos meses do ano anterior pela razão entre as alíquotas de referência (art. 117, § 2o), admitindo-se receita constante dentro de cada ano. A população usa a média de 2019 a 2026, com o Censo Demográfico de 2022 no ano de 2022 e a interpolação entre o Censo e a estimativa de 2024 em 2023, anos em que o IBGE não publica estimativa.</w:t>
      </w:r>
    </w:p>
    <w:bookmarkEnd w:id="15"/>
    <w:bookmarkStart w:id="16" w:name="modelo-de-projeção"/>
    <w:p>
      <w:pPr>
        <w:pStyle w:val="Heading2"/>
      </w:pPr>
      <w:r>
        <w:rPr>
          <w:rStyle w:val="SectionNumber"/>
        </w:rPr>
        <w:t xml:space="preserve">3.5</w:t>
      </w:r>
      <w:r>
        <w:tab/>
      </w:r>
      <w:r>
        <w:t xml:space="preserve">Modelo de projeção</w:t>
      </w:r>
    </w:p>
    <w:p>
      <w:pPr>
        <w:pStyle w:val="FirstParagraph"/>
      </w:pPr>
      <w:r>
        <w:t xml:space="preserve">A receita projetada de cada ente</w:t>
      </w:r>
      <w:r>
        <w:t xml:space="preserve"> </w:t>
      </w:r>
      <m:oMath>
        <m:r>
          <m:t>i</m:t>
        </m:r>
      </m:oMath>
      <w:r>
        <w:t xml:space="preserve">, no ano</w:t>
      </w:r>
      <w:r>
        <w:t xml:space="preserve"> </w:t>
      </w:r>
      <m:oMath>
        <m:r>
          <m:t>t</m:t>
        </m:r>
      </m:oMath>
      <w:r>
        <w:t xml:space="preserve">, reúne o agregado nacional e os mecanismos de repartição definidos nas subseções anteriores. O modelo decompõe essa receita em quatro componentes: ICMS ou ISS remanescente, IBS distribuído pelo componente histórico, IBS distribuído pelo destino e Seguro-Receita. A dedução destinada ao financiamento do CGIBS é aplicada posteriormente. A projeção é dada por</w:t>
      </w:r>
    </w:p>
    <w:p>
      <w:pPr>
        <w:pStyle w:val="BodyText"/>
        <w:keepLines/>
        <w:spacing w:line="240" w:lineRule="auto" w:before="120" w:after="120"/>
        <w:ind w:firstLine="0"/>
        <w:jc w:val="center"/>
      </w:pPr>
      <w:r>
        <w:drawing>
          <wp:inline>
            <wp:extent cx="5760000" cy="564108"/>
            <wp:docPr id="67" name="Picture 67"/>
            <wp:cNvGraphicFramePr>
              <a:graphicFrameLocks noChangeAspect="1"/>
            </wp:cNvGraphicFramePr>
            <a:graphic>
              <a:graphicData uri="http://schemas.openxmlformats.org/drawingml/2006/picture">
                <pic:pic>
                  <pic:nvPicPr>
                    <pic:cNvPr id="0" name="eq_3.png"/>
                    <pic:cNvPicPr/>
                  </pic:nvPicPr>
                  <pic:blipFill>
                    <a:blip r:embed="rId9"/>
                    <a:stretch>
                      <a:fillRect/>
                    </a:stretch>
                  </pic:blipFill>
                  <pic:spPr>
                    <a:xfrm>
                      <a:off x="0" y="0"/>
                      <a:ext cx="5760000" cy="564108"/>
                    </a:xfrm>
                    <a:prstGeom prst="rect"/>
                  </pic:spPr>
                </pic:pic>
              </a:graphicData>
            </a:graphic>
          </wp:inline>
        </w:drawing>
      </w:r>
    </w:p>
    <w:p>
      <w:pPr>
        <w:pStyle w:val="BodyText"/>
      </w:pPr>
      <w:r>
        <w:t xml:space="preserve">Na Equação 3,</w:t>
      </w:r>
      <w:r>
        <w:t xml:space="preserve"> </w:t>
      </w:r>
      <m:oMath>
        <m:sSubSup>
          <m:e>
            <m:r>
              <m:t>R</m:t>
            </m:r>
          </m:e>
          <m:sub>
            <m:r>
              <m:t>i</m:t>
            </m:r>
            <m:r>
              <m:t>t</m:t>
            </m:r>
          </m:sub>
          <m:sup>
            <m:r>
              <m:t>R</m:t>
            </m:r>
          </m:sup>
        </m:sSubSup>
      </m:oMath>
      <w:r>
        <w:t xml:space="preserve"> </w:t>
      </w:r>
      <w:r>
        <w:t xml:space="preserve">representa a receita projetada do ente</w:t>
      </w:r>
      <w:r>
        <w:t xml:space="preserve"> </w:t>
      </w:r>
      <m:oMath>
        <m:r>
          <m:t>i</m:t>
        </m:r>
      </m:oMath>
      <w:r>
        <w:t xml:space="preserve"> </w:t>
      </w:r>
      <w:r>
        <w:t xml:space="preserve">no ano</w:t>
      </w:r>
      <w:r>
        <w:t xml:space="preserve"> </w:t>
      </w:r>
      <m:oMath>
        <m:r>
          <m:t>t</m:t>
        </m:r>
      </m:oMath>
      <w:r>
        <w:t xml:space="preserve">;</w:t>
      </w:r>
      <w:r>
        <w:t xml:space="preserve"> </w:t>
      </w:r>
      <m:oMath>
        <m:sSubSup>
          <m:e>
            <m:r>
              <m:t>w</m:t>
            </m:r>
          </m:e>
          <m:sub>
            <m:r>
              <m:t>i</m:t>
            </m:r>
          </m:sub>
          <m:sup>
            <m:r>
              <m:t>0</m:t>
            </m:r>
          </m:sup>
        </m:sSubSup>
      </m:oMath>
      <w:r>
        <w:t xml:space="preserve">, sua participação na receita de referência de 2025;</w:t>
      </w:r>
      <w:r>
        <w:t xml:space="preserve"> </w:t>
      </w:r>
      <m:oMath>
        <m:sSubSup>
          <m:e>
            <m:r>
              <m:t>w</m:t>
            </m:r>
          </m:e>
          <m:sub>
            <m:r>
              <m:t>i</m:t>
            </m:r>
          </m:sub>
          <m:sup>
            <m:r>
              <m:t>H</m:t>
            </m:r>
          </m:sup>
        </m:sSubSup>
      </m:oMath>
      <w:r>
        <w:t xml:space="preserve">, sua participação na transição federativa; e</w:t>
      </w:r>
      <w:r>
        <w:t xml:space="preserve"> </w:t>
      </w:r>
      <m:oMath>
        <m:sSubSup>
          <m:e>
            <m:r>
              <m:t>w</m:t>
            </m:r>
          </m:e>
          <m:sub>
            <m:r>
              <m:t>i</m:t>
            </m:r>
          </m:sub>
          <m:sup>
            <m:r>
              <m:t>D</m:t>
            </m:r>
          </m:sup>
        </m:sSubSup>
      </m:oMath>
      <w:r>
        <w:t xml:space="preserve">, sua participação na distribuição pelo destino. Os parâmetros</w:t>
      </w:r>
      <w:r>
        <w:t xml:space="preserve"> </w:t>
      </w:r>
      <m:oMath>
        <m:sSub>
          <m:e>
            <m:r>
              <m:t>f</m:t>
            </m:r>
          </m:e>
          <m:sub>
            <m:r>
              <m:t>t</m:t>
            </m:r>
          </m:sub>
        </m:sSub>
      </m:oMath>
      <w:r>
        <w:t xml:space="preserve">,</w:t>
      </w:r>
      <w:r>
        <w:t xml:space="preserve"> </w:t>
      </w:r>
      <m:oMath>
        <m:sSub>
          <m:e>
            <m:r>
              <m:t>s</m:t>
            </m:r>
          </m:e>
          <m:sub>
            <m:r>
              <m:t>t</m:t>
            </m:r>
          </m:sub>
        </m:sSub>
      </m:oMath>
      <w:r>
        <w:t xml:space="preserve">,</w:t>
      </w:r>
      <w:r>
        <w:t xml:space="preserve"> </w:t>
      </w:r>
      <m:oMath>
        <m:sSub>
          <m:e>
            <m:r>
              <m:t>λ</m:t>
            </m:r>
          </m:e>
          <m:sub>
            <m:r>
              <m:t>t</m:t>
            </m:r>
          </m:sub>
        </m:sSub>
      </m:oMath>
      <w:r>
        <w:t xml:space="preserve"> </w:t>
      </w:r>
      <w:r>
        <w:t xml:space="preserve">e</w:t>
      </w:r>
      <w:r>
        <w:t xml:space="preserve"> </w:t>
      </w:r>
      <m:oMath>
        <m:sSub>
          <m:e>
            <m:r>
              <m:t>ρ</m:t>
            </m:r>
          </m:e>
          <m:sub>
            <m:r>
              <m:t>t</m:t>
            </m:r>
          </m:sub>
        </m:sSub>
      </m:oMath>
      <w:r>
        <w:t xml:space="preserve"> </w:t>
      </w:r>
      <w:r>
        <w:t xml:space="preserve">seguem a Tabela 1, e a Tabela A.5, no Anexo A, reúne os símbolos do modelo. O termo</w:t>
      </w:r>
      <w:r>
        <w:t xml:space="preserve"> </w:t>
      </w:r>
      <m:oMath>
        <m:sSub>
          <m:e>
            <m:r>
              <m:t>S</m:t>
            </m:r>
          </m:e>
          <m:sub>
            <m:r>
              <m:t>i</m:t>
            </m:r>
            <m:r>
              <m:t>t</m:t>
            </m:r>
          </m:sub>
        </m:sSub>
      </m:oMath>
      <w:r>
        <w:t xml:space="preserve"> </w:t>
      </w:r>
      <w:r>
        <w:t xml:space="preserve">corresponde ao valor recebido pelo Seguro-Receita e</w:t>
      </w:r>
      <w:r>
        <w:t xml:space="preserve"> </w:t>
      </w:r>
      <m:oMath>
        <m:sSub>
          <m:e>
            <m:r>
              <m:t>G</m:t>
            </m:r>
          </m:e>
          <m:sub>
            <m:r>
              <m:t>i</m:t>
            </m:r>
            <m:r>
              <m:t>t</m:t>
            </m:r>
          </m:sub>
        </m:sSub>
      </m:oMath>
      <w:r>
        <w:t xml:space="preserve"> </w:t>
      </w:r>
      <w:r>
        <w:t xml:space="preserve">à dedução total destinada ao financiamento do CGIBS sobre a receita de IBS atribuída ao ente.</w:t>
      </w:r>
    </w:p>
    <w:p>
      <w:pPr>
        <w:pStyle w:val="BodyText"/>
      </w:pPr>
      <w:r>
        <w:t xml:space="preserve">O cenário contrafactual mantém a participação de 2025 ao longo de toda a trajetória nacional projetada, de modo que a receita contrafactual do ente</w:t>
      </w:r>
      <w:r>
        <w:t xml:space="preserve"> </w:t>
      </w:r>
      <m:oMath>
        <m:r>
          <m:t>i</m:t>
        </m:r>
      </m:oMath>
      <w:r>
        <w:t xml:space="preserve"> </w:t>
      </w:r>
      <w:r>
        <w:t xml:space="preserve">no ano</w:t>
      </w:r>
      <w:r>
        <w:t xml:space="preserve"> </w:t>
      </w:r>
      <m:oMath>
        <m:r>
          <m:t>t</m:t>
        </m:r>
      </m:oMath>
      <w:r>
        <w:t xml:space="preserve"> </w:t>
      </w:r>
      <w:r>
        <w:t xml:space="preserve">é</w:t>
      </w:r>
      <w:r>
        <w:t xml:space="preserve"> </w:t>
      </w:r>
      <m:oMath>
        <m:sSubSup>
          <m:e>
            <m:r>
              <m:t>R</m:t>
            </m:r>
          </m:e>
          <m:sub>
            <m:r>
              <m:t>i</m:t>
            </m:r>
            <m:r>
              <m:t>t</m:t>
            </m:r>
          </m:sub>
          <m:sup>
            <m:r>
              <m:t>C</m:t>
            </m:r>
          </m:sup>
        </m:sSubSup>
        <m:r>
          <m:rPr>
            <m:sty m:val="p"/>
          </m:rPr>
          <m:t>=</m:t>
        </m:r>
        <m:sSub>
          <m:e>
            <m:r>
              <m:t>A</m:t>
            </m:r>
          </m:e>
          <m:sub>
            <m:r>
              <m:t>t</m:t>
            </m:r>
          </m:sub>
        </m:sSub>
        <m:sSubSup>
          <m:e>
            <m:r>
              <m:t>w</m:t>
            </m:r>
          </m:e>
          <m:sub>
            <m:r>
              <m:t>i</m:t>
            </m:r>
          </m:sub>
          <m:sup>
            <m:r>
              <m:t>0</m:t>
            </m:r>
          </m:sup>
        </m:sSubSup>
      </m:oMath>
      <w:r>
        <w:t xml:space="preserve">. A variação atribuída à reforma é calculada por</w:t>
      </w:r>
      <w:r>
        <w:t xml:space="preserve"> </w:t>
      </w:r>
      <m:oMath>
        <m:sSub>
          <m:e>
            <m:r>
              <m:rPr>
                <m:sty m:val="p"/>
              </m:rPr>
              <m:t>Δ</m:t>
            </m:r>
          </m:e>
          <m:sub>
            <m:r>
              <m:t>i</m:t>
            </m:r>
            <m:r>
              <m:t>t</m:t>
            </m:r>
          </m:sub>
        </m:sSub>
        <m:r>
          <m:rPr>
            <m:sty m:val="p"/>
          </m:rPr>
          <m:t>=</m:t>
        </m:r>
        <m:sSubSup>
          <m:e>
            <m:r>
              <m:t>R</m:t>
            </m:r>
          </m:e>
          <m:sub>
            <m:r>
              <m:t>i</m:t>
            </m:r>
            <m:r>
              <m:t>t</m:t>
            </m:r>
          </m:sub>
          <m:sup>
            <m:r>
              <m:t>R</m:t>
            </m:r>
          </m:sup>
        </m:sSubSup>
        <m:r>
          <m:rPr>
            <m:sty m:val="p"/>
          </m:rPr>
          <m:t>/</m:t>
        </m:r>
        <m:sSubSup>
          <m:e>
            <m:r>
              <m:t>R</m:t>
            </m:r>
          </m:e>
          <m:sub>
            <m:r>
              <m:t>i</m:t>
            </m:r>
            <m:r>
              <m:t>t</m:t>
            </m:r>
          </m:sub>
          <m:sup>
            <m:r>
              <m:t>C</m:t>
            </m:r>
          </m:sup>
        </m:sSubSup>
        <m:r>
          <m:rPr>
            <m:sty m:val="p"/>
          </m:rPr>
          <m:t>−</m:t>
        </m:r>
        <m:r>
          <m:t>1</m:t>
        </m:r>
      </m:oMath>
      <w:r>
        <w:t xml:space="preserve">. Como</w:t>
      </w:r>
      <w:r>
        <w:t xml:space="preserve"> </w:t>
      </w:r>
      <m:oMath>
        <m:sSub>
          <m:e>
            <m:r>
              <m:t>A</m:t>
            </m:r>
          </m:e>
          <m:sub>
            <m:r>
              <m:t>t</m:t>
            </m:r>
          </m:sub>
        </m:sSub>
      </m:oMath>
      <w:r>
        <w:t xml:space="preserve"> </w:t>
      </w:r>
      <w:r>
        <w:t xml:space="preserve">é idêntico nos dois cenários, a comparação isola os efeitos das novas regras de repartição e dos mecanismos de transição, sem atribuir à reforma o crescimento projetado da arrecadação nacional.</w:t>
      </w:r>
    </w:p>
    <w:p>
      <w:pPr>
        <w:pStyle w:val="BodyText"/>
      </w:pPr>
      <w:r>
        <w:t>A escolha do último exercício fechado, 2025, como referência do cenário contrafactual tem justificativa institucional. As despesas dos entes são fixadas a partir de projeções de receita que, na prática, tomam o resultado realizado mais recente como ponto de partida, de modo que a participação observada em 2025 aproxima a expectativa com que as dotações seriam definidas na ausência de mudança de regras. O contrafactual, de participação constante, não pretende, portanto, prever a trajetória própria do ICMS de cada ente, mas isolar o efeito das novas regras de repartição sobre uma posição relativa conhecida no momento da decisão. Como o último ano pode refletir flutuações transitórias, a Seção 4.2.2 e o Anexo A examinam a sensibilidade dos resultados a bases alternativas, entre as quais a média histórica e a estimativa para 2026.</w:t>
      </w:r>
      <w:r>
        <w:rPr/>
      </w:r>
      <w:r>
        <w:rPr/>
      </w:r>
    </w:p>
    <w:bookmarkEnd w:id="16"/>
    <w:bookmarkStart w:id="17" w:name="limitações"/>
    <w:p>
      <w:pPr>
        <w:pStyle w:val="Heading2"/>
      </w:pPr>
      <w:r>
        <w:rPr>
          <w:rStyle w:val="SectionNumber"/>
        </w:rPr>
        <w:t xml:space="preserve">3.6</w:t>
      </w:r>
      <w:r>
        <w:tab/>
      </w:r>
      <w:r>
        <w:t xml:space="preserve">Limitações</w:t>
      </w:r>
    </w:p>
    <w:p>
      <w:pPr>
        <w:pStyle w:val="FirstParagraph"/>
      </w:pPr>
      <w:r>
        <w:t>As projeções estão condicionadas à disponibilidade e à qualidade das informações que formarão os parâmetros definitivos da transição. O coeficiente de participação deverá considerar 2019 a 2026, mas os dados fechados da DCA de 2026 ainda não estão disponíveis; por isso, 2026 entra como estimativa baseada no RREO, e o coeficiente deverá ser recalculado com o dado fechado. Além disso, o cálculo incorpora o FECOP e, entre as contribuições a fundos estaduais referidas no art. 115, inciso I, alínea “b”, da Lei Complementar n.o 227/2026, apenas as do Amazonas, as únicas verificáveis em base pública; as dos demais estados dependem de informação que a lei exige que eles prestem ao CGIBS. No Paraná, cada R$ 1 bilhão de contribuições elegíveis elevaria o coeficiente histórico estadual em cerca de 0,1 ponto percentual e a variação da receita de 2033 em cerca de 2 pontos percentuais. A incorporação do dado fechado de 2026 e dessas receitas pode, portanto, alterar os coeficientes históricos e os valores projetados.</w:t>
      </w:r>
      <w:r>
        <w:rPr/>
      </w:r>
      <w:r>
        <w:rPr/>
      </w:r>
      <w:r/>
      <w:r/>
      <w:r/>
      <w:r>
        <w:rPr>
          <w:vertAlign w:val="superscript"/>
        </w:rPr>
      </w:r>
      <w:r/>
    </w:p>
    <w:p>
      <w:pPr>
        <w:pStyle w:val="BodyText"/>
      </w:pPr>
      <w:r>
        <w:t xml:space="preserve">O coeficiente de destino também deve ser interpretado como aproximação. Sua distribuição somente será conhecida com maior precisão quando o IBS estiver em operação; até lá, o estudo combina POF, Censo e aproximações intraestaduais. No rateio municipal da cota-parte, os critérios educacional e ambiental são aproximados pela população. </w:t>
      </w:r>
      <w:r>
        <w:rPr/>
        <w:t xml:space="preserve">O peso das compras decorre de uma fração estimada com as Tabelas de Recursos e Usos do IBGE (faixa de 36% a 42% no IBS municipal), e o valor oficial dependerá do redutor do art. 370, ainda não calculado; </w:t>
      </w:r>
      <w:r>
        <w:rPr/>
        <w:t>a elasticidade de 0,80 usada no rateio municipal é o ponto médio</w:t>
      </w:r>
      <w:r>
        <w:rPr/>
        <w:t xml:space="preserve"> entre os limites de 0,75 e 0,87 sustentados pelos dados. </w:t>
      </w:r>
      <w:r>
        <w:rPr/>
        <w:t>Para o Paraná, a incerteza relativa de 8% do coeficiente estadual de destino equivale, em um desvio-padrão, a ±0,8 ponto percentual na variação da receita em 2033 e a ±7,8 pontos percentuais em 2077, porque cada ponto percentual do coeficiente altera a variação de 2077 em cerca de 24 pontos e a de 2033 em cerca de 2,4. Essas hipóteses afetam sobretudo a distribuição entre entes</w:t>
      </w:r>
      <w:r>
        <w:rPr/>
      </w:r>
      <w:r>
        <w:rPr/>
        <w:t xml:space="preserve"> e tornam os resultados de longo prazo, quando o destino ganha maior peso, mais sensíveis à qualidade dessa estimativa.</w:t>
      </w:r>
    </w:p>
    <w:p>
      <w:pPr>
        <w:pStyle w:val="BodyText"/>
      </w:pPr>
      <w:r>
        <w:t>Há ainda incertezas sobre a trajetória da base tributária. O modelo mantém a receita nacional de referência próxima de 8% do PIB, em linha com o mecanismo legal de calibração das alíquotas de referência, mas a arrecadação observada poderá oscilar se Estados e Municípios fixarem alíquotas próprias acima ou abaixo dessas referências. As projeções do ICMS e do ISS remanescentes também não incorporam eventual ampliação da base do ICMS durante a coexistência com IBS e CBS. A trajetória do PIB é necessariamente incerta. Em conjunto, essas limitações recomendam interpretar os valores como ordens de grandeza condicionais. No horizonte inicial, elas tendem a afetar mais as magnitudes absolutas do que a direção geral dos resultados, que decorre principalmente das diferenças entre a participação de referência e os coeficientes histórico e de destino; no horizonte longo, a incerteza sobre o destino se torna mais relevante.</w:t>
      </w:r>
    </w:p>
    <w:bookmarkEnd w:id="17"/>
    <w:bookmarkEnd w:id="18"/>
    <w:bookmarkStart w:id="38" w:name="resultados"/>
    <w:p>
      <w:pPr>
        <w:pStyle w:val="Heading1"/>
      </w:pPr>
      <w:r>
        <w:rPr>
          <w:rStyle w:val="SectionNumber"/>
        </w:rPr>
        <w:t xml:space="preserve">4</w:t>
      </w:r>
      <w:r>
        <w:tab/>
      </w:r>
      <w:r>
        <w:t xml:space="preserve">Resultados</w:t>
      </w:r>
    </w:p>
    <w:p>
      <w:pPr>
        <w:pStyle w:val="FirstParagraph"/>
      </w:pPr>
      <w:r>
        <w:t xml:space="preserve">Esta seção aplica o modelo de projeção apresentado na seção anterior para estimar os efeitos da transição do ICMS e do ISS para o IBS sobre a receita subnacional. A análise parte do quadro nacional, de modo a identificar a distribuição de perdas e ganhos entre as unidades da federação e situar o Paraná nesse padrão redistributivo. Em seguida, examina-se o caso paranaense em maior detalhe, com projeções anuais para 2029 a 2033 e comparação com o cenário contrafactual sem reforma. Por fim, a análise é estendida aos municípios do estado.</w:t>
      </w:r>
    </w:p>
    <w:bookmarkStart w:id="20" w:name="resultados-por-unidade-da-federação"/>
    <w:p>
      <w:pPr>
        <w:pStyle w:val="Heading2"/>
      </w:pPr>
      <w:r>
        <w:rPr>
          <w:rStyle w:val="SectionNumber"/>
        </w:rPr>
        <w:t xml:space="preserve">4.1</w:t>
      </w:r>
      <w:r>
        <w:tab/>
      </w:r>
      <w:r>
        <w:t xml:space="preserve">Resultados por unidade da federação</w:t>
      </w:r>
    </w:p>
    <w:p>
      <w:pPr>
        <w:pStyle w:val="FirstParagraph"/>
      </w:pPr>
      <w:r>
        <w:t xml:space="preserve">Esta subseção compara a receita estadual projetada de cada unidade da federação com a receita do cenário contrafactual sem reforma. Para os governos estaduais, a receita de referência corresponde ao ICMS acrescido do Fundo de Combate à Pobreza, líquido da cota-parte destinada aos municípios e das demais deduções que integram a base de transição. A Tabela 2 reúne as projeções entre 2029 e 2033, com as unidades da federação ordenadas pela variação relativa estimada no último ano.</w:t>
      </w:r>
    </w:p>
    <w:bookmarkStart w:id="19" w:name="tab:uf"/>
    <w:p>
      <w:pPr>
        <w:pStyle w:val="TableCaption"/>
      </w:pPr>
      <w:r>
        <w:rPr>
          <w:b/>
          <w:bCs/>
        </w:rPr>
        <w:t xml:space="preserve">Tabela 2:</w:t>
      </w:r>
      <w:r>
        <w:t xml:space="preserve"> Receita projetada do ente estadual, por unidade federativa, 2029 a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0" w:lastRow="0" w:firstColumn="0" w:lastColumn="0" w:noHBand="0" w:noVBand="0" w:val="0000"/>
        <w:tblCaption w:val="Tabela 2: Receita projetada do ente estadual, por unidade federativa, 2029 a 2033"/>
      </w:tblPr>
      <w:tblGrid>
        <w:gridCol w:w="439"/>
        <w:gridCol w:w="1484"/>
        <w:gridCol w:w="714"/>
        <w:gridCol w:w="714"/>
        <w:gridCol w:w="714"/>
        <w:gridCol w:w="714"/>
        <w:gridCol w:w="714"/>
        <w:gridCol w:w="714"/>
        <w:gridCol w:w="714"/>
        <w:gridCol w:w="714"/>
        <w:gridCol w:w="714"/>
        <w:gridCol w:w="714"/>
      </w:tblGrid>
      <w:tr>
        <w:trPr>
          <w:cantSplit/>
          <w:tblHeader/>
        </w:trPr>
        <w:tc>
          <w:tcPr>
            <w:tcW w:type="dxa" w:w="43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4"/>
              </w:rPr>
              <w:t xml:space="preserve">UF</w:t>
            </w:r>
          </w:p>
        </w:tc>
        <w:tc>
          <w:tcPr>
            <w:tcW w:type="dxa" w:w="148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4"/>
              </w:rPr>
              <w:t xml:space="preserve">Receita-base</w:t>
            </w:r>
            <w:r>
              <w:rPr>
                <w:rFonts w:ascii="Times New Roman" w:hAnsi="Times New Roman"/>
                <w:b/>
                <w:sz w:val="14"/>
              </w:rPr>
              <w:br/>
            </w:r>
            <w:r>
              <w:rPr>
                <w:rFonts w:ascii="Times New Roman" w:hAnsi="Times New Roman"/>
                <w:b/>
                <w:bCs/>
                <w:sz w:val="14"/>
              </w:rPr>
              <w:t xml:space="preserve">2025</w:t>
            </w:r>
          </w:p>
        </w:tc>
        <w:tc>
          <w:tcPr>
            <w:tcW w:type="dxa" w:w="3573"/>
            <w:gridSpan w:val="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4"/>
              </w:rPr>
              <w:t xml:space="preserve">Receita projetada sob a reforma, R$ bi</w:t>
            </w:r>
          </w:p>
        </w:tc>
        <w:tc>
          <w:tcPr>
            <w:tcW w:type="dxa" w:w="3573"/>
            <w:gridSpan w:val="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4"/>
              </w:rPr>
              <w:t xml:space="preserve">Variação ante o cenário sem reforma (%)</w:t>
            </w:r>
          </w:p>
        </w:tc>
      </w:tr>
      <w:tr>
        <w:trPr>
          <w:cantSplit/>
        </w:trPr>
        <w:tc>
          <w:tcPr>
            <w:tcW w:type="dxa" w:w="439"/>
          </w:tcPr>
          <w:p>
            <w:pPr>
              <w:pStyle w:val="Compact"/>
              <w:spacing w:line="240" w:lineRule="auto" w:before="20" w:after="20"/>
              <w:ind w:firstLine="0"/>
            </w:pPr>
          </w:p>
        </w:tc>
        <w:tc>
          <w:tcPr>
            <w:tcW w:type="dxa" w:w="1484"/>
          </w:tcPr>
          <w:p>
            <w:pPr>
              <w:pStyle w:val="Compact"/>
              <w:spacing w:line="240" w:lineRule="auto" w:before="20" w:after="20"/>
              <w:ind w:firstLine="0"/>
            </w:pPr>
          </w:p>
        </w:tc>
        <w:tc>
          <w:tcPr>
            <w:tcW w:type="dxa" w:w="714"/>
          </w:tcPr>
          <w:p>
            <w:pPr>
              <w:pStyle w:val="Compact"/>
              <w:spacing w:line="240" w:lineRule="auto" w:before="20" w:after="20"/>
              <w:ind w:firstLine="0"/>
              <w:jc w:val="right"/>
            </w:pPr>
            <w:r>
              <w:rPr>
                <w:rFonts w:ascii="Times New Roman" w:hAnsi="Times New Roman"/>
                <w:b/>
                <w:bCs/>
                <w:sz w:val="14"/>
              </w:rPr>
              <w:t xml:space="preserve">2029</w:t>
            </w:r>
          </w:p>
        </w:tc>
        <w:tc>
          <w:tcPr>
            <w:tcW w:type="dxa" w:w="714"/>
          </w:tcPr>
          <w:p>
            <w:pPr>
              <w:pStyle w:val="Compact"/>
              <w:spacing w:line="240" w:lineRule="auto" w:before="20" w:after="20"/>
              <w:ind w:firstLine="0"/>
              <w:jc w:val="right"/>
            </w:pPr>
            <w:r>
              <w:rPr>
                <w:rFonts w:ascii="Times New Roman" w:hAnsi="Times New Roman"/>
                <w:b/>
                <w:bCs/>
                <w:sz w:val="14"/>
              </w:rPr>
              <w:t xml:space="preserve">2030</w:t>
            </w:r>
          </w:p>
        </w:tc>
        <w:tc>
          <w:tcPr>
            <w:tcW w:type="dxa" w:w="714"/>
          </w:tcPr>
          <w:p>
            <w:pPr>
              <w:pStyle w:val="Compact"/>
              <w:spacing w:line="240" w:lineRule="auto" w:before="20" w:after="20"/>
              <w:ind w:firstLine="0"/>
              <w:jc w:val="right"/>
            </w:pPr>
            <w:r>
              <w:rPr>
                <w:rFonts w:ascii="Times New Roman" w:hAnsi="Times New Roman"/>
                <w:b/>
                <w:bCs/>
                <w:sz w:val="14"/>
              </w:rPr>
              <w:t xml:space="preserve">2031</w:t>
            </w:r>
          </w:p>
        </w:tc>
        <w:tc>
          <w:tcPr>
            <w:tcW w:type="dxa" w:w="714"/>
          </w:tcPr>
          <w:p>
            <w:pPr>
              <w:pStyle w:val="Compact"/>
              <w:spacing w:line="240" w:lineRule="auto" w:before="20" w:after="20"/>
              <w:ind w:firstLine="0"/>
              <w:jc w:val="right"/>
            </w:pPr>
            <w:r>
              <w:rPr>
                <w:rFonts w:ascii="Times New Roman" w:hAnsi="Times New Roman"/>
                <w:b/>
                <w:bCs/>
                <w:sz w:val="14"/>
              </w:rPr>
              <w:t xml:space="preserve">2032</w:t>
            </w:r>
          </w:p>
        </w:tc>
        <w:tc>
          <w:tcPr>
            <w:tcW w:type="dxa" w:w="714"/>
          </w:tcPr>
          <w:p>
            <w:pPr>
              <w:pStyle w:val="Compact"/>
              <w:spacing w:line="240" w:lineRule="auto" w:before="20" w:after="20"/>
              <w:ind w:firstLine="0"/>
              <w:jc w:val="right"/>
            </w:pPr>
            <w:r>
              <w:rPr>
                <w:rFonts w:ascii="Times New Roman" w:hAnsi="Times New Roman"/>
                <w:b/>
                <w:bCs/>
                <w:sz w:val="14"/>
              </w:rPr>
              <w:t xml:space="preserve">2033</w:t>
            </w:r>
          </w:p>
        </w:tc>
        <w:tc>
          <w:tcPr>
            <w:tcW w:type="dxa" w:w="714"/>
          </w:tcPr>
          <w:p>
            <w:pPr>
              <w:pStyle w:val="Compact"/>
              <w:spacing w:line="240" w:lineRule="auto" w:before="20" w:after="20"/>
              <w:ind w:firstLine="0"/>
              <w:jc w:val="right"/>
            </w:pPr>
            <w:r>
              <w:rPr>
                <w:rFonts w:ascii="Times New Roman" w:hAnsi="Times New Roman"/>
                <w:b/>
                <w:bCs/>
                <w:sz w:val="14"/>
              </w:rPr>
              <w:t xml:space="preserve">2029</w:t>
            </w:r>
          </w:p>
        </w:tc>
        <w:tc>
          <w:tcPr>
            <w:tcW w:type="dxa" w:w="714"/>
          </w:tcPr>
          <w:p>
            <w:pPr>
              <w:pStyle w:val="Compact"/>
              <w:spacing w:line="240" w:lineRule="auto" w:before="20" w:after="20"/>
              <w:ind w:firstLine="0"/>
              <w:jc w:val="right"/>
            </w:pPr>
            <w:r>
              <w:rPr>
                <w:rFonts w:ascii="Times New Roman" w:hAnsi="Times New Roman"/>
                <w:b/>
                <w:bCs/>
                <w:sz w:val="14"/>
              </w:rPr>
              <w:t xml:space="preserve">2030</w:t>
            </w:r>
          </w:p>
        </w:tc>
        <w:tc>
          <w:tcPr>
            <w:tcW w:type="dxa" w:w="714"/>
          </w:tcPr>
          <w:p>
            <w:pPr>
              <w:pStyle w:val="Compact"/>
              <w:spacing w:line="240" w:lineRule="auto" w:before="20" w:after="20"/>
              <w:ind w:firstLine="0"/>
              <w:jc w:val="right"/>
            </w:pPr>
            <w:r>
              <w:rPr>
                <w:rFonts w:ascii="Times New Roman" w:hAnsi="Times New Roman"/>
                <w:b/>
                <w:bCs/>
                <w:sz w:val="14"/>
              </w:rPr>
              <w:t xml:space="preserve">2031</w:t>
            </w:r>
          </w:p>
        </w:tc>
        <w:tc>
          <w:tcPr>
            <w:tcW w:type="dxa" w:w="714"/>
          </w:tcPr>
          <w:p>
            <w:pPr>
              <w:pStyle w:val="Compact"/>
              <w:spacing w:line="240" w:lineRule="auto" w:before="20" w:after="20"/>
              <w:ind w:firstLine="0"/>
              <w:jc w:val="right"/>
            </w:pPr>
            <w:r>
              <w:rPr>
                <w:rFonts w:ascii="Times New Roman" w:hAnsi="Times New Roman"/>
                <w:b/>
                <w:bCs/>
                <w:sz w:val="14"/>
              </w:rPr>
              <w:t xml:space="preserve">2032</w:t>
            </w:r>
          </w:p>
        </w:tc>
        <w:tc>
          <w:tcPr>
            <w:tcW w:type="dxa" w:w="714"/>
          </w:tcPr>
          <w:p>
            <w:pPr>
              <w:pStyle w:val="Compact"/>
              <w:spacing w:line="240" w:lineRule="auto" w:before="20" w:after="20"/>
              <w:ind w:firstLine="0"/>
              <w:jc w:val="right"/>
            </w:pPr>
            <w:r>
              <w:rPr>
                <w:rFonts w:ascii="Times New Roman" w:hAnsi="Times New Roman"/>
                <w:b/>
                <w:bCs/>
                <w:sz w:val="14"/>
              </w:rPr>
              <w:t xml:space="preserve">2033</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TO</w:t>
            </w:r>
          </w:p>
        </w:tc>
        <w:tc>
          <w:tcPr>
            <w:tcW w:type="dxa" w:w="1484"/>
          </w:tcPr>
          <w:p>
            <w:pPr>
              <w:pStyle w:val="Compact"/>
              <w:spacing w:line="240" w:lineRule="auto" w:before="20" w:after="20"/>
              <w:ind w:firstLine="0"/>
              <w:jc w:val="right"/>
            </w:pPr>
            <w:r>
              <w:rPr>
                <w:rFonts w:ascii="Times New Roman" w:hAnsi="Times New Roman"/>
                <w:sz w:val="14"/>
              </w:rPr>
              <w:t xml:space="preserve">4,8</w:t>
            </w:r>
          </w:p>
        </w:tc>
        <w:tc>
          <w:tcPr>
            <w:tcW w:type="dxa" w:w="714"/>
          </w:tcPr>
          <w:p>
            <w:pPr>
              <w:pStyle w:val="Compact"/>
              <w:spacing w:line="240" w:lineRule="auto" w:before="20" w:after="20"/>
              <w:ind w:firstLine="0"/>
              <w:jc w:val="right"/>
            </w:pPr>
            <w:r>
              <w:rPr>
                <w:rFonts w:ascii="Times New Roman" w:hAnsi="Times New Roman"/>
                <w:sz w:val="14"/>
              </w:rPr>
              <w:t xml:space="preserve">5,1</w:t>
            </w:r>
          </w:p>
        </w:tc>
        <w:tc>
          <w:tcPr>
            <w:tcW w:type="dxa" w:w="714"/>
          </w:tcPr>
          <w:p>
            <w:pPr>
              <w:pStyle w:val="Compact"/>
              <w:spacing w:line="240" w:lineRule="auto" w:before="20" w:after="20"/>
              <w:ind w:firstLine="0"/>
              <w:jc w:val="right"/>
            </w:pPr>
            <w:r>
              <w:rPr>
                <w:rFonts w:ascii="Times New Roman" w:hAnsi="Times New Roman"/>
                <w:sz w:val="14"/>
              </w:rPr>
              <w:t xml:space="preserve">5,2</w:t>
            </w:r>
          </w:p>
        </w:tc>
        <w:tc>
          <w:tcPr>
            <w:tcW w:type="dxa" w:w="714"/>
          </w:tcPr>
          <w:p>
            <w:pPr>
              <w:pStyle w:val="Compact"/>
              <w:spacing w:line="240" w:lineRule="auto" w:before="20" w:after="20"/>
              <w:ind w:firstLine="0"/>
              <w:jc w:val="right"/>
            </w:pPr>
            <w:r>
              <w:rPr>
                <w:rFonts w:ascii="Times New Roman" w:hAnsi="Times New Roman"/>
                <w:sz w:val="14"/>
              </w:rPr>
              <w:t xml:space="preserve">5,2</w:t>
            </w:r>
          </w:p>
        </w:tc>
        <w:tc>
          <w:tcPr>
            <w:tcW w:type="dxa" w:w="714"/>
          </w:tcPr>
          <w:p>
            <w:pPr>
              <w:pStyle w:val="Compact"/>
              <w:spacing w:line="240" w:lineRule="auto" w:before="20" w:after="20"/>
              <w:ind w:firstLine="0"/>
              <w:jc w:val="right"/>
            </w:pPr>
            <w:r>
              <w:rPr>
                <w:rFonts w:ascii="Times New Roman" w:hAnsi="Times New Roman"/>
                <w:sz w:val="14"/>
              </w:rPr>
              <w:t xml:space="preserve">5,3</w:t>
            </w:r>
          </w:p>
        </w:tc>
        <w:tc>
          <w:tcPr>
            <w:tcW w:type="dxa" w:w="714"/>
          </w:tcPr>
          <w:p>
            <w:pPr>
              <w:pStyle w:val="Compact"/>
              <w:spacing w:line="240" w:lineRule="auto" w:before="20" w:after="20"/>
              <w:ind w:firstLine="0"/>
              <w:jc w:val="right"/>
            </w:pPr>
            <w:r>
              <w:rPr>
                <w:rFonts w:ascii="Times New Roman" w:hAnsi="Times New Roman"/>
                <w:sz w:val="14"/>
              </w:rPr>
              <w:t>5,1</w:t>
            </w:r>
          </w:p>
        </w:tc>
        <w:tc>
          <w:tcPr>
            <w:tcW w:type="dxa" w:w="714"/>
          </w:tcPr>
          <w:p>
            <w:pPr>
              <w:pStyle w:val="Compact"/>
              <w:spacing w:line="240" w:lineRule="auto" w:before="20" w:after="20"/>
              <w:ind w:firstLine="0"/>
              <w:jc w:val="right"/>
            </w:pPr>
            <w:r>
              <w:rPr>
                <w:rFonts w:ascii="Times New Roman" w:hAnsi="Times New Roman"/>
                <w:sz w:val="14"/>
              </w:rPr>
              <w:t>−1,32</w:t>
            </w:r>
          </w:p>
        </w:tc>
        <w:tc>
          <w:tcPr>
            <w:tcW w:type="dxa" w:w="714"/>
          </w:tcPr>
          <w:p>
            <w:pPr>
              <w:pStyle w:val="Compact"/>
              <w:spacing w:line="240" w:lineRule="auto" w:before="20" w:after="20"/>
              <w:ind w:firstLine="0"/>
              <w:jc w:val="right"/>
            </w:pPr>
            <w:r>
              <w:rPr>
                <w:rFonts w:ascii="Times New Roman" w:hAnsi="Times New Roman"/>
                <w:sz w:val="14"/>
              </w:rPr>
              <w:t>−2,46</w:t>
            </w:r>
          </w:p>
        </w:tc>
        <w:tc>
          <w:tcPr>
            <w:tcW w:type="dxa" w:w="714"/>
          </w:tcPr>
          <w:p>
            <w:pPr>
              <w:pStyle w:val="Compact"/>
              <w:spacing w:line="240" w:lineRule="auto" w:before="20" w:after="20"/>
              <w:ind w:firstLine="0"/>
              <w:jc w:val="right"/>
            </w:pPr>
            <w:r>
              <w:rPr>
                <w:rFonts w:ascii="Times New Roman" w:hAnsi="Times New Roman"/>
                <w:sz w:val="14"/>
              </w:rPr>
              <w:t>−3,60</w:t>
            </w:r>
          </w:p>
        </w:tc>
        <w:tc>
          <w:tcPr>
            <w:tcW w:type="dxa" w:w="714"/>
          </w:tcPr>
          <w:p>
            <w:pPr>
              <w:pStyle w:val="Compact"/>
              <w:spacing w:line="240" w:lineRule="auto" w:before="20" w:after="20"/>
              <w:ind w:firstLine="0"/>
              <w:jc w:val="right"/>
            </w:pPr>
            <w:r>
              <w:rPr>
                <w:rFonts w:ascii="Times New Roman" w:hAnsi="Times New Roman"/>
                <w:sz w:val="14"/>
              </w:rPr>
              <w:t>−4,73</w:t>
            </w:r>
          </w:p>
        </w:tc>
        <w:tc>
          <w:tcPr>
            <w:tcW w:type="dxa" w:w="714"/>
          </w:tcPr>
          <w:p>
            <w:pPr>
              <w:pStyle w:val="Compact"/>
              <w:spacing w:line="240" w:lineRule="auto" w:before="20" w:after="20"/>
              <w:ind w:firstLine="0"/>
              <w:jc w:val="right"/>
            </w:pPr>
            <w:r>
              <w:rPr>
                <w:rFonts w:ascii="Times New Roman" w:hAnsi="Times New Roman"/>
                <w:sz w:val="14"/>
              </w:rPr>
              <w:t>−9,44</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MA</w:t>
            </w:r>
          </w:p>
        </w:tc>
        <w:tc>
          <w:tcPr>
            <w:tcW w:type="dxa" w:w="1484"/>
          </w:tcPr>
          <w:p>
            <w:pPr>
              <w:pStyle w:val="Compact"/>
              <w:spacing w:line="240" w:lineRule="auto" w:before="20" w:after="20"/>
              <w:ind w:firstLine="0"/>
              <w:jc w:val="right"/>
            </w:pPr>
            <w:r>
              <w:rPr>
                <w:rFonts w:ascii="Times New Roman" w:hAnsi="Times New Roman"/>
                <w:sz w:val="14"/>
              </w:rPr>
              <w:t xml:space="preserve">11,9</w:t>
            </w:r>
          </w:p>
        </w:tc>
        <w:tc>
          <w:tcPr>
            <w:tcW w:type="dxa" w:w="714"/>
          </w:tcPr>
          <w:p>
            <w:pPr>
              <w:pStyle w:val="Compact"/>
              <w:spacing w:line="240" w:lineRule="auto" w:before="20" w:after="20"/>
              <w:ind w:firstLine="0"/>
              <w:jc w:val="right"/>
            </w:pPr>
            <w:r>
              <w:rPr>
                <w:rFonts w:ascii="Times New Roman" w:hAnsi="Times New Roman"/>
                <w:sz w:val="14"/>
              </w:rPr>
              <w:t>12,8</w:t>
            </w:r>
          </w:p>
        </w:tc>
        <w:tc>
          <w:tcPr>
            <w:tcW w:type="dxa" w:w="714"/>
          </w:tcPr>
          <w:p>
            <w:pPr>
              <w:pStyle w:val="Compact"/>
              <w:spacing w:line="240" w:lineRule="auto" w:before="20" w:after="20"/>
              <w:ind w:firstLine="0"/>
              <w:jc w:val="right"/>
            </w:pPr>
            <w:r>
              <w:rPr>
                <w:rFonts w:ascii="Times New Roman" w:hAnsi="Times New Roman"/>
                <w:sz w:val="14"/>
              </w:rPr>
              <w:t>13,0</w:t>
            </w:r>
          </w:p>
        </w:tc>
        <w:tc>
          <w:tcPr>
            <w:tcW w:type="dxa" w:w="714"/>
          </w:tcPr>
          <w:p>
            <w:pPr>
              <w:pStyle w:val="Compact"/>
              <w:spacing w:line="240" w:lineRule="auto" w:before="20" w:after="20"/>
              <w:ind w:firstLine="0"/>
              <w:jc w:val="right"/>
            </w:pPr>
            <w:r>
              <w:rPr>
                <w:rFonts w:ascii="Times New Roman" w:hAnsi="Times New Roman"/>
                <w:sz w:val="14"/>
              </w:rPr>
              <w:t>13,2</w:t>
            </w:r>
          </w:p>
        </w:tc>
        <w:tc>
          <w:tcPr>
            <w:tcW w:type="dxa" w:w="714"/>
          </w:tcPr>
          <w:p>
            <w:pPr>
              <w:pStyle w:val="Compact"/>
              <w:spacing w:line="240" w:lineRule="auto" w:before="20" w:after="20"/>
              <w:ind w:firstLine="0"/>
              <w:jc w:val="right"/>
            </w:pPr>
            <w:r>
              <w:rPr>
                <w:rFonts w:ascii="Times New Roman" w:hAnsi="Times New Roman"/>
                <w:sz w:val="14"/>
              </w:rPr>
              <w:t>13,4</w:t>
            </w:r>
          </w:p>
        </w:tc>
        <w:tc>
          <w:tcPr>
            <w:tcW w:type="dxa" w:w="714"/>
          </w:tcPr>
          <w:p>
            <w:pPr>
              <w:pStyle w:val="Compact"/>
              <w:spacing w:line="240" w:lineRule="auto" w:before="20" w:after="20"/>
              <w:ind w:firstLine="0"/>
              <w:jc w:val="right"/>
            </w:pPr>
            <w:r>
              <w:rPr>
                <w:rFonts w:ascii="Times New Roman" w:hAnsi="Times New Roman"/>
                <w:sz w:val="14"/>
              </w:rPr>
              <w:t>13,1</w:t>
            </w:r>
          </w:p>
        </w:tc>
        <w:tc>
          <w:tcPr>
            <w:tcW w:type="dxa" w:w="714"/>
          </w:tcPr>
          <w:p>
            <w:pPr>
              <w:pStyle w:val="Compact"/>
              <w:spacing w:line="240" w:lineRule="auto" w:before="20" w:after="20"/>
              <w:ind w:firstLine="0"/>
              <w:jc w:val="right"/>
            </w:pPr>
            <w:r>
              <w:rPr>
                <w:rFonts w:ascii="Times New Roman" w:hAnsi="Times New Roman"/>
                <w:sz w:val="14"/>
              </w:rPr>
              <w:t>−0,76</w:t>
            </w:r>
          </w:p>
        </w:tc>
        <w:tc>
          <w:tcPr>
            <w:tcW w:type="dxa" w:w="714"/>
          </w:tcPr>
          <w:p>
            <w:pPr>
              <w:pStyle w:val="Compact"/>
              <w:spacing w:line="240" w:lineRule="auto" w:before="20" w:after="20"/>
              <w:ind w:firstLine="0"/>
              <w:jc w:val="right"/>
            </w:pPr>
            <w:r>
              <w:rPr>
                <w:rFonts w:ascii="Times New Roman" w:hAnsi="Times New Roman"/>
                <w:sz w:val="14"/>
              </w:rPr>
              <w:t>−1,33</w:t>
            </w:r>
          </w:p>
        </w:tc>
        <w:tc>
          <w:tcPr>
            <w:tcW w:type="dxa" w:w="714"/>
          </w:tcPr>
          <w:p>
            <w:pPr>
              <w:pStyle w:val="Compact"/>
              <w:spacing w:line="240" w:lineRule="auto" w:before="20" w:after="20"/>
              <w:ind w:firstLine="0"/>
              <w:jc w:val="right"/>
            </w:pPr>
            <w:r>
              <w:rPr>
                <w:rFonts w:ascii="Times New Roman" w:hAnsi="Times New Roman"/>
                <w:sz w:val="14"/>
              </w:rPr>
              <w:t>−1,90</w:t>
            </w:r>
          </w:p>
        </w:tc>
        <w:tc>
          <w:tcPr>
            <w:tcW w:type="dxa" w:w="714"/>
          </w:tcPr>
          <w:p>
            <w:pPr>
              <w:pStyle w:val="Compact"/>
              <w:spacing w:line="240" w:lineRule="auto" w:before="20" w:after="20"/>
              <w:ind w:firstLine="0"/>
              <w:jc w:val="right"/>
            </w:pPr>
            <w:r>
              <w:rPr>
                <w:rFonts w:ascii="Times New Roman" w:hAnsi="Times New Roman"/>
                <w:sz w:val="14"/>
              </w:rPr>
              <w:t>−2,47</w:t>
            </w:r>
          </w:p>
        </w:tc>
        <w:tc>
          <w:tcPr>
            <w:tcW w:type="dxa" w:w="714"/>
          </w:tcPr>
          <w:p>
            <w:pPr>
              <w:pStyle w:val="Compact"/>
              <w:spacing w:line="240" w:lineRule="auto" w:before="20" w:after="20"/>
              <w:ind w:firstLine="0"/>
              <w:jc w:val="right"/>
            </w:pPr>
            <w:r>
              <w:rPr>
                <w:rFonts w:ascii="Times New Roman" w:hAnsi="Times New Roman"/>
                <w:sz w:val="14"/>
              </w:rPr>
              <w:t>−6,41</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MT</w:t>
            </w:r>
          </w:p>
        </w:tc>
        <w:tc>
          <w:tcPr>
            <w:tcW w:type="dxa" w:w="1484"/>
          </w:tcPr>
          <w:p>
            <w:pPr>
              <w:pStyle w:val="Compact"/>
              <w:spacing w:line="240" w:lineRule="auto" w:before="20" w:after="20"/>
              <w:ind w:firstLine="0"/>
              <w:jc w:val="right"/>
            </w:pPr>
            <w:r>
              <w:rPr>
                <w:rFonts w:ascii="Times New Roman" w:hAnsi="Times New Roman"/>
                <w:sz w:val="14"/>
              </w:rPr>
              <w:t xml:space="preserve">19,5</w:t>
            </w:r>
          </w:p>
        </w:tc>
        <w:tc>
          <w:tcPr>
            <w:tcW w:type="dxa" w:w="714"/>
          </w:tcPr>
          <w:p>
            <w:pPr>
              <w:pStyle w:val="Compact"/>
              <w:spacing w:line="240" w:lineRule="auto" w:before="20" w:after="20"/>
              <w:ind w:firstLine="0"/>
              <w:jc w:val="right"/>
            </w:pPr>
            <w:r>
              <w:rPr>
                <w:rFonts w:ascii="Times New Roman" w:hAnsi="Times New Roman"/>
                <w:sz w:val="14"/>
              </w:rPr>
              <w:t xml:space="preserve">20,8</w:t>
            </w:r>
          </w:p>
        </w:tc>
        <w:tc>
          <w:tcPr>
            <w:tcW w:type="dxa" w:w="714"/>
          </w:tcPr>
          <w:p>
            <w:pPr>
              <w:pStyle w:val="Compact"/>
              <w:spacing w:line="240" w:lineRule="auto" w:before="20" w:after="20"/>
              <w:ind w:firstLine="0"/>
              <w:jc w:val="right"/>
            </w:pPr>
            <w:r>
              <w:rPr>
                <w:rFonts w:ascii="Times New Roman" w:hAnsi="Times New Roman"/>
                <w:sz w:val="14"/>
              </w:rPr>
              <w:t>20,9</w:t>
            </w:r>
          </w:p>
        </w:tc>
        <w:tc>
          <w:tcPr>
            <w:tcW w:type="dxa" w:w="714"/>
          </w:tcPr>
          <w:p>
            <w:pPr>
              <w:pStyle w:val="Compact"/>
              <w:spacing w:line="240" w:lineRule="auto" w:before="20" w:after="20"/>
              <w:ind w:firstLine="0"/>
              <w:jc w:val="right"/>
            </w:pPr>
            <w:r>
              <w:rPr>
                <w:rFonts w:ascii="Times New Roman" w:hAnsi="Times New Roman"/>
                <w:sz w:val="14"/>
              </w:rPr>
              <w:t>21,1</w:t>
            </w:r>
          </w:p>
        </w:tc>
        <w:tc>
          <w:tcPr>
            <w:tcW w:type="dxa" w:w="714"/>
          </w:tcPr>
          <w:p>
            <w:pPr>
              <w:pStyle w:val="Compact"/>
              <w:spacing w:line="240" w:lineRule="auto" w:before="20" w:after="20"/>
              <w:ind w:firstLine="0"/>
              <w:jc w:val="right"/>
            </w:pPr>
            <w:r>
              <w:rPr>
                <w:rFonts w:ascii="Times New Roman" w:hAnsi="Times New Roman"/>
                <w:sz w:val="14"/>
              </w:rPr>
              <w:t>21,3</w:t>
            </w:r>
          </w:p>
        </w:tc>
        <w:tc>
          <w:tcPr>
            <w:tcW w:type="dxa" w:w="714"/>
          </w:tcPr>
          <w:p>
            <w:pPr>
              <w:pStyle w:val="Compact"/>
              <w:spacing w:line="240" w:lineRule="auto" w:before="20" w:after="20"/>
              <w:ind w:firstLine="0"/>
              <w:jc w:val="right"/>
            </w:pPr>
            <w:r>
              <w:rPr>
                <w:rFonts w:ascii="Times New Roman" w:hAnsi="Times New Roman"/>
                <w:sz w:val="14"/>
              </w:rPr>
              <w:t>20,8</w:t>
            </w:r>
          </w:p>
        </w:tc>
        <w:tc>
          <w:tcPr>
            <w:tcW w:type="dxa" w:w="714"/>
          </w:tcPr>
          <w:p>
            <w:pPr>
              <w:pStyle w:val="Compact"/>
              <w:spacing w:line="240" w:lineRule="auto" w:before="20" w:after="20"/>
              <w:ind w:firstLine="0"/>
              <w:jc w:val="right"/>
            </w:pPr>
            <w:r>
              <w:rPr>
                <w:rFonts w:ascii="Times New Roman" w:hAnsi="Times New Roman"/>
                <w:sz w:val="14"/>
              </w:rPr>
              <w:t>−1,33</w:t>
            </w:r>
          </w:p>
        </w:tc>
        <w:tc>
          <w:tcPr>
            <w:tcW w:type="dxa" w:w="714"/>
          </w:tcPr>
          <w:p>
            <w:pPr>
              <w:pStyle w:val="Compact"/>
              <w:spacing w:line="240" w:lineRule="auto" w:before="20" w:after="20"/>
              <w:ind w:firstLine="0"/>
              <w:jc w:val="right"/>
            </w:pPr>
            <w:r>
              <w:rPr>
                <w:rFonts w:ascii="Times New Roman" w:hAnsi="Times New Roman"/>
                <w:sz w:val="14"/>
              </w:rPr>
              <w:t>−2,49</w:t>
            </w:r>
          </w:p>
        </w:tc>
        <w:tc>
          <w:tcPr>
            <w:tcW w:type="dxa" w:w="714"/>
          </w:tcPr>
          <w:p>
            <w:pPr>
              <w:pStyle w:val="Compact"/>
              <w:spacing w:line="240" w:lineRule="auto" w:before="20" w:after="20"/>
              <w:ind w:firstLine="0"/>
              <w:jc w:val="right"/>
            </w:pPr>
            <w:r>
              <w:rPr>
                <w:rFonts w:ascii="Times New Roman" w:hAnsi="Times New Roman"/>
                <w:sz w:val="14"/>
              </w:rPr>
              <w:t>−3,64</w:t>
            </w:r>
          </w:p>
        </w:tc>
        <w:tc>
          <w:tcPr>
            <w:tcW w:type="dxa" w:w="714"/>
          </w:tcPr>
          <w:p>
            <w:pPr>
              <w:pStyle w:val="Compact"/>
              <w:spacing w:line="240" w:lineRule="auto" w:before="20" w:after="20"/>
              <w:ind w:firstLine="0"/>
              <w:jc w:val="right"/>
            </w:pPr>
            <w:r>
              <w:rPr>
                <w:rFonts w:ascii="Times New Roman" w:hAnsi="Times New Roman"/>
                <w:sz w:val="14"/>
              </w:rPr>
              <w:t>−4,80</w:t>
            </w:r>
          </w:p>
        </w:tc>
        <w:tc>
          <w:tcPr>
            <w:tcW w:type="dxa" w:w="714"/>
          </w:tcPr>
          <w:p>
            <w:pPr>
              <w:pStyle w:val="Compact"/>
              <w:spacing w:line="240" w:lineRule="auto" w:before="20" w:after="20"/>
              <w:ind w:firstLine="0"/>
              <w:jc w:val="right"/>
            </w:pPr>
            <w:r>
              <w:rPr>
                <w:rFonts w:ascii="Times New Roman" w:hAnsi="Times New Roman"/>
                <w:sz w:val="14"/>
              </w:rPr>
              <w:t>−9,04</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AL</w:t>
            </w:r>
          </w:p>
        </w:tc>
        <w:tc>
          <w:tcPr>
            <w:tcW w:type="dxa" w:w="1484"/>
          </w:tcPr>
          <w:p>
            <w:pPr>
              <w:pStyle w:val="Compact"/>
              <w:spacing w:line="240" w:lineRule="auto" w:before="20" w:after="20"/>
              <w:ind w:firstLine="0"/>
              <w:jc w:val="right"/>
            </w:pPr>
            <w:r>
              <w:rPr>
                <w:rFonts w:ascii="Times New Roman" w:hAnsi="Times New Roman"/>
                <w:sz w:val="14"/>
              </w:rPr>
              <w:t xml:space="preserve">6,9</w:t>
            </w:r>
          </w:p>
        </w:tc>
        <w:tc>
          <w:tcPr>
            <w:tcW w:type="dxa" w:w="714"/>
          </w:tcPr>
          <w:p>
            <w:pPr>
              <w:pStyle w:val="Compact"/>
              <w:spacing w:line="240" w:lineRule="auto" w:before="20" w:after="20"/>
              <w:ind w:firstLine="0"/>
              <w:jc w:val="right"/>
            </w:pPr>
            <w:r>
              <w:rPr>
                <w:rFonts w:ascii="Times New Roman" w:hAnsi="Times New Roman"/>
                <w:sz w:val="14"/>
              </w:rPr>
              <w:t xml:space="preserve">7,4</w:t>
            </w:r>
          </w:p>
        </w:tc>
        <w:tc>
          <w:tcPr>
            <w:tcW w:type="dxa" w:w="714"/>
          </w:tcPr>
          <w:p>
            <w:pPr>
              <w:pStyle w:val="Compact"/>
              <w:spacing w:line="240" w:lineRule="auto" w:before="20" w:after="20"/>
              <w:ind w:firstLine="0"/>
              <w:jc w:val="right"/>
            </w:pPr>
            <w:r>
              <w:rPr>
                <w:rFonts w:ascii="Times New Roman" w:hAnsi="Times New Roman"/>
                <w:sz w:val="14"/>
              </w:rPr>
              <w:t>7,5</w:t>
            </w:r>
          </w:p>
        </w:tc>
        <w:tc>
          <w:tcPr>
            <w:tcW w:type="dxa" w:w="714"/>
          </w:tcPr>
          <w:p>
            <w:pPr>
              <w:pStyle w:val="Compact"/>
              <w:spacing w:line="240" w:lineRule="auto" w:before="20" w:after="20"/>
              <w:ind w:firstLine="0"/>
              <w:jc w:val="right"/>
            </w:pPr>
            <w:r>
              <w:rPr>
                <w:rFonts w:ascii="Times New Roman" w:hAnsi="Times New Roman"/>
                <w:sz w:val="14"/>
              </w:rPr>
              <w:t>7,6</w:t>
            </w:r>
          </w:p>
        </w:tc>
        <w:tc>
          <w:tcPr>
            <w:tcW w:type="dxa" w:w="714"/>
          </w:tcPr>
          <w:p>
            <w:pPr>
              <w:pStyle w:val="Compact"/>
              <w:spacing w:line="240" w:lineRule="auto" w:before="20" w:after="20"/>
              <w:ind w:firstLine="0"/>
              <w:jc w:val="right"/>
            </w:pPr>
            <w:r>
              <w:rPr>
                <w:rFonts w:ascii="Times New Roman" w:hAnsi="Times New Roman"/>
                <w:sz w:val="14"/>
              </w:rPr>
              <w:t>7,7</w:t>
            </w:r>
          </w:p>
        </w:tc>
        <w:tc>
          <w:tcPr>
            <w:tcW w:type="dxa" w:w="714"/>
          </w:tcPr>
          <w:p>
            <w:pPr>
              <w:pStyle w:val="Compact"/>
              <w:spacing w:line="240" w:lineRule="auto" w:before="20" w:after="20"/>
              <w:ind w:firstLine="0"/>
              <w:jc w:val="right"/>
            </w:pPr>
            <w:r>
              <w:rPr>
                <w:rFonts w:ascii="Times New Roman" w:hAnsi="Times New Roman"/>
                <w:sz w:val="14"/>
              </w:rPr>
              <w:t>7,5</w:t>
            </w:r>
          </w:p>
        </w:tc>
        <w:tc>
          <w:tcPr>
            <w:tcW w:type="dxa" w:w="714"/>
          </w:tcPr>
          <w:p>
            <w:pPr>
              <w:pStyle w:val="Compact"/>
              <w:spacing w:line="240" w:lineRule="auto" w:before="20" w:after="20"/>
              <w:ind w:firstLine="0"/>
              <w:jc w:val="right"/>
            </w:pPr>
            <w:r>
              <w:rPr>
                <w:rFonts w:ascii="Times New Roman" w:hAnsi="Times New Roman"/>
                <w:sz w:val="14"/>
              </w:rPr>
              <w:t>−1,04</w:t>
            </w:r>
          </w:p>
        </w:tc>
        <w:tc>
          <w:tcPr>
            <w:tcW w:type="dxa" w:w="714"/>
          </w:tcPr>
          <w:p>
            <w:pPr>
              <w:pStyle w:val="Compact"/>
              <w:spacing w:line="240" w:lineRule="auto" w:before="20" w:after="20"/>
              <w:ind w:firstLine="0"/>
              <w:jc w:val="right"/>
            </w:pPr>
            <w:r>
              <w:rPr>
                <w:rFonts w:ascii="Times New Roman" w:hAnsi="Times New Roman"/>
                <w:sz w:val="14"/>
              </w:rPr>
              <w:t>−1,90</w:t>
            </w:r>
          </w:p>
        </w:tc>
        <w:tc>
          <w:tcPr>
            <w:tcW w:type="dxa" w:w="714"/>
          </w:tcPr>
          <w:p>
            <w:pPr>
              <w:pStyle w:val="Compact"/>
              <w:spacing w:line="240" w:lineRule="auto" w:before="20" w:after="20"/>
              <w:ind w:firstLine="0"/>
              <w:jc w:val="right"/>
            </w:pPr>
            <w:r>
              <w:rPr>
                <w:rFonts w:ascii="Times New Roman" w:hAnsi="Times New Roman"/>
                <w:sz w:val="14"/>
              </w:rPr>
              <w:t>−2,75</w:t>
            </w:r>
          </w:p>
        </w:tc>
        <w:tc>
          <w:tcPr>
            <w:tcW w:type="dxa" w:w="714"/>
          </w:tcPr>
          <w:p>
            <w:pPr>
              <w:pStyle w:val="Compact"/>
              <w:spacing w:line="240" w:lineRule="auto" w:before="20" w:after="20"/>
              <w:ind w:firstLine="0"/>
              <w:jc w:val="right"/>
            </w:pPr>
            <w:r>
              <w:rPr>
                <w:rFonts w:ascii="Times New Roman" w:hAnsi="Times New Roman"/>
                <w:sz w:val="14"/>
              </w:rPr>
              <w:t>−3,61</w:t>
            </w:r>
          </w:p>
        </w:tc>
        <w:tc>
          <w:tcPr>
            <w:tcW w:type="dxa" w:w="714"/>
          </w:tcPr>
          <w:p>
            <w:pPr>
              <w:pStyle w:val="Compact"/>
              <w:spacing w:line="240" w:lineRule="auto" w:before="20" w:after="20"/>
              <w:ind w:firstLine="0"/>
              <w:jc w:val="right"/>
            </w:pPr>
            <w:r>
              <w:rPr>
                <w:rFonts w:ascii="Times New Roman" w:hAnsi="Times New Roman"/>
                <w:sz w:val="14"/>
              </w:rPr>
              <w:t>−7,26</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ES</w:t>
            </w:r>
          </w:p>
        </w:tc>
        <w:tc>
          <w:tcPr>
            <w:tcW w:type="dxa" w:w="1484"/>
          </w:tcPr>
          <w:p>
            <w:pPr>
              <w:pStyle w:val="Compact"/>
              <w:spacing w:line="240" w:lineRule="auto" w:before="20" w:after="20"/>
              <w:ind w:firstLine="0"/>
              <w:jc w:val="right"/>
            </w:pPr>
            <w:r>
              <w:rPr>
                <w:rFonts w:ascii="Times New Roman" w:hAnsi="Times New Roman"/>
                <w:sz w:val="14"/>
              </w:rPr>
              <w:t xml:space="preserve">17,0</w:t>
            </w:r>
          </w:p>
        </w:tc>
        <w:tc>
          <w:tcPr>
            <w:tcW w:type="dxa" w:w="714"/>
          </w:tcPr>
          <w:p>
            <w:pPr>
              <w:pStyle w:val="Compact"/>
              <w:spacing w:line="240" w:lineRule="auto" w:before="20" w:after="20"/>
              <w:ind w:firstLine="0"/>
              <w:jc w:val="right"/>
            </w:pPr>
            <w:r>
              <w:rPr>
                <w:rFonts w:ascii="Times New Roman" w:hAnsi="Times New Roman"/>
                <w:sz w:val="14"/>
              </w:rPr>
              <w:t>18,1</w:t>
            </w:r>
          </w:p>
        </w:tc>
        <w:tc>
          <w:tcPr>
            <w:tcW w:type="dxa" w:w="714"/>
          </w:tcPr>
          <w:p>
            <w:pPr>
              <w:pStyle w:val="Compact"/>
              <w:spacing w:line="240" w:lineRule="auto" w:before="20" w:after="20"/>
              <w:ind w:firstLine="0"/>
              <w:jc w:val="right"/>
            </w:pPr>
            <w:r>
              <w:rPr>
                <w:rFonts w:ascii="Times New Roman" w:hAnsi="Times New Roman"/>
                <w:sz w:val="14"/>
              </w:rPr>
              <w:t>18,3</w:t>
            </w:r>
          </w:p>
        </w:tc>
        <w:tc>
          <w:tcPr>
            <w:tcW w:type="dxa" w:w="714"/>
          </w:tcPr>
          <w:p>
            <w:pPr>
              <w:pStyle w:val="Compact"/>
              <w:spacing w:line="240" w:lineRule="auto" w:before="20" w:after="20"/>
              <w:ind w:firstLine="0"/>
              <w:jc w:val="right"/>
            </w:pPr>
            <w:r>
              <w:rPr>
                <w:rFonts w:ascii="Times New Roman" w:hAnsi="Times New Roman"/>
                <w:sz w:val="14"/>
              </w:rPr>
              <w:t>18,5</w:t>
            </w:r>
          </w:p>
        </w:tc>
        <w:tc>
          <w:tcPr>
            <w:tcW w:type="dxa" w:w="714"/>
          </w:tcPr>
          <w:p>
            <w:pPr>
              <w:pStyle w:val="Compact"/>
              <w:spacing w:line="240" w:lineRule="auto" w:before="20" w:after="20"/>
              <w:ind w:firstLine="0"/>
              <w:jc w:val="right"/>
            </w:pPr>
            <w:r>
              <w:rPr>
                <w:rFonts w:ascii="Times New Roman" w:hAnsi="Times New Roman"/>
                <w:sz w:val="14"/>
              </w:rPr>
              <w:t>18,7</w:t>
            </w:r>
          </w:p>
        </w:tc>
        <w:tc>
          <w:tcPr>
            <w:tcW w:type="dxa" w:w="714"/>
          </w:tcPr>
          <w:p>
            <w:pPr>
              <w:pStyle w:val="Compact"/>
              <w:spacing w:line="240" w:lineRule="auto" w:before="20" w:after="20"/>
              <w:ind w:firstLine="0"/>
              <w:jc w:val="right"/>
            </w:pPr>
            <w:r>
              <w:rPr>
                <w:rFonts w:ascii="Times New Roman" w:hAnsi="Times New Roman"/>
                <w:sz w:val="14"/>
              </w:rPr>
              <w:t>18,4</w:t>
            </w:r>
          </w:p>
        </w:tc>
        <w:tc>
          <w:tcPr>
            <w:tcW w:type="dxa" w:w="714"/>
          </w:tcPr>
          <w:p>
            <w:pPr>
              <w:pStyle w:val="Compact"/>
              <w:spacing w:line="240" w:lineRule="auto" w:before="20" w:after="20"/>
              <w:ind w:firstLine="0"/>
              <w:jc w:val="right"/>
            </w:pPr>
            <w:r>
              <w:rPr>
                <w:rFonts w:ascii="Times New Roman" w:hAnsi="Times New Roman"/>
                <w:sz w:val="14"/>
              </w:rPr>
              <w:t>−1,19</w:t>
            </w:r>
          </w:p>
        </w:tc>
        <w:tc>
          <w:tcPr>
            <w:tcW w:type="dxa" w:w="714"/>
          </w:tcPr>
          <w:p>
            <w:pPr>
              <w:pStyle w:val="Compact"/>
              <w:spacing w:line="240" w:lineRule="auto" w:before="20" w:after="20"/>
              <w:ind w:firstLine="0"/>
              <w:jc w:val="right"/>
            </w:pPr>
            <w:r>
              <w:rPr>
                <w:rFonts w:ascii="Times New Roman" w:hAnsi="Times New Roman"/>
                <w:sz w:val="14"/>
              </w:rPr>
              <w:t>−2,20</w:t>
            </w:r>
          </w:p>
        </w:tc>
        <w:tc>
          <w:tcPr>
            <w:tcW w:type="dxa" w:w="714"/>
          </w:tcPr>
          <w:p>
            <w:pPr>
              <w:pStyle w:val="Compact"/>
              <w:spacing w:line="240" w:lineRule="auto" w:before="20" w:after="20"/>
              <w:ind w:firstLine="0"/>
              <w:jc w:val="right"/>
            </w:pPr>
            <w:r>
              <w:rPr>
                <w:rFonts w:ascii="Times New Roman" w:hAnsi="Times New Roman"/>
                <w:sz w:val="14"/>
              </w:rPr>
              <w:t>−3,20</w:t>
            </w:r>
          </w:p>
        </w:tc>
        <w:tc>
          <w:tcPr>
            <w:tcW w:type="dxa" w:w="714"/>
          </w:tcPr>
          <w:p>
            <w:pPr>
              <w:pStyle w:val="Compact"/>
              <w:spacing w:line="240" w:lineRule="auto" w:before="20" w:after="20"/>
              <w:ind w:firstLine="0"/>
              <w:jc w:val="right"/>
            </w:pPr>
            <w:r>
              <w:rPr>
                <w:rFonts w:ascii="Times New Roman" w:hAnsi="Times New Roman"/>
                <w:sz w:val="14"/>
              </w:rPr>
              <w:t>−4,21</w:t>
            </w:r>
          </w:p>
        </w:tc>
        <w:tc>
          <w:tcPr>
            <w:tcW w:type="dxa" w:w="714"/>
          </w:tcPr>
          <w:p>
            <w:pPr>
              <w:pStyle w:val="Compact"/>
              <w:spacing w:line="240" w:lineRule="auto" w:before="20" w:after="20"/>
              <w:ind w:firstLine="0"/>
              <w:jc w:val="right"/>
            </w:pPr>
            <w:r>
              <w:rPr>
                <w:rFonts w:ascii="Times New Roman" w:hAnsi="Times New Roman"/>
                <w:sz w:val="14"/>
              </w:rPr>
              <w:t>−7,62</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RO</w:t>
            </w:r>
          </w:p>
        </w:tc>
        <w:tc>
          <w:tcPr>
            <w:tcW w:type="dxa" w:w="1484"/>
          </w:tcPr>
          <w:p>
            <w:pPr>
              <w:pStyle w:val="Compact"/>
              <w:spacing w:line="240" w:lineRule="auto" w:before="20" w:after="20"/>
              <w:ind w:firstLine="0"/>
              <w:jc w:val="right"/>
            </w:pPr>
            <w:r>
              <w:rPr>
                <w:rFonts w:ascii="Times New Roman" w:hAnsi="Times New Roman"/>
                <w:sz w:val="14"/>
              </w:rPr>
              <w:t xml:space="preserve">6,1</w:t>
            </w:r>
          </w:p>
        </w:tc>
        <w:tc>
          <w:tcPr>
            <w:tcW w:type="dxa" w:w="714"/>
          </w:tcPr>
          <w:p>
            <w:pPr>
              <w:pStyle w:val="Compact"/>
              <w:spacing w:line="240" w:lineRule="auto" w:before="20" w:after="20"/>
              <w:ind w:firstLine="0"/>
              <w:jc w:val="right"/>
            </w:pPr>
            <w:r>
              <w:rPr>
                <w:rFonts w:ascii="Times New Roman" w:hAnsi="Times New Roman"/>
                <w:sz w:val="14"/>
              </w:rPr>
              <w:t xml:space="preserve">6,5</w:t>
            </w:r>
          </w:p>
        </w:tc>
        <w:tc>
          <w:tcPr>
            <w:tcW w:type="dxa" w:w="714"/>
          </w:tcPr>
          <w:p>
            <w:pPr>
              <w:pStyle w:val="Compact"/>
              <w:spacing w:line="240" w:lineRule="auto" w:before="20" w:after="20"/>
              <w:ind w:firstLine="0"/>
              <w:jc w:val="right"/>
            </w:pPr>
            <w:r>
              <w:rPr>
                <w:rFonts w:ascii="Times New Roman" w:hAnsi="Times New Roman"/>
                <w:sz w:val="14"/>
              </w:rPr>
              <w:t xml:space="preserve">6,6</w:t>
            </w:r>
          </w:p>
        </w:tc>
        <w:tc>
          <w:tcPr>
            <w:tcW w:type="dxa" w:w="714"/>
          </w:tcPr>
          <w:p>
            <w:pPr>
              <w:pStyle w:val="Compact"/>
              <w:spacing w:line="240" w:lineRule="auto" w:before="20" w:after="20"/>
              <w:ind w:firstLine="0"/>
              <w:jc w:val="right"/>
            </w:pPr>
            <w:r>
              <w:rPr>
                <w:rFonts w:ascii="Times New Roman" w:hAnsi="Times New Roman"/>
                <w:sz w:val="14"/>
              </w:rPr>
              <w:t>6,6</w:t>
            </w:r>
          </w:p>
        </w:tc>
        <w:tc>
          <w:tcPr>
            <w:tcW w:type="dxa" w:w="714"/>
          </w:tcPr>
          <w:p>
            <w:pPr>
              <w:pStyle w:val="Compact"/>
              <w:spacing w:line="240" w:lineRule="auto" w:before="20" w:after="20"/>
              <w:ind w:firstLine="0"/>
              <w:jc w:val="right"/>
            </w:pPr>
            <w:r>
              <w:rPr>
                <w:rFonts w:ascii="Times New Roman" w:hAnsi="Times New Roman"/>
                <w:sz w:val="14"/>
              </w:rPr>
              <w:t>6,7</w:t>
            </w:r>
          </w:p>
        </w:tc>
        <w:tc>
          <w:tcPr>
            <w:tcW w:type="dxa" w:w="714"/>
          </w:tcPr>
          <w:p>
            <w:pPr>
              <w:pStyle w:val="Compact"/>
              <w:spacing w:line="240" w:lineRule="auto" w:before="20" w:after="20"/>
              <w:ind w:firstLine="0"/>
              <w:jc w:val="right"/>
            </w:pPr>
            <w:r>
              <w:rPr>
                <w:rFonts w:ascii="Times New Roman" w:hAnsi="Times New Roman"/>
                <w:sz w:val="14"/>
              </w:rPr>
              <w:t>6,7</w:t>
            </w:r>
          </w:p>
        </w:tc>
        <w:tc>
          <w:tcPr>
            <w:tcW w:type="dxa" w:w="714"/>
          </w:tcPr>
          <w:p>
            <w:pPr>
              <w:pStyle w:val="Compact"/>
              <w:spacing w:line="240" w:lineRule="auto" w:before="20" w:after="20"/>
              <w:ind w:firstLine="0"/>
              <w:jc w:val="right"/>
            </w:pPr>
            <w:r>
              <w:rPr>
                <w:rFonts w:ascii="Times New Roman" w:hAnsi="Times New Roman"/>
                <w:sz w:val="14"/>
              </w:rPr>
              <w:t>−1,20</w:t>
            </w:r>
          </w:p>
        </w:tc>
        <w:tc>
          <w:tcPr>
            <w:tcW w:type="dxa" w:w="714"/>
          </w:tcPr>
          <w:p>
            <w:pPr>
              <w:pStyle w:val="Compact"/>
              <w:spacing w:line="240" w:lineRule="auto" w:before="20" w:after="20"/>
              <w:ind w:firstLine="0"/>
              <w:jc w:val="right"/>
            </w:pPr>
            <w:r>
              <w:rPr>
                <w:rFonts w:ascii="Times New Roman" w:hAnsi="Times New Roman"/>
                <w:sz w:val="14"/>
              </w:rPr>
              <w:t>−2,22</w:t>
            </w:r>
          </w:p>
        </w:tc>
        <w:tc>
          <w:tcPr>
            <w:tcW w:type="dxa" w:w="714"/>
          </w:tcPr>
          <w:p>
            <w:pPr>
              <w:pStyle w:val="Compact"/>
              <w:spacing w:line="240" w:lineRule="auto" w:before="20" w:after="20"/>
              <w:ind w:firstLine="0"/>
              <w:jc w:val="right"/>
            </w:pPr>
            <w:r>
              <w:rPr>
                <w:rFonts w:ascii="Times New Roman" w:hAnsi="Times New Roman"/>
                <w:sz w:val="14"/>
              </w:rPr>
              <w:t>−3,24</w:t>
            </w:r>
          </w:p>
        </w:tc>
        <w:tc>
          <w:tcPr>
            <w:tcW w:type="dxa" w:w="714"/>
          </w:tcPr>
          <w:p>
            <w:pPr>
              <w:pStyle w:val="Compact"/>
              <w:spacing w:line="240" w:lineRule="auto" w:before="20" w:after="20"/>
              <w:ind w:firstLine="0"/>
              <w:jc w:val="right"/>
            </w:pPr>
            <w:r>
              <w:rPr>
                <w:rFonts w:ascii="Times New Roman" w:hAnsi="Times New Roman"/>
                <w:sz w:val="14"/>
              </w:rPr>
              <w:t>−4,26</w:t>
            </w:r>
          </w:p>
        </w:tc>
        <w:tc>
          <w:tcPr>
            <w:tcW w:type="dxa" w:w="714"/>
          </w:tcPr>
          <w:p>
            <w:pPr>
              <w:pStyle w:val="Compact"/>
              <w:spacing w:line="240" w:lineRule="auto" w:before="20" w:after="20"/>
              <w:ind w:firstLine="0"/>
              <w:jc w:val="right"/>
            </w:pPr>
            <w:r>
              <w:rPr>
                <w:rFonts w:ascii="Times New Roman" w:hAnsi="Times New Roman"/>
                <w:sz w:val="14"/>
              </w:rPr>
              <w:t>−7,19</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SC</w:t>
            </w:r>
          </w:p>
        </w:tc>
        <w:tc>
          <w:tcPr>
            <w:tcW w:type="dxa" w:w="1484"/>
          </w:tcPr>
          <w:p>
            <w:pPr>
              <w:pStyle w:val="Compact"/>
              <w:spacing w:line="240" w:lineRule="auto" w:before="20" w:after="20"/>
              <w:ind w:firstLine="0"/>
              <w:jc w:val="right"/>
            </w:pPr>
            <w:r>
              <w:rPr>
                <w:rFonts w:ascii="Times New Roman" w:hAnsi="Times New Roman"/>
                <w:sz w:val="14"/>
              </w:rPr>
              <w:t xml:space="preserve">33,8</w:t>
            </w:r>
          </w:p>
        </w:tc>
        <w:tc>
          <w:tcPr>
            <w:tcW w:type="dxa" w:w="714"/>
          </w:tcPr>
          <w:p>
            <w:pPr>
              <w:pStyle w:val="Compact"/>
              <w:spacing w:line="240" w:lineRule="auto" w:before="20" w:after="20"/>
              <w:ind w:firstLine="0"/>
              <w:jc w:val="right"/>
            </w:pPr>
            <w:r>
              <w:rPr>
                <w:rFonts w:ascii="Times New Roman" w:hAnsi="Times New Roman"/>
                <w:sz w:val="14"/>
              </w:rPr>
              <w:t>36,2</w:t>
            </w:r>
          </w:p>
        </w:tc>
        <w:tc>
          <w:tcPr>
            <w:tcW w:type="dxa" w:w="714"/>
          </w:tcPr>
          <w:p>
            <w:pPr>
              <w:pStyle w:val="Compact"/>
              <w:spacing w:line="240" w:lineRule="auto" w:before="20" w:after="20"/>
              <w:ind w:firstLine="0"/>
              <w:jc w:val="right"/>
            </w:pPr>
            <w:r>
              <w:rPr>
                <w:rFonts w:ascii="Times New Roman" w:hAnsi="Times New Roman"/>
                <w:sz w:val="14"/>
              </w:rPr>
              <w:t>36,7</w:t>
            </w:r>
          </w:p>
        </w:tc>
        <w:tc>
          <w:tcPr>
            <w:tcW w:type="dxa" w:w="714"/>
          </w:tcPr>
          <w:p>
            <w:pPr>
              <w:pStyle w:val="Compact"/>
              <w:spacing w:line="240" w:lineRule="auto" w:before="20" w:after="20"/>
              <w:ind w:firstLine="0"/>
              <w:jc w:val="right"/>
            </w:pPr>
            <w:r>
              <w:rPr>
                <w:rFonts w:ascii="Times New Roman" w:hAnsi="Times New Roman"/>
                <w:sz w:val="14"/>
              </w:rPr>
              <w:t>37,2</w:t>
            </w:r>
          </w:p>
        </w:tc>
        <w:tc>
          <w:tcPr>
            <w:tcW w:type="dxa" w:w="714"/>
          </w:tcPr>
          <w:p>
            <w:pPr>
              <w:pStyle w:val="Compact"/>
              <w:spacing w:line="240" w:lineRule="auto" w:before="20" w:after="20"/>
              <w:ind w:firstLine="0"/>
              <w:jc w:val="right"/>
            </w:pPr>
            <w:r>
              <w:rPr>
                <w:rFonts w:ascii="Times New Roman" w:hAnsi="Times New Roman"/>
                <w:sz w:val="14"/>
              </w:rPr>
              <w:t>37,8</w:t>
            </w:r>
          </w:p>
        </w:tc>
        <w:tc>
          <w:tcPr>
            <w:tcW w:type="dxa" w:w="714"/>
          </w:tcPr>
          <w:p>
            <w:pPr>
              <w:pStyle w:val="Compact"/>
              <w:spacing w:line="240" w:lineRule="auto" w:before="20" w:after="20"/>
              <w:ind w:firstLine="0"/>
              <w:jc w:val="right"/>
            </w:pPr>
            <w:r>
              <w:rPr>
                <w:rFonts w:ascii="Times New Roman" w:hAnsi="Times New Roman"/>
                <w:sz w:val="14"/>
              </w:rPr>
              <w:t>37,6</w:t>
            </w:r>
          </w:p>
        </w:tc>
        <w:tc>
          <w:tcPr>
            <w:tcW w:type="dxa" w:w="714"/>
          </w:tcPr>
          <w:p>
            <w:pPr>
              <w:pStyle w:val="Compact"/>
              <w:spacing w:line="240" w:lineRule="auto" w:before="20" w:after="20"/>
              <w:ind w:firstLine="0"/>
              <w:jc w:val="right"/>
            </w:pPr>
            <w:r>
              <w:rPr>
                <w:rFonts w:ascii="Times New Roman" w:hAnsi="Times New Roman"/>
                <w:sz w:val="14"/>
              </w:rPr>
              <w:t>−0,80</w:t>
            </w:r>
          </w:p>
        </w:tc>
        <w:tc>
          <w:tcPr>
            <w:tcW w:type="dxa" w:w="714"/>
          </w:tcPr>
          <w:p>
            <w:pPr>
              <w:pStyle w:val="Compact"/>
              <w:spacing w:line="240" w:lineRule="auto" w:before="20" w:after="20"/>
              <w:ind w:firstLine="0"/>
              <w:jc w:val="right"/>
            </w:pPr>
            <w:r>
              <w:rPr>
                <w:rFonts w:ascii="Times New Roman" w:hAnsi="Times New Roman"/>
                <w:sz w:val="14"/>
              </w:rPr>
              <w:t>−1,41</w:t>
            </w:r>
          </w:p>
        </w:tc>
        <w:tc>
          <w:tcPr>
            <w:tcW w:type="dxa" w:w="714"/>
          </w:tcPr>
          <w:p>
            <w:pPr>
              <w:pStyle w:val="Compact"/>
              <w:spacing w:line="240" w:lineRule="auto" w:before="20" w:after="20"/>
              <w:ind w:firstLine="0"/>
              <w:jc w:val="right"/>
            </w:pPr>
            <w:r>
              <w:rPr>
                <w:rFonts w:ascii="Times New Roman" w:hAnsi="Times New Roman"/>
                <w:sz w:val="14"/>
              </w:rPr>
              <w:t>−2,03</w:t>
            </w:r>
          </w:p>
        </w:tc>
        <w:tc>
          <w:tcPr>
            <w:tcW w:type="dxa" w:w="714"/>
          </w:tcPr>
          <w:p>
            <w:pPr>
              <w:pStyle w:val="Compact"/>
              <w:spacing w:line="240" w:lineRule="auto" w:before="20" w:after="20"/>
              <w:ind w:firstLine="0"/>
              <w:jc w:val="right"/>
            </w:pPr>
            <w:r>
              <w:rPr>
                <w:rFonts w:ascii="Times New Roman" w:hAnsi="Times New Roman"/>
                <w:sz w:val="14"/>
              </w:rPr>
              <w:t>−2,64</w:t>
            </w:r>
          </w:p>
        </w:tc>
        <w:tc>
          <w:tcPr>
            <w:tcW w:type="dxa" w:w="714"/>
          </w:tcPr>
          <w:p>
            <w:pPr>
              <w:pStyle w:val="Compact"/>
              <w:spacing w:line="240" w:lineRule="auto" w:before="20" w:after="20"/>
              <w:ind w:firstLine="0"/>
              <w:jc w:val="right"/>
            </w:pPr>
            <w:r>
              <w:rPr>
                <w:rFonts w:ascii="Times New Roman" w:hAnsi="Times New Roman"/>
                <w:sz w:val="14"/>
              </w:rPr>
              <w:t>−5,24</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PI</w:t>
            </w:r>
          </w:p>
        </w:tc>
        <w:tc>
          <w:tcPr>
            <w:tcW w:type="dxa" w:w="1484"/>
          </w:tcPr>
          <w:p>
            <w:pPr>
              <w:pStyle w:val="Compact"/>
              <w:spacing w:line="240" w:lineRule="auto" w:before="20" w:after="20"/>
              <w:ind w:firstLine="0"/>
              <w:jc w:val="right"/>
            </w:pPr>
            <w:r>
              <w:rPr>
                <w:rFonts w:ascii="Times New Roman" w:hAnsi="Times New Roman"/>
                <w:sz w:val="14"/>
              </w:rPr>
              <w:t xml:space="preserve">6,4</w:t>
            </w:r>
          </w:p>
        </w:tc>
        <w:tc>
          <w:tcPr>
            <w:tcW w:type="dxa" w:w="714"/>
          </w:tcPr>
          <w:p>
            <w:pPr>
              <w:pStyle w:val="Compact"/>
              <w:spacing w:line="240" w:lineRule="auto" w:before="20" w:after="20"/>
              <w:ind w:firstLine="0"/>
              <w:jc w:val="right"/>
            </w:pPr>
            <w:r>
              <w:rPr>
                <w:rFonts w:ascii="Times New Roman" w:hAnsi="Times New Roman"/>
                <w:sz w:val="14"/>
              </w:rPr>
              <w:t>6,9</w:t>
            </w:r>
          </w:p>
        </w:tc>
        <w:tc>
          <w:tcPr>
            <w:tcW w:type="dxa" w:w="714"/>
          </w:tcPr>
          <w:p>
            <w:pPr>
              <w:pStyle w:val="Compact"/>
              <w:spacing w:line="240" w:lineRule="auto" w:before="20" w:after="20"/>
              <w:ind w:firstLine="0"/>
              <w:jc w:val="right"/>
            </w:pPr>
            <w:r>
              <w:rPr>
                <w:rFonts w:ascii="Times New Roman" w:hAnsi="Times New Roman"/>
                <w:sz w:val="14"/>
              </w:rPr>
              <w:t>7,0</w:t>
            </w:r>
          </w:p>
        </w:tc>
        <w:tc>
          <w:tcPr>
            <w:tcW w:type="dxa" w:w="714"/>
          </w:tcPr>
          <w:p>
            <w:pPr>
              <w:pStyle w:val="Compact"/>
              <w:spacing w:line="240" w:lineRule="auto" w:before="20" w:after="20"/>
              <w:ind w:firstLine="0"/>
              <w:jc w:val="right"/>
            </w:pPr>
            <w:r>
              <w:rPr>
                <w:rFonts w:ascii="Times New Roman" w:hAnsi="Times New Roman"/>
                <w:sz w:val="14"/>
              </w:rPr>
              <w:t>7,1</w:t>
            </w:r>
          </w:p>
        </w:tc>
        <w:tc>
          <w:tcPr>
            <w:tcW w:type="dxa" w:w="714"/>
          </w:tcPr>
          <w:p>
            <w:pPr>
              <w:pStyle w:val="Compact"/>
              <w:spacing w:line="240" w:lineRule="auto" w:before="20" w:after="20"/>
              <w:ind w:firstLine="0"/>
              <w:jc w:val="right"/>
            </w:pPr>
            <w:r>
              <w:rPr>
                <w:rFonts w:ascii="Times New Roman" w:hAnsi="Times New Roman"/>
                <w:sz w:val="14"/>
              </w:rPr>
              <w:t>7,3</w:t>
            </w:r>
          </w:p>
        </w:tc>
        <w:tc>
          <w:tcPr>
            <w:tcW w:type="dxa" w:w="714"/>
          </w:tcPr>
          <w:p>
            <w:pPr>
              <w:pStyle w:val="Compact"/>
              <w:spacing w:line="240" w:lineRule="auto" w:before="20" w:after="20"/>
              <w:ind w:firstLine="0"/>
              <w:jc w:val="right"/>
            </w:pPr>
            <w:r>
              <w:rPr>
                <w:rFonts w:ascii="Times New Roman" w:hAnsi="Times New Roman"/>
                <w:sz w:val="14"/>
              </w:rPr>
              <w:t>7,3</w:t>
            </w:r>
          </w:p>
        </w:tc>
        <w:tc>
          <w:tcPr>
            <w:tcW w:type="dxa" w:w="714"/>
          </w:tcPr>
          <w:p>
            <w:pPr>
              <w:pStyle w:val="Compact"/>
              <w:spacing w:line="240" w:lineRule="auto" w:before="20" w:after="20"/>
              <w:ind w:firstLine="0"/>
              <w:jc w:val="right"/>
            </w:pPr>
            <w:r>
              <w:rPr>
                <w:rFonts w:ascii="Times New Roman" w:hAnsi="Times New Roman"/>
                <w:sz w:val="14"/>
              </w:rPr>
              <w:t>−0,31</w:t>
            </w:r>
          </w:p>
        </w:tc>
        <w:tc>
          <w:tcPr>
            <w:tcW w:type="dxa" w:w="714"/>
          </w:tcPr>
          <w:p>
            <w:pPr>
              <w:pStyle w:val="Compact"/>
              <w:spacing w:line="240" w:lineRule="auto" w:before="20" w:after="20"/>
              <w:ind w:firstLine="0"/>
              <w:jc w:val="right"/>
            </w:pPr>
            <w:r>
              <w:rPr>
                <w:rFonts w:ascii="Times New Roman" w:hAnsi="Times New Roman"/>
                <w:sz w:val="14"/>
              </w:rPr>
              <w:t>−0,43</w:t>
            </w:r>
          </w:p>
        </w:tc>
        <w:tc>
          <w:tcPr>
            <w:tcW w:type="dxa" w:w="714"/>
          </w:tcPr>
          <w:p>
            <w:pPr>
              <w:pStyle w:val="Compact"/>
              <w:spacing w:line="240" w:lineRule="auto" w:before="20" w:after="20"/>
              <w:ind w:firstLine="0"/>
              <w:jc w:val="right"/>
            </w:pPr>
            <w:r>
              <w:rPr>
                <w:rFonts w:ascii="Times New Roman" w:hAnsi="Times New Roman"/>
                <w:sz w:val="14"/>
              </w:rPr>
              <w:t>−0,55</w:t>
            </w:r>
          </w:p>
        </w:tc>
        <w:tc>
          <w:tcPr>
            <w:tcW w:type="dxa" w:w="714"/>
          </w:tcPr>
          <w:p>
            <w:pPr>
              <w:pStyle w:val="Compact"/>
              <w:spacing w:line="240" w:lineRule="auto" w:before="20" w:after="20"/>
              <w:ind w:firstLine="0"/>
              <w:jc w:val="right"/>
            </w:pPr>
            <w:r>
              <w:rPr>
                <w:rFonts w:ascii="Times New Roman" w:hAnsi="Times New Roman"/>
                <w:sz w:val="14"/>
              </w:rPr>
              <w:t>−0,66</w:t>
            </w:r>
          </w:p>
        </w:tc>
        <w:tc>
          <w:tcPr>
            <w:tcW w:type="dxa" w:w="714"/>
          </w:tcPr>
          <w:p>
            <w:pPr>
              <w:pStyle w:val="Compact"/>
              <w:spacing w:line="240" w:lineRule="auto" w:before="20" w:after="20"/>
              <w:ind w:firstLine="0"/>
              <w:jc w:val="right"/>
            </w:pPr>
            <w:r>
              <w:rPr>
                <w:rFonts w:ascii="Times New Roman" w:hAnsi="Times New Roman"/>
                <w:sz w:val="14"/>
              </w:rPr>
              <w:t>−2,78</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PA</w:t>
            </w:r>
          </w:p>
        </w:tc>
        <w:tc>
          <w:tcPr>
            <w:tcW w:type="dxa" w:w="1484"/>
          </w:tcPr>
          <w:p>
            <w:pPr>
              <w:pStyle w:val="Compact"/>
              <w:spacing w:line="240" w:lineRule="auto" w:before="20" w:after="20"/>
              <w:ind w:firstLine="0"/>
              <w:jc w:val="right"/>
            </w:pPr>
            <w:r>
              <w:rPr>
                <w:rFonts w:ascii="Times New Roman" w:hAnsi="Times New Roman"/>
                <w:sz w:val="14"/>
              </w:rPr>
              <w:t xml:space="preserve">18,8</w:t>
            </w:r>
          </w:p>
        </w:tc>
        <w:tc>
          <w:tcPr>
            <w:tcW w:type="dxa" w:w="714"/>
          </w:tcPr>
          <w:p>
            <w:pPr>
              <w:pStyle w:val="Compact"/>
              <w:spacing w:line="240" w:lineRule="auto" w:before="20" w:after="20"/>
              <w:ind w:firstLine="0"/>
              <w:jc w:val="right"/>
            </w:pPr>
            <w:r>
              <w:rPr>
                <w:rFonts w:ascii="Times New Roman" w:hAnsi="Times New Roman"/>
                <w:sz w:val="14"/>
              </w:rPr>
              <w:t xml:space="preserve">20,1</w:t>
            </w:r>
          </w:p>
        </w:tc>
        <w:tc>
          <w:tcPr>
            <w:tcW w:type="dxa" w:w="714"/>
          </w:tcPr>
          <w:p>
            <w:pPr>
              <w:pStyle w:val="Compact"/>
              <w:spacing w:line="240" w:lineRule="auto" w:before="20" w:after="20"/>
              <w:ind w:firstLine="0"/>
              <w:jc w:val="right"/>
            </w:pPr>
            <w:r>
              <w:rPr>
                <w:rFonts w:ascii="Times New Roman" w:hAnsi="Times New Roman"/>
                <w:sz w:val="14"/>
              </w:rPr>
              <w:t>20,4</w:t>
            </w:r>
          </w:p>
        </w:tc>
        <w:tc>
          <w:tcPr>
            <w:tcW w:type="dxa" w:w="714"/>
          </w:tcPr>
          <w:p>
            <w:pPr>
              <w:pStyle w:val="Compact"/>
              <w:spacing w:line="240" w:lineRule="auto" w:before="20" w:after="20"/>
              <w:ind w:firstLine="0"/>
              <w:jc w:val="right"/>
            </w:pPr>
            <w:r>
              <w:rPr>
                <w:rFonts w:ascii="Times New Roman" w:hAnsi="Times New Roman"/>
                <w:sz w:val="14"/>
              </w:rPr>
              <w:t>20,7</w:t>
            </w:r>
          </w:p>
        </w:tc>
        <w:tc>
          <w:tcPr>
            <w:tcW w:type="dxa" w:w="714"/>
          </w:tcPr>
          <w:p>
            <w:pPr>
              <w:pStyle w:val="Compact"/>
              <w:spacing w:line="240" w:lineRule="auto" w:before="20" w:after="20"/>
              <w:ind w:firstLine="0"/>
              <w:jc w:val="right"/>
            </w:pPr>
            <w:r>
              <w:rPr>
                <w:rFonts w:ascii="Times New Roman" w:hAnsi="Times New Roman"/>
                <w:sz w:val="14"/>
              </w:rPr>
              <w:t>21,1</w:t>
            </w:r>
          </w:p>
        </w:tc>
        <w:tc>
          <w:tcPr>
            <w:tcW w:type="dxa" w:w="714"/>
          </w:tcPr>
          <w:p>
            <w:pPr>
              <w:pStyle w:val="Compact"/>
              <w:spacing w:line="240" w:lineRule="auto" w:before="20" w:after="20"/>
              <w:ind w:firstLine="0"/>
              <w:jc w:val="right"/>
            </w:pPr>
            <w:r>
              <w:rPr>
                <w:rFonts w:ascii="Times New Roman" w:hAnsi="Times New Roman"/>
                <w:sz w:val="14"/>
              </w:rPr>
              <w:t>21,1</w:t>
            </w:r>
          </w:p>
        </w:tc>
        <w:tc>
          <w:tcPr>
            <w:tcW w:type="dxa" w:w="714"/>
          </w:tcPr>
          <w:p>
            <w:pPr>
              <w:pStyle w:val="Compact"/>
              <w:spacing w:line="240" w:lineRule="auto" w:before="20" w:after="20"/>
              <w:ind w:firstLine="0"/>
              <w:jc w:val="right"/>
            </w:pPr>
            <w:r>
              <w:rPr>
                <w:rFonts w:ascii="Times New Roman" w:hAnsi="Times New Roman"/>
                <w:sz w:val="14"/>
              </w:rPr>
              <w:t>−0,72</w:t>
            </w:r>
          </w:p>
        </w:tc>
        <w:tc>
          <w:tcPr>
            <w:tcW w:type="dxa" w:w="714"/>
          </w:tcPr>
          <w:p>
            <w:pPr>
              <w:pStyle w:val="Compact"/>
              <w:spacing w:line="240" w:lineRule="auto" w:before="20" w:after="20"/>
              <w:ind w:firstLine="0"/>
              <w:jc w:val="right"/>
            </w:pPr>
            <w:r>
              <w:rPr>
                <w:rFonts w:ascii="Times New Roman" w:hAnsi="Times New Roman"/>
                <w:sz w:val="14"/>
              </w:rPr>
              <w:t>−1,25</w:t>
            </w:r>
          </w:p>
        </w:tc>
        <w:tc>
          <w:tcPr>
            <w:tcW w:type="dxa" w:w="714"/>
          </w:tcPr>
          <w:p>
            <w:pPr>
              <w:pStyle w:val="Compact"/>
              <w:spacing w:line="240" w:lineRule="auto" w:before="20" w:after="20"/>
              <w:ind w:firstLine="0"/>
              <w:jc w:val="right"/>
            </w:pPr>
            <w:r>
              <w:rPr>
                <w:rFonts w:ascii="Times New Roman" w:hAnsi="Times New Roman"/>
                <w:sz w:val="14"/>
              </w:rPr>
              <w:t>−1,78</w:t>
            </w:r>
          </w:p>
        </w:tc>
        <w:tc>
          <w:tcPr>
            <w:tcW w:type="dxa" w:w="714"/>
          </w:tcPr>
          <w:p>
            <w:pPr>
              <w:pStyle w:val="Compact"/>
              <w:spacing w:line="240" w:lineRule="auto" w:before="20" w:after="20"/>
              <w:ind w:firstLine="0"/>
              <w:jc w:val="right"/>
            </w:pPr>
            <w:r>
              <w:rPr>
                <w:rFonts w:ascii="Times New Roman" w:hAnsi="Times New Roman"/>
                <w:sz w:val="14"/>
              </w:rPr>
              <w:t>−2,31</w:t>
            </w:r>
          </w:p>
        </w:tc>
        <w:tc>
          <w:tcPr>
            <w:tcW w:type="dxa" w:w="714"/>
          </w:tcPr>
          <w:p>
            <w:pPr>
              <w:pStyle w:val="Compact"/>
              <w:spacing w:line="240" w:lineRule="auto" w:before="20" w:after="20"/>
              <w:ind w:firstLine="0"/>
              <w:jc w:val="right"/>
            </w:pPr>
            <w:r>
              <w:rPr>
                <w:rFonts w:ascii="Times New Roman" w:hAnsi="Times New Roman"/>
                <w:sz w:val="14"/>
              </w:rPr>
              <w:t>−4,22</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RR</w:t>
            </w:r>
          </w:p>
        </w:tc>
        <w:tc>
          <w:tcPr>
            <w:tcW w:type="dxa" w:w="1484"/>
          </w:tcPr>
          <w:p>
            <w:pPr>
              <w:pStyle w:val="Compact"/>
              <w:spacing w:line="240" w:lineRule="auto" w:before="20" w:after="20"/>
              <w:ind w:firstLine="0"/>
              <w:jc w:val="right"/>
            </w:pPr>
            <w:r>
              <w:rPr>
                <w:rFonts w:ascii="Times New Roman" w:hAnsi="Times New Roman"/>
                <w:sz w:val="14"/>
              </w:rPr>
              <w:t xml:space="preserve">1,6</w:t>
            </w:r>
          </w:p>
        </w:tc>
        <w:tc>
          <w:tcPr>
            <w:tcW w:type="dxa" w:w="714"/>
          </w:tcPr>
          <w:p>
            <w:pPr>
              <w:pStyle w:val="Compact"/>
              <w:spacing w:line="240" w:lineRule="auto" w:before="20" w:after="20"/>
              <w:ind w:firstLine="0"/>
              <w:jc w:val="right"/>
            </w:pPr>
            <w:r>
              <w:rPr>
                <w:rFonts w:ascii="Times New Roman" w:hAnsi="Times New Roman"/>
                <w:sz w:val="14"/>
              </w:rPr>
              <w:t xml:space="preserve">1,7</w:t>
            </w:r>
          </w:p>
        </w:tc>
        <w:tc>
          <w:tcPr>
            <w:tcW w:type="dxa" w:w="714"/>
          </w:tcPr>
          <w:p>
            <w:pPr>
              <w:pStyle w:val="Compact"/>
              <w:spacing w:line="240" w:lineRule="auto" w:before="20" w:after="20"/>
              <w:ind w:firstLine="0"/>
              <w:jc w:val="right"/>
            </w:pPr>
            <w:r>
              <w:rPr>
                <w:rFonts w:ascii="Times New Roman" w:hAnsi="Times New Roman"/>
                <w:sz w:val="14"/>
              </w:rPr>
              <w:t>1,8</w:t>
            </w:r>
          </w:p>
        </w:tc>
        <w:tc>
          <w:tcPr>
            <w:tcW w:type="dxa" w:w="714"/>
          </w:tcPr>
          <w:p>
            <w:pPr>
              <w:pStyle w:val="Compact"/>
              <w:spacing w:line="240" w:lineRule="auto" w:before="20" w:after="20"/>
              <w:ind w:firstLine="0"/>
              <w:jc w:val="right"/>
            </w:pPr>
            <w:r>
              <w:rPr>
                <w:rFonts w:ascii="Times New Roman" w:hAnsi="Times New Roman"/>
                <w:sz w:val="14"/>
              </w:rPr>
              <w:t xml:space="preserve">1,8</w:t>
            </w:r>
          </w:p>
        </w:tc>
        <w:tc>
          <w:tcPr>
            <w:tcW w:type="dxa" w:w="714"/>
          </w:tcPr>
          <w:p>
            <w:pPr>
              <w:pStyle w:val="Compact"/>
              <w:spacing w:line="240" w:lineRule="auto" w:before="20" w:after="20"/>
              <w:ind w:firstLine="0"/>
              <w:jc w:val="right"/>
            </w:pPr>
            <w:r>
              <w:rPr>
                <w:rFonts w:ascii="Times New Roman" w:hAnsi="Times New Roman"/>
                <w:sz w:val="14"/>
              </w:rPr>
              <w:t xml:space="preserve">1,8</w:t>
            </w:r>
          </w:p>
        </w:tc>
        <w:tc>
          <w:tcPr>
            <w:tcW w:type="dxa" w:w="714"/>
          </w:tcPr>
          <w:p>
            <w:pPr>
              <w:pStyle w:val="Compact"/>
              <w:spacing w:line="240" w:lineRule="auto" w:before="20" w:after="20"/>
              <w:ind w:firstLine="0"/>
              <w:jc w:val="right"/>
            </w:pPr>
            <w:r>
              <w:rPr>
                <w:rFonts w:ascii="Times New Roman" w:hAnsi="Times New Roman"/>
                <w:sz w:val="14"/>
              </w:rPr>
              <w:t xml:space="preserve">1,8</w:t>
            </w:r>
          </w:p>
        </w:tc>
        <w:tc>
          <w:tcPr>
            <w:tcW w:type="dxa" w:w="714"/>
          </w:tcPr>
          <w:p>
            <w:pPr>
              <w:pStyle w:val="Compact"/>
              <w:spacing w:line="240" w:lineRule="auto" w:before="20" w:after="20"/>
              <w:ind w:firstLine="0"/>
              <w:jc w:val="right"/>
            </w:pPr>
            <w:r>
              <w:rPr>
                <w:rFonts w:ascii="Times New Roman" w:hAnsi="Times New Roman"/>
                <w:sz w:val="14"/>
              </w:rPr>
              <w:t>−0,56</w:t>
            </w:r>
          </w:p>
        </w:tc>
        <w:tc>
          <w:tcPr>
            <w:tcW w:type="dxa" w:w="714"/>
          </w:tcPr>
          <w:p>
            <w:pPr>
              <w:pStyle w:val="Compact"/>
              <w:spacing w:line="240" w:lineRule="auto" w:before="20" w:after="20"/>
              <w:ind w:firstLine="0"/>
              <w:jc w:val="right"/>
            </w:pPr>
            <w:r>
              <w:rPr>
                <w:rFonts w:ascii="Times New Roman" w:hAnsi="Times New Roman"/>
                <w:sz w:val="14"/>
              </w:rPr>
              <w:t>−0,92</w:t>
            </w:r>
          </w:p>
        </w:tc>
        <w:tc>
          <w:tcPr>
            <w:tcW w:type="dxa" w:w="714"/>
          </w:tcPr>
          <w:p>
            <w:pPr>
              <w:pStyle w:val="Compact"/>
              <w:spacing w:line="240" w:lineRule="auto" w:before="20" w:after="20"/>
              <w:ind w:firstLine="0"/>
              <w:jc w:val="right"/>
            </w:pPr>
            <w:r>
              <w:rPr>
                <w:rFonts w:ascii="Times New Roman" w:hAnsi="Times New Roman"/>
                <w:sz w:val="14"/>
              </w:rPr>
              <w:t>−1,29</w:t>
            </w:r>
          </w:p>
        </w:tc>
        <w:tc>
          <w:tcPr>
            <w:tcW w:type="dxa" w:w="714"/>
          </w:tcPr>
          <w:p>
            <w:pPr>
              <w:pStyle w:val="Compact"/>
              <w:spacing w:line="240" w:lineRule="auto" w:before="20" w:after="20"/>
              <w:ind w:firstLine="0"/>
              <w:jc w:val="right"/>
            </w:pPr>
            <w:r>
              <w:rPr>
                <w:rFonts w:ascii="Times New Roman" w:hAnsi="Times New Roman"/>
                <w:sz w:val="14"/>
              </w:rPr>
              <w:t>−1,65</w:t>
            </w:r>
          </w:p>
        </w:tc>
        <w:tc>
          <w:tcPr>
            <w:tcW w:type="dxa" w:w="714"/>
          </w:tcPr>
          <w:p>
            <w:pPr>
              <w:pStyle w:val="Compact"/>
              <w:spacing w:line="240" w:lineRule="auto" w:before="20" w:after="20"/>
              <w:ind w:firstLine="0"/>
              <w:jc w:val="right"/>
            </w:pPr>
            <w:r>
              <w:rPr>
                <w:rFonts w:ascii="Times New Roman" w:hAnsi="Times New Roman"/>
                <w:sz w:val="14"/>
              </w:rPr>
              <w:t>−2,98</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PB</w:t>
            </w:r>
          </w:p>
        </w:tc>
        <w:tc>
          <w:tcPr>
            <w:tcW w:type="dxa" w:w="1484"/>
          </w:tcPr>
          <w:p>
            <w:pPr>
              <w:pStyle w:val="Compact"/>
              <w:spacing w:line="240" w:lineRule="auto" w:before="20" w:after="20"/>
              <w:ind w:firstLine="0"/>
              <w:jc w:val="right"/>
            </w:pPr>
            <w:r>
              <w:rPr>
                <w:rFonts w:ascii="Times New Roman" w:hAnsi="Times New Roman"/>
                <w:sz w:val="14"/>
              </w:rPr>
              <w:t xml:space="preserve">8,0</w:t>
            </w:r>
          </w:p>
        </w:tc>
        <w:tc>
          <w:tcPr>
            <w:tcW w:type="dxa" w:w="714"/>
          </w:tcPr>
          <w:p>
            <w:pPr>
              <w:pStyle w:val="Compact"/>
              <w:spacing w:line="240" w:lineRule="auto" w:before="20" w:after="20"/>
              <w:ind w:firstLine="0"/>
              <w:jc w:val="right"/>
            </w:pPr>
            <w:r>
              <w:rPr>
                <w:rFonts w:ascii="Times New Roman" w:hAnsi="Times New Roman"/>
                <w:sz w:val="14"/>
              </w:rPr>
              <w:t xml:space="preserve">8,5</w:t>
            </w:r>
          </w:p>
        </w:tc>
        <w:tc>
          <w:tcPr>
            <w:tcW w:type="dxa" w:w="714"/>
          </w:tcPr>
          <w:p>
            <w:pPr>
              <w:pStyle w:val="Compact"/>
              <w:spacing w:line="240" w:lineRule="auto" w:before="20" w:after="20"/>
              <w:ind w:firstLine="0"/>
              <w:jc w:val="right"/>
            </w:pPr>
            <w:r>
              <w:rPr>
                <w:rFonts w:ascii="Times New Roman" w:hAnsi="Times New Roman"/>
                <w:sz w:val="14"/>
              </w:rPr>
              <w:t xml:space="preserve">8,7</w:t>
            </w:r>
          </w:p>
        </w:tc>
        <w:tc>
          <w:tcPr>
            <w:tcW w:type="dxa" w:w="714"/>
          </w:tcPr>
          <w:p>
            <w:pPr>
              <w:pStyle w:val="Compact"/>
              <w:spacing w:line="240" w:lineRule="auto" w:before="20" w:after="20"/>
              <w:ind w:firstLine="0"/>
              <w:jc w:val="right"/>
            </w:pPr>
            <w:r>
              <w:rPr>
                <w:rFonts w:ascii="Times New Roman" w:hAnsi="Times New Roman"/>
                <w:sz w:val="14"/>
              </w:rPr>
              <w:t>8,9</w:t>
            </w:r>
          </w:p>
        </w:tc>
        <w:tc>
          <w:tcPr>
            <w:tcW w:type="dxa" w:w="714"/>
          </w:tcPr>
          <w:p>
            <w:pPr>
              <w:pStyle w:val="Compact"/>
              <w:spacing w:line="240" w:lineRule="auto" w:before="20" w:after="20"/>
              <w:ind w:firstLine="0"/>
              <w:jc w:val="right"/>
            </w:pPr>
            <w:r>
              <w:rPr>
                <w:rFonts w:ascii="Times New Roman" w:hAnsi="Times New Roman"/>
                <w:sz w:val="14"/>
              </w:rPr>
              <w:t xml:space="preserve">9,0</w:t>
            </w:r>
          </w:p>
        </w:tc>
        <w:tc>
          <w:tcPr>
            <w:tcW w:type="dxa" w:w="714"/>
          </w:tcPr>
          <w:p>
            <w:pPr>
              <w:pStyle w:val="Compact"/>
              <w:spacing w:line="240" w:lineRule="auto" w:before="20" w:after="20"/>
              <w:ind w:firstLine="0"/>
              <w:jc w:val="right"/>
            </w:pPr>
            <w:r>
              <w:rPr>
                <w:rFonts w:ascii="Times New Roman" w:hAnsi="Times New Roman"/>
                <w:sz w:val="14"/>
              </w:rPr>
              <w:t>9,1</w:t>
            </w:r>
          </w:p>
        </w:tc>
        <w:tc>
          <w:tcPr>
            <w:tcW w:type="dxa" w:w="714"/>
          </w:tcPr>
          <w:p>
            <w:pPr>
              <w:pStyle w:val="Compact"/>
              <w:spacing w:line="240" w:lineRule="auto" w:before="20" w:after="20"/>
              <w:ind w:firstLine="0"/>
              <w:jc w:val="right"/>
            </w:pPr>
            <w:r>
              <w:rPr>
                <w:rFonts w:ascii="Times New Roman" w:hAnsi="Times New Roman"/>
                <w:sz w:val="14"/>
              </w:rPr>
              <w:t>−0,43</w:t>
            </w:r>
          </w:p>
        </w:tc>
        <w:tc>
          <w:tcPr>
            <w:tcW w:type="dxa" w:w="714"/>
          </w:tcPr>
          <w:p>
            <w:pPr>
              <w:pStyle w:val="Compact"/>
              <w:spacing w:line="240" w:lineRule="auto" w:before="20" w:after="20"/>
              <w:ind w:firstLine="0"/>
              <w:jc w:val="right"/>
            </w:pPr>
            <w:r>
              <w:rPr>
                <w:rFonts w:ascii="Times New Roman" w:hAnsi="Times New Roman"/>
                <w:sz w:val="14"/>
              </w:rPr>
              <w:t>−0,66</w:t>
            </w:r>
          </w:p>
        </w:tc>
        <w:tc>
          <w:tcPr>
            <w:tcW w:type="dxa" w:w="714"/>
          </w:tcPr>
          <w:p>
            <w:pPr>
              <w:pStyle w:val="Compact"/>
              <w:spacing w:line="240" w:lineRule="auto" w:before="20" w:after="20"/>
              <w:ind w:firstLine="0"/>
              <w:jc w:val="right"/>
            </w:pPr>
            <w:r>
              <w:rPr>
                <w:rFonts w:ascii="Times New Roman" w:hAnsi="Times New Roman"/>
                <w:sz w:val="14"/>
              </w:rPr>
              <w:t>−0,89</w:t>
            </w:r>
          </w:p>
        </w:tc>
        <w:tc>
          <w:tcPr>
            <w:tcW w:type="dxa" w:w="714"/>
          </w:tcPr>
          <w:p>
            <w:pPr>
              <w:pStyle w:val="Compact"/>
              <w:spacing w:line="240" w:lineRule="auto" w:before="20" w:after="20"/>
              <w:ind w:firstLine="0"/>
              <w:jc w:val="right"/>
            </w:pPr>
            <w:r>
              <w:rPr>
                <w:rFonts w:ascii="Times New Roman" w:hAnsi="Times New Roman"/>
                <w:sz w:val="14"/>
              </w:rPr>
              <w:t>−1,13</w:t>
            </w:r>
          </w:p>
        </w:tc>
        <w:tc>
          <w:tcPr>
            <w:tcW w:type="dxa" w:w="714"/>
          </w:tcPr>
          <w:p>
            <w:pPr>
              <w:pStyle w:val="Compact"/>
              <w:spacing w:line="240" w:lineRule="auto" w:before="20" w:after="20"/>
              <w:ind w:firstLine="0"/>
              <w:jc w:val="right"/>
            </w:pPr>
            <w:r>
              <w:rPr>
                <w:rFonts w:ascii="Times New Roman" w:hAnsi="Times New Roman"/>
                <w:sz w:val="14"/>
              </w:rPr>
              <w:t>−2,66</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MS</w:t>
            </w:r>
          </w:p>
        </w:tc>
        <w:tc>
          <w:tcPr>
            <w:tcW w:type="dxa" w:w="1484"/>
          </w:tcPr>
          <w:p>
            <w:pPr>
              <w:pStyle w:val="Compact"/>
              <w:spacing w:line="240" w:lineRule="auto" w:before="20" w:after="20"/>
              <w:ind w:firstLine="0"/>
              <w:jc w:val="right"/>
            </w:pPr>
            <w:r>
              <w:rPr>
                <w:rFonts w:ascii="Times New Roman" w:hAnsi="Times New Roman"/>
                <w:sz w:val="14"/>
              </w:rPr>
              <w:t xml:space="preserve">13,2</w:t>
            </w:r>
          </w:p>
        </w:tc>
        <w:tc>
          <w:tcPr>
            <w:tcW w:type="dxa" w:w="714"/>
          </w:tcPr>
          <w:p>
            <w:pPr>
              <w:pStyle w:val="Compact"/>
              <w:spacing w:line="240" w:lineRule="auto" w:before="20" w:after="20"/>
              <w:ind w:firstLine="0"/>
              <w:jc w:val="right"/>
            </w:pPr>
            <w:r>
              <w:rPr>
                <w:rFonts w:ascii="Times New Roman" w:hAnsi="Times New Roman"/>
                <w:sz w:val="14"/>
              </w:rPr>
              <w:t xml:space="preserve">14,2</w:t>
            </w:r>
          </w:p>
        </w:tc>
        <w:tc>
          <w:tcPr>
            <w:tcW w:type="dxa" w:w="714"/>
          </w:tcPr>
          <w:p>
            <w:pPr>
              <w:pStyle w:val="Compact"/>
              <w:spacing w:line="240" w:lineRule="auto" w:before="20" w:after="20"/>
              <w:ind w:firstLine="0"/>
              <w:jc w:val="right"/>
            </w:pPr>
            <w:r>
              <w:rPr>
                <w:rFonts w:ascii="Times New Roman" w:hAnsi="Times New Roman"/>
                <w:sz w:val="14"/>
              </w:rPr>
              <w:t xml:space="preserve">14,4</w:t>
            </w:r>
          </w:p>
        </w:tc>
        <w:tc>
          <w:tcPr>
            <w:tcW w:type="dxa" w:w="714"/>
          </w:tcPr>
          <w:p>
            <w:pPr>
              <w:pStyle w:val="Compact"/>
              <w:spacing w:line="240" w:lineRule="auto" w:before="20" w:after="20"/>
              <w:ind w:firstLine="0"/>
              <w:jc w:val="right"/>
            </w:pPr>
            <w:r>
              <w:rPr>
                <w:rFonts w:ascii="Times New Roman" w:hAnsi="Times New Roman"/>
                <w:sz w:val="14"/>
              </w:rPr>
              <w:t>14,6</w:t>
            </w:r>
          </w:p>
        </w:tc>
        <w:tc>
          <w:tcPr>
            <w:tcW w:type="dxa" w:w="714"/>
          </w:tcPr>
          <w:p>
            <w:pPr>
              <w:pStyle w:val="Compact"/>
              <w:spacing w:line="240" w:lineRule="auto" w:before="20" w:after="20"/>
              <w:ind w:firstLine="0"/>
              <w:jc w:val="right"/>
            </w:pPr>
            <w:r>
              <w:rPr>
                <w:rFonts w:ascii="Times New Roman" w:hAnsi="Times New Roman"/>
                <w:sz w:val="14"/>
              </w:rPr>
              <w:t>14,8</w:t>
            </w:r>
          </w:p>
        </w:tc>
        <w:tc>
          <w:tcPr>
            <w:tcW w:type="dxa" w:w="714"/>
          </w:tcPr>
          <w:p>
            <w:pPr>
              <w:pStyle w:val="Compact"/>
              <w:spacing w:line="240" w:lineRule="auto" w:before="20" w:after="20"/>
              <w:ind w:firstLine="0"/>
              <w:jc w:val="right"/>
            </w:pPr>
            <w:r>
              <w:rPr>
                <w:rFonts w:ascii="Times New Roman" w:hAnsi="Times New Roman"/>
                <w:sz w:val="14"/>
              </w:rPr>
              <w:t>15,0</w:t>
            </w:r>
          </w:p>
        </w:tc>
        <w:tc>
          <w:tcPr>
            <w:tcW w:type="dxa" w:w="714"/>
          </w:tcPr>
          <w:p>
            <w:pPr>
              <w:pStyle w:val="Compact"/>
              <w:spacing w:line="240" w:lineRule="auto" w:before="20" w:after="20"/>
              <w:ind w:firstLine="0"/>
              <w:jc w:val="right"/>
            </w:pPr>
            <w:r>
              <w:rPr>
                <w:rFonts w:ascii="Times New Roman" w:hAnsi="Times New Roman"/>
                <w:sz w:val="14"/>
              </w:rPr>
              <w:t>−0,76</w:t>
            </w:r>
          </w:p>
        </w:tc>
        <w:tc>
          <w:tcPr>
            <w:tcW w:type="dxa" w:w="714"/>
          </w:tcPr>
          <w:p>
            <w:pPr>
              <w:pStyle w:val="Compact"/>
              <w:spacing w:line="240" w:lineRule="auto" w:before="20" w:after="20"/>
              <w:ind w:firstLine="0"/>
              <w:jc w:val="right"/>
            </w:pPr>
            <w:r>
              <w:rPr>
                <w:rFonts w:ascii="Times New Roman" w:hAnsi="Times New Roman"/>
                <w:sz w:val="14"/>
              </w:rPr>
              <w:t>−1,33</w:t>
            </w:r>
          </w:p>
        </w:tc>
        <w:tc>
          <w:tcPr>
            <w:tcW w:type="dxa" w:w="714"/>
          </w:tcPr>
          <w:p>
            <w:pPr>
              <w:pStyle w:val="Compact"/>
              <w:spacing w:line="240" w:lineRule="auto" w:before="20" w:after="20"/>
              <w:ind w:firstLine="0"/>
              <w:jc w:val="right"/>
            </w:pPr>
            <w:r>
              <w:rPr>
                <w:rFonts w:ascii="Times New Roman" w:hAnsi="Times New Roman"/>
                <w:sz w:val="14"/>
              </w:rPr>
              <w:t>−1,90</w:t>
            </w:r>
          </w:p>
        </w:tc>
        <w:tc>
          <w:tcPr>
            <w:tcW w:type="dxa" w:w="714"/>
          </w:tcPr>
          <w:p>
            <w:pPr>
              <w:pStyle w:val="Compact"/>
              <w:spacing w:line="240" w:lineRule="auto" w:before="20" w:after="20"/>
              <w:ind w:firstLine="0"/>
              <w:jc w:val="right"/>
            </w:pPr>
            <w:r>
              <w:rPr>
                <w:rFonts w:ascii="Times New Roman" w:hAnsi="Times New Roman"/>
                <w:sz w:val="14"/>
              </w:rPr>
              <w:t>−2,46</w:t>
            </w:r>
          </w:p>
        </w:tc>
        <w:tc>
          <w:tcPr>
            <w:tcW w:type="dxa" w:w="714"/>
          </w:tcPr>
          <w:p>
            <w:pPr>
              <w:pStyle w:val="Compact"/>
              <w:spacing w:line="240" w:lineRule="auto" w:before="20" w:after="20"/>
              <w:ind w:firstLine="0"/>
              <w:jc w:val="right"/>
            </w:pPr>
            <w:r>
              <w:rPr>
                <w:rFonts w:ascii="Times New Roman" w:hAnsi="Times New Roman"/>
                <w:sz w:val="14"/>
              </w:rPr>
              <w:t>−3,39</w:t>
            </w:r>
          </w:p>
        </w:tc>
      </w:tr>
      <w:tr>
        <w:trPr>
          <w:cantSplit/>
        </w:trPr>
        <w:tc>
          <w:tcPr>
            <w:tcW w:type="dxa" w:w="439"/>
            <w:shd w:val="clear" w:color="auto" w:fill="E7E6E6"/>
          </w:tcPr>
          <w:p>
            <w:pPr>
              <w:pStyle w:val="Compact"/>
              <w:spacing w:line="240" w:lineRule="auto" w:before="20" w:after="20"/>
              <w:ind w:firstLine="0"/>
              <w:jc w:val="left"/>
            </w:pPr>
            <w:r>
              <w:rPr>
                <w:rFonts w:ascii="Times New Roman" w:hAnsi="Times New Roman"/>
                <w:sz w:val="14"/>
              </w:rPr>
            </w:r>
            <w:r>
              <w:rPr>
                <w:rFonts w:ascii="Times New Roman" w:hAnsi="Times New Roman"/>
                <w:b/>
                <w:bCs/>
                <w:sz w:val="14"/>
              </w:rPr>
              <w:t xml:space="preserve">PR</w:t>
            </w:r>
          </w:p>
        </w:tc>
        <w:tc>
          <w:tcPr>
            <w:tcW w:type="dxa" w:w="1484"/>
            <w:shd w:val="clear" w:color="auto" w:fill="E7E6E6"/>
          </w:tcPr>
          <w:p>
            <w:pPr>
              <w:pStyle w:val="Compact"/>
              <w:spacing w:line="240" w:lineRule="auto" w:before="20" w:after="20"/>
              <w:ind w:firstLine="0"/>
              <w:jc w:val="right"/>
            </w:pPr>
            <w:r>
              <w:rPr>
                <w:rFonts w:ascii="Times New Roman" w:hAnsi="Times New Roman"/>
                <w:b/>
                <w:bCs/>
                <w:sz w:val="14"/>
              </w:rPr>
              <w:t xml:space="preserve">40,1</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43,3</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44,2</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45,2</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46,2</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47,5</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−0,12</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−0,04</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+0,04</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+0,13</w:t>
            </w:r>
          </w:p>
        </w:tc>
        <w:tc>
          <w:tcPr>
            <w:tcW w:type="dxa" w:w="714"/>
            <w:shd w:val="clear" w:color="auto" w:fill="E7E6E6"/>
          </w:tcPr>
          <w:p>
            <w:pPr>
              <w:pStyle w:val="Compact"/>
              <w:spacing w:line="240" w:lineRule="auto" w:before="20" w:after="20"/>
              <w:ind w:firstLine="0"/>
              <w:jc w:val="right"/>
            </w:pPr>
            <w:r>
              <w:rPr>
                <w:rFonts w:ascii="Times New Roman" w:hAnsi="Times New Roman"/>
                <w:b/>
                <w:bCs/>
                <w:sz w:val="14"/>
              </w:rPr>
              <w:t>+0,77</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SE</w:t>
            </w:r>
          </w:p>
        </w:tc>
        <w:tc>
          <w:tcPr>
            <w:tcW w:type="dxa" w:w="1484"/>
          </w:tcPr>
          <w:p>
            <w:pPr>
              <w:pStyle w:val="Compact"/>
              <w:spacing w:line="240" w:lineRule="auto" w:before="20" w:after="20"/>
              <w:ind w:firstLine="0"/>
              <w:jc w:val="right"/>
            </w:pPr>
            <w:r>
              <w:rPr>
                <w:rFonts w:ascii="Times New Roman" w:hAnsi="Times New Roman"/>
                <w:sz w:val="14"/>
              </w:rPr>
              <w:t xml:space="preserve">4,6</w:t>
            </w:r>
          </w:p>
        </w:tc>
        <w:tc>
          <w:tcPr>
            <w:tcW w:type="dxa" w:w="714"/>
          </w:tcPr>
          <w:p>
            <w:pPr>
              <w:pStyle w:val="Compact"/>
              <w:spacing w:line="240" w:lineRule="auto" w:before="20" w:after="20"/>
              <w:ind w:firstLine="0"/>
              <w:jc w:val="right"/>
            </w:pPr>
            <w:r>
              <w:rPr>
                <w:rFonts w:ascii="Times New Roman" w:hAnsi="Times New Roman"/>
                <w:sz w:val="14"/>
              </w:rPr>
              <w:t xml:space="preserve">5,0</w:t>
            </w:r>
          </w:p>
        </w:tc>
        <w:tc>
          <w:tcPr>
            <w:tcW w:type="dxa" w:w="714"/>
          </w:tcPr>
          <w:p>
            <w:pPr>
              <w:pStyle w:val="Compact"/>
              <w:spacing w:line="240" w:lineRule="auto" w:before="20" w:after="20"/>
              <w:ind w:firstLine="0"/>
              <w:jc w:val="right"/>
            </w:pPr>
            <w:r>
              <w:rPr>
                <w:rFonts w:ascii="Times New Roman" w:hAnsi="Times New Roman"/>
                <w:sz w:val="14"/>
              </w:rPr>
              <w:t xml:space="preserve">5,1</w:t>
            </w:r>
          </w:p>
        </w:tc>
        <w:tc>
          <w:tcPr>
            <w:tcW w:type="dxa" w:w="714"/>
          </w:tcPr>
          <w:p>
            <w:pPr>
              <w:pStyle w:val="Compact"/>
              <w:spacing w:line="240" w:lineRule="auto" w:before="20" w:after="20"/>
              <w:ind w:firstLine="0"/>
              <w:jc w:val="right"/>
            </w:pPr>
            <w:r>
              <w:rPr>
                <w:rFonts w:ascii="Times New Roman" w:hAnsi="Times New Roman"/>
                <w:sz w:val="14"/>
              </w:rPr>
              <w:t xml:space="preserve">5,3</w:t>
            </w:r>
          </w:p>
        </w:tc>
        <w:tc>
          <w:tcPr>
            <w:tcW w:type="dxa" w:w="714"/>
          </w:tcPr>
          <w:p>
            <w:pPr>
              <w:pStyle w:val="Compact"/>
              <w:spacing w:line="240" w:lineRule="auto" w:before="20" w:after="20"/>
              <w:ind w:firstLine="0"/>
              <w:jc w:val="right"/>
            </w:pPr>
            <w:r>
              <w:rPr>
                <w:rFonts w:ascii="Times New Roman" w:hAnsi="Times New Roman"/>
                <w:sz w:val="14"/>
              </w:rPr>
              <w:t xml:space="preserve">5,4</w:t>
            </w:r>
          </w:p>
        </w:tc>
        <w:tc>
          <w:tcPr>
            <w:tcW w:type="dxa" w:w="714"/>
          </w:tcPr>
          <w:p>
            <w:pPr>
              <w:pStyle w:val="Compact"/>
              <w:spacing w:line="240" w:lineRule="auto" w:before="20" w:after="20"/>
              <w:ind w:firstLine="0"/>
              <w:jc w:val="right"/>
            </w:pPr>
            <w:r>
              <w:rPr>
                <w:rFonts w:ascii="Times New Roman" w:hAnsi="Times New Roman"/>
                <w:sz w:val="14"/>
              </w:rPr>
              <w:t xml:space="preserve">5,5</w:t>
            </w:r>
          </w:p>
        </w:tc>
        <w:tc>
          <w:tcPr>
            <w:tcW w:type="dxa" w:w="714"/>
          </w:tcPr>
          <w:p>
            <w:pPr>
              <w:pStyle w:val="Compact"/>
              <w:spacing w:line="240" w:lineRule="auto" w:before="20" w:after="20"/>
              <w:ind w:firstLine="0"/>
              <w:jc w:val="right"/>
            </w:pPr>
            <w:r>
              <w:rPr>
                <w:rFonts w:ascii="Times New Roman" w:hAnsi="Times New Roman"/>
                <w:sz w:val="14"/>
              </w:rPr>
              <w:t>+0,21</w:t>
            </w:r>
          </w:p>
        </w:tc>
        <w:tc>
          <w:tcPr>
            <w:tcW w:type="dxa" w:w="714"/>
          </w:tcPr>
          <w:p>
            <w:pPr>
              <w:pStyle w:val="Compact"/>
              <w:spacing w:line="240" w:lineRule="auto" w:before="20" w:after="20"/>
              <w:ind w:firstLine="0"/>
              <w:jc w:val="right"/>
            </w:pPr>
            <w:r>
              <w:rPr>
                <w:rFonts w:ascii="Times New Roman" w:hAnsi="Times New Roman"/>
                <w:sz w:val="14"/>
              </w:rPr>
              <w:t>+0,63</w:t>
            </w:r>
          </w:p>
        </w:tc>
        <w:tc>
          <w:tcPr>
            <w:tcW w:type="dxa" w:w="714"/>
          </w:tcPr>
          <w:p>
            <w:pPr>
              <w:pStyle w:val="Compact"/>
              <w:spacing w:line="240" w:lineRule="auto" w:before="20" w:after="20"/>
              <w:ind w:firstLine="0"/>
              <w:jc w:val="right"/>
            </w:pPr>
            <w:r>
              <w:rPr>
                <w:rFonts w:ascii="Times New Roman" w:hAnsi="Times New Roman"/>
                <w:sz w:val="14"/>
              </w:rPr>
              <w:t>+1,05</w:t>
            </w:r>
          </w:p>
        </w:tc>
        <w:tc>
          <w:tcPr>
            <w:tcW w:type="dxa" w:w="714"/>
          </w:tcPr>
          <w:p>
            <w:pPr>
              <w:pStyle w:val="Compact"/>
              <w:spacing w:line="240" w:lineRule="auto" w:before="20" w:after="20"/>
              <w:ind w:firstLine="0"/>
              <w:jc w:val="right"/>
            </w:pPr>
            <w:r>
              <w:rPr>
                <w:rFonts w:ascii="Times New Roman" w:hAnsi="Times New Roman"/>
                <w:sz w:val="14"/>
              </w:rPr>
              <w:t>+1,47</w:t>
            </w:r>
          </w:p>
        </w:tc>
        <w:tc>
          <w:tcPr>
            <w:tcW w:type="dxa" w:w="714"/>
          </w:tcPr>
          <w:p>
            <w:pPr>
              <w:pStyle w:val="Compact"/>
              <w:spacing w:line="240" w:lineRule="auto" w:before="20" w:after="20"/>
              <w:ind w:firstLine="0"/>
              <w:jc w:val="right"/>
            </w:pPr>
            <w:r>
              <w:rPr>
                <w:rFonts w:ascii="Times New Roman" w:hAnsi="Times New Roman"/>
                <w:sz w:val="14"/>
              </w:rPr>
              <w:t>+0,90</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MG</w:t>
            </w:r>
          </w:p>
        </w:tc>
        <w:tc>
          <w:tcPr>
            <w:tcW w:type="dxa" w:w="1484"/>
          </w:tcPr>
          <w:p>
            <w:pPr>
              <w:pStyle w:val="Compact"/>
              <w:spacing w:line="240" w:lineRule="auto" w:before="20" w:after="20"/>
              <w:ind w:firstLine="0"/>
              <w:jc w:val="right"/>
            </w:pPr>
            <w:r>
              <w:rPr>
                <w:rFonts w:ascii="Times New Roman" w:hAnsi="Times New Roman"/>
                <w:sz w:val="14"/>
              </w:rPr>
              <w:t xml:space="preserve">66,1</w:t>
            </w:r>
          </w:p>
        </w:tc>
        <w:tc>
          <w:tcPr>
            <w:tcW w:type="dxa" w:w="714"/>
          </w:tcPr>
          <w:p>
            <w:pPr>
              <w:pStyle w:val="Compact"/>
              <w:spacing w:line="240" w:lineRule="auto" w:before="20" w:after="20"/>
              <w:ind w:firstLine="0"/>
              <w:jc w:val="right"/>
            </w:pPr>
            <w:r>
              <w:rPr>
                <w:rFonts w:ascii="Times New Roman" w:hAnsi="Times New Roman"/>
                <w:sz w:val="14"/>
              </w:rPr>
              <w:t xml:space="preserve">71,1</w:t>
            </w:r>
          </w:p>
        </w:tc>
        <w:tc>
          <w:tcPr>
            <w:tcW w:type="dxa" w:w="714"/>
          </w:tcPr>
          <w:p>
            <w:pPr>
              <w:pStyle w:val="Compact"/>
              <w:spacing w:line="240" w:lineRule="auto" w:before="20" w:after="20"/>
              <w:ind w:firstLine="0"/>
              <w:jc w:val="right"/>
            </w:pPr>
            <w:r>
              <w:rPr>
                <w:rFonts w:ascii="Times New Roman" w:hAnsi="Times New Roman"/>
                <w:sz w:val="14"/>
              </w:rPr>
              <w:t>72,5</w:t>
            </w:r>
          </w:p>
        </w:tc>
        <w:tc>
          <w:tcPr>
            <w:tcW w:type="dxa" w:w="714"/>
          </w:tcPr>
          <w:p>
            <w:pPr>
              <w:pStyle w:val="Compact"/>
              <w:spacing w:line="240" w:lineRule="auto" w:before="20" w:after="20"/>
              <w:ind w:firstLine="0"/>
              <w:jc w:val="right"/>
            </w:pPr>
            <w:r>
              <w:rPr>
                <w:rFonts w:ascii="Times New Roman" w:hAnsi="Times New Roman"/>
                <w:sz w:val="14"/>
              </w:rPr>
              <w:t>74,1</w:t>
            </w:r>
          </w:p>
        </w:tc>
        <w:tc>
          <w:tcPr>
            <w:tcW w:type="dxa" w:w="714"/>
          </w:tcPr>
          <w:p>
            <w:pPr>
              <w:pStyle w:val="Compact"/>
              <w:spacing w:line="240" w:lineRule="auto" w:before="20" w:after="20"/>
              <w:ind w:firstLine="0"/>
              <w:jc w:val="right"/>
            </w:pPr>
            <w:r>
              <w:rPr>
                <w:rFonts w:ascii="Times New Roman" w:hAnsi="Times New Roman"/>
                <w:sz w:val="14"/>
              </w:rPr>
              <w:t>75,7</w:t>
            </w:r>
          </w:p>
        </w:tc>
        <w:tc>
          <w:tcPr>
            <w:tcW w:type="dxa" w:w="714"/>
          </w:tcPr>
          <w:p>
            <w:pPr>
              <w:pStyle w:val="Compact"/>
              <w:spacing w:line="240" w:lineRule="auto" w:before="20" w:after="20"/>
              <w:ind w:firstLine="0"/>
              <w:jc w:val="right"/>
            </w:pPr>
            <w:r>
              <w:rPr>
                <w:rFonts w:ascii="Times New Roman" w:hAnsi="Times New Roman"/>
                <w:sz w:val="14"/>
              </w:rPr>
              <w:t>77,8</w:t>
            </w:r>
          </w:p>
        </w:tc>
        <w:tc>
          <w:tcPr>
            <w:tcW w:type="dxa" w:w="714"/>
          </w:tcPr>
          <w:p>
            <w:pPr>
              <w:pStyle w:val="Compact"/>
              <w:spacing w:line="240" w:lineRule="auto" w:before="20" w:after="20"/>
              <w:ind w:firstLine="0"/>
              <w:jc w:val="right"/>
            </w:pPr>
            <w:r>
              <w:rPr>
                <w:rFonts w:ascii="Times New Roman" w:hAnsi="Times New Roman"/>
                <w:sz w:val="14"/>
              </w:rPr>
              <w:t>−0,24</w:t>
            </w:r>
          </w:p>
        </w:tc>
        <w:tc>
          <w:tcPr>
            <w:tcW w:type="dxa" w:w="714"/>
          </w:tcPr>
          <w:p>
            <w:pPr>
              <w:pStyle w:val="Compact"/>
              <w:spacing w:line="240" w:lineRule="auto" w:before="20" w:after="20"/>
              <w:ind w:firstLine="0"/>
              <w:jc w:val="right"/>
            </w:pPr>
            <w:r>
              <w:rPr>
                <w:rFonts w:ascii="Times New Roman" w:hAnsi="Times New Roman"/>
                <w:sz w:val="14"/>
              </w:rPr>
              <w:t>−0,28</w:t>
            </w:r>
          </w:p>
        </w:tc>
        <w:tc>
          <w:tcPr>
            <w:tcW w:type="dxa" w:w="714"/>
          </w:tcPr>
          <w:p>
            <w:pPr>
              <w:pStyle w:val="Compact"/>
              <w:spacing w:line="240" w:lineRule="auto" w:before="20" w:after="20"/>
              <w:ind w:firstLine="0"/>
              <w:jc w:val="right"/>
            </w:pPr>
            <w:r>
              <w:rPr>
                <w:rFonts w:ascii="Times New Roman" w:hAnsi="Times New Roman"/>
                <w:sz w:val="14"/>
              </w:rPr>
              <w:t>−0,32</w:t>
            </w:r>
          </w:p>
        </w:tc>
        <w:tc>
          <w:tcPr>
            <w:tcW w:type="dxa" w:w="714"/>
          </w:tcPr>
          <w:p>
            <w:pPr>
              <w:pStyle w:val="Compact"/>
              <w:spacing w:line="240" w:lineRule="auto" w:before="20" w:after="20"/>
              <w:ind w:firstLine="0"/>
              <w:jc w:val="right"/>
            </w:pPr>
            <w:r>
              <w:rPr>
                <w:rFonts w:ascii="Times New Roman" w:hAnsi="Times New Roman"/>
                <w:sz w:val="14"/>
              </w:rPr>
              <w:t>−0,36</w:t>
            </w:r>
          </w:p>
        </w:tc>
        <w:tc>
          <w:tcPr>
            <w:tcW w:type="dxa" w:w="714"/>
          </w:tcPr>
          <w:p>
            <w:pPr>
              <w:pStyle w:val="Compact"/>
              <w:spacing w:line="240" w:lineRule="auto" w:before="20" w:after="20"/>
              <w:ind w:firstLine="0"/>
              <w:jc w:val="right"/>
            </w:pPr>
            <w:r>
              <w:rPr>
                <w:rFonts w:ascii="Times New Roman" w:hAnsi="Times New Roman"/>
                <w:sz w:val="14"/>
              </w:rPr>
              <w:t>+0,25</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GO</w:t>
            </w:r>
          </w:p>
        </w:tc>
        <w:tc>
          <w:tcPr>
            <w:tcW w:type="dxa" w:w="1484"/>
          </w:tcPr>
          <w:p>
            <w:pPr>
              <w:pStyle w:val="Compact"/>
              <w:spacing w:line="240" w:lineRule="auto" w:before="20" w:after="20"/>
              <w:ind w:firstLine="0"/>
              <w:jc w:val="right"/>
            </w:pPr>
            <w:r>
              <w:rPr>
                <w:rFonts w:ascii="Times New Roman" w:hAnsi="Times New Roman"/>
                <w:sz w:val="14"/>
              </w:rPr>
              <w:t xml:space="preserve">23,0</w:t>
            </w:r>
          </w:p>
        </w:tc>
        <w:tc>
          <w:tcPr>
            <w:tcW w:type="dxa" w:w="714"/>
          </w:tcPr>
          <w:p>
            <w:pPr>
              <w:pStyle w:val="Compact"/>
              <w:spacing w:line="240" w:lineRule="auto" w:before="20" w:after="20"/>
              <w:ind w:firstLine="0"/>
              <w:jc w:val="right"/>
            </w:pPr>
            <w:r>
              <w:rPr>
                <w:rFonts w:ascii="Times New Roman" w:hAnsi="Times New Roman"/>
                <w:sz w:val="14"/>
              </w:rPr>
              <w:t xml:space="preserve">24,8</w:t>
            </w:r>
          </w:p>
        </w:tc>
        <w:tc>
          <w:tcPr>
            <w:tcW w:type="dxa" w:w="714"/>
          </w:tcPr>
          <w:p>
            <w:pPr>
              <w:pStyle w:val="Compact"/>
              <w:spacing w:line="240" w:lineRule="auto" w:before="20" w:after="20"/>
              <w:ind w:firstLine="0"/>
              <w:jc w:val="right"/>
            </w:pPr>
            <w:r>
              <w:rPr>
                <w:rFonts w:ascii="Times New Roman" w:hAnsi="Times New Roman"/>
                <w:sz w:val="14"/>
              </w:rPr>
              <w:t>25,4</w:t>
            </w:r>
          </w:p>
        </w:tc>
        <w:tc>
          <w:tcPr>
            <w:tcW w:type="dxa" w:w="714"/>
          </w:tcPr>
          <w:p>
            <w:pPr>
              <w:pStyle w:val="Compact"/>
              <w:spacing w:line="240" w:lineRule="auto" w:before="20" w:after="20"/>
              <w:ind w:firstLine="0"/>
              <w:jc w:val="right"/>
            </w:pPr>
            <w:r>
              <w:rPr>
                <w:rFonts w:ascii="Times New Roman" w:hAnsi="Times New Roman"/>
                <w:sz w:val="14"/>
              </w:rPr>
              <w:t>26,0</w:t>
            </w:r>
          </w:p>
        </w:tc>
        <w:tc>
          <w:tcPr>
            <w:tcW w:type="dxa" w:w="714"/>
          </w:tcPr>
          <w:p>
            <w:pPr>
              <w:pStyle w:val="Compact"/>
              <w:spacing w:line="240" w:lineRule="auto" w:before="20" w:after="20"/>
              <w:ind w:firstLine="0"/>
              <w:jc w:val="right"/>
            </w:pPr>
            <w:r>
              <w:rPr>
                <w:rFonts w:ascii="Times New Roman" w:hAnsi="Times New Roman"/>
                <w:sz w:val="14"/>
              </w:rPr>
              <w:t>26,6</w:t>
            </w:r>
          </w:p>
        </w:tc>
        <w:tc>
          <w:tcPr>
            <w:tcW w:type="dxa" w:w="714"/>
          </w:tcPr>
          <w:p>
            <w:pPr>
              <w:pStyle w:val="Compact"/>
              <w:spacing w:line="240" w:lineRule="auto" w:before="20" w:after="20"/>
              <w:ind w:firstLine="0"/>
              <w:jc w:val="right"/>
            </w:pPr>
            <w:r>
              <w:rPr>
                <w:rFonts w:ascii="Times New Roman" w:hAnsi="Times New Roman"/>
                <w:sz w:val="14"/>
              </w:rPr>
              <w:t>27,6</w:t>
            </w:r>
          </w:p>
        </w:tc>
        <w:tc>
          <w:tcPr>
            <w:tcW w:type="dxa" w:w="714"/>
          </w:tcPr>
          <w:p>
            <w:pPr>
              <w:pStyle w:val="Compact"/>
              <w:spacing w:line="240" w:lineRule="auto" w:before="20" w:after="20"/>
              <w:ind w:firstLine="0"/>
              <w:jc w:val="right"/>
            </w:pPr>
            <w:r>
              <w:rPr>
                <w:rFonts w:ascii="Times New Roman" w:hAnsi="Times New Roman"/>
                <w:sz w:val="14"/>
              </w:rPr>
              <w:t>+0,01</w:t>
            </w:r>
          </w:p>
        </w:tc>
        <w:tc>
          <w:tcPr>
            <w:tcW w:type="dxa" w:w="714"/>
          </w:tcPr>
          <w:p>
            <w:pPr>
              <w:pStyle w:val="Compact"/>
              <w:spacing w:line="240" w:lineRule="auto" w:before="20" w:after="20"/>
              <w:ind w:firstLine="0"/>
              <w:jc w:val="right"/>
            </w:pPr>
            <w:r>
              <w:rPr>
                <w:rFonts w:ascii="Times New Roman" w:hAnsi="Times New Roman"/>
                <w:sz w:val="14"/>
              </w:rPr>
              <w:t>+0,22</w:t>
            </w:r>
          </w:p>
        </w:tc>
        <w:tc>
          <w:tcPr>
            <w:tcW w:type="dxa" w:w="714"/>
          </w:tcPr>
          <w:p>
            <w:pPr>
              <w:pStyle w:val="Compact"/>
              <w:spacing w:line="240" w:lineRule="auto" w:before="20" w:after="20"/>
              <w:ind w:firstLine="0"/>
              <w:jc w:val="right"/>
            </w:pPr>
            <w:r>
              <w:rPr>
                <w:rFonts w:ascii="Times New Roman" w:hAnsi="Times New Roman"/>
                <w:sz w:val="14"/>
              </w:rPr>
              <w:t>+0,43</w:t>
            </w:r>
          </w:p>
        </w:tc>
        <w:tc>
          <w:tcPr>
            <w:tcW w:type="dxa" w:w="714"/>
          </w:tcPr>
          <w:p>
            <w:pPr>
              <w:pStyle w:val="Compact"/>
              <w:spacing w:line="240" w:lineRule="auto" w:before="20" w:after="20"/>
              <w:ind w:firstLine="0"/>
              <w:jc w:val="right"/>
            </w:pPr>
            <w:r>
              <w:rPr>
                <w:rFonts w:ascii="Times New Roman" w:hAnsi="Times New Roman"/>
                <w:sz w:val="14"/>
              </w:rPr>
              <w:t>+0,64</w:t>
            </w:r>
          </w:p>
        </w:tc>
        <w:tc>
          <w:tcPr>
            <w:tcW w:type="dxa" w:w="714"/>
          </w:tcPr>
          <w:p>
            <w:pPr>
              <w:pStyle w:val="Compact"/>
              <w:spacing w:line="240" w:lineRule="auto" w:before="20" w:after="20"/>
              <w:ind w:firstLine="0"/>
              <w:jc w:val="right"/>
            </w:pPr>
            <w:r>
              <w:rPr>
                <w:rFonts w:ascii="Times New Roman" w:hAnsi="Times New Roman"/>
                <w:sz w:val="14"/>
              </w:rPr>
              <w:t>+2,03</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PE</w:t>
            </w:r>
          </w:p>
        </w:tc>
        <w:tc>
          <w:tcPr>
            <w:tcW w:type="dxa" w:w="1484"/>
          </w:tcPr>
          <w:p>
            <w:pPr>
              <w:pStyle w:val="Compact"/>
              <w:spacing w:line="240" w:lineRule="auto" w:before="20" w:after="20"/>
              <w:ind w:firstLine="0"/>
              <w:jc w:val="right"/>
            </w:pPr>
            <w:r>
              <w:rPr>
                <w:rFonts w:ascii="Times New Roman" w:hAnsi="Times New Roman"/>
                <w:sz w:val="14"/>
              </w:rPr>
              <w:t xml:space="preserve">20,8</w:t>
            </w:r>
          </w:p>
        </w:tc>
        <w:tc>
          <w:tcPr>
            <w:tcW w:type="dxa" w:w="714"/>
          </w:tcPr>
          <w:p>
            <w:pPr>
              <w:pStyle w:val="Compact"/>
              <w:spacing w:line="240" w:lineRule="auto" w:before="20" w:after="20"/>
              <w:ind w:firstLine="0"/>
              <w:jc w:val="right"/>
            </w:pPr>
            <w:r>
              <w:rPr>
                <w:rFonts w:ascii="Times New Roman" w:hAnsi="Times New Roman"/>
                <w:sz w:val="14"/>
              </w:rPr>
              <w:t xml:space="preserve">22,5</w:t>
            </w:r>
          </w:p>
        </w:tc>
        <w:tc>
          <w:tcPr>
            <w:tcW w:type="dxa" w:w="714"/>
          </w:tcPr>
          <w:p>
            <w:pPr>
              <w:pStyle w:val="Compact"/>
              <w:spacing w:line="240" w:lineRule="auto" w:before="20" w:after="20"/>
              <w:ind w:firstLine="0"/>
              <w:jc w:val="right"/>
            </w:pPr>
            <w:r>
              <w:rPr>
                <w:rFonts w:ascii="Times New Roman" w:hAnsi="Times New Roman"/>
                <w:sz w:val="14"/>
              </w:rPr>
              <w:t>22,9</w:t>
            </w:r>
          </w:p>
        </w:tc>
        <w:tc>
          <w:tcPr>
            <w:tcW w:type="dxa" w:w="714"/>
          </w:tcPr>
          <w:p>
            <w:pPr>
              <w:pStyle w:val="Compact"/>
              <w:spacing w:line="240" w:lineRule="auto" w:before="20" w:after="20"/>
              <w:ind w:firstLine="0"/>
              <w:jc w:val="right"/>
            </w:pPr>
            <w:r>
              <w:rPr>
                <w:rFonts w:ascii="Times New Roman" w:hAnsi="Times New Roman"/>
                <w:sz w:val="14"/>
              </w:rPr>
              <w:t xml:space="preserve">23,5</w:t>
            </w:r>
          </w:p>
        </w:tc>
        <w:tc>
          <w:tcPr>
            <w:tcW w:type="dxa" w:w="714"/>
          </w:tcPr>
          <w:p>
            <w:pPr>
              <w:pStyle w:val="Compact"/>
              <w:spacing w:line="240" w:lineRule="auto" w:before="20" w:after="20"/>
              <w:ind w:firstLine="0"/>
              <w:jc w:val="right"/>
            </w:pPr>
            <w:r>
              <w:rPr>
                <w:rFonts w:ascii="Times New Roman" w:hAnsi="Times New Roman"/>
                <w:sz w:val="14"/>
              </w:rPr>
              <w:t>24,0</w:t>
            </w:r>
          </w:p>
        </w:tc>
        <w:tc>
          <w:tcPr>
            <w:tcW w:type="dxa" w:w="714"/>
          </w:tcPr>
          <w:p>
            <w:pPr>
              <w:pStyle w:val="Compact"/>
              <w:spacing w:line="240" w:lineRule="auto" w:before="20" w:after="20"/>
              <w:ind w:firstLine="0"/>
              <w:jc w:val="right"/>
            </w:pPr>
            <w:r>
              <w:rPr>
                <w:rFonts w:ascii="Times New Roman" w:hAnsi="Times New Roman"/>
                <w:sz w:val="14"/>
              </w:rPr>
              <w:t>24,8</w:t>
            </w:r>
          </w:p>
        </w:tc>
        <w:tc>
          <w:tcPr>
            <w:tcW w:type="dxa" w:w="714"/>
          </w:tcPr>
          <w:p>
            <w:pPr>
              <w:pStyle w:val="Compact"/>
              <w:spacing w:line="240" w:lineRule="auto" w:before="20" w:after="20"/>
              <w:ind w:firstLine="0"/>
              <w:jc w:val="right"/>
            </w:pPr>
            <w:r>
              <w:rPr>
                <w:rFonts w:ascii="Times New Roman" w:hAnsi="Times New Roman"/>
                <w:sz w:val="14"/>
              </w:rPr>
              <w:t>−0,09</w:t>
            </w:r>
          </w:p>
        </w:tc>
        <w:tc>
          <w:tcPr>
            <w:tcW w:type="dxa" w:w="714"/>
          </w:tcPr>
          <w:p>
            <w:pPr>
              <w:pStyle w:val="Compact"/>
              <w:spacing w:line="240" w:lineRule="auto" w:before="20" w:after="20"/>
              <w:ind w:firstLine="0"/>
              <w:jc w:val="right"/>
            </w:pPr>
            <w:r>
              <w:rPr>
                <w:rFonts w:ascii="Times New Roman" w:hAnsi="Times New Roman"/>
                <w:sz w:val="14"/>
              </w:rPr>
              <w:t>+0,01</w:t>
            </w:r>
          </w:p>
        </w:tc>
        <w:tc>
          <w:tcPr>
            <w:tcW w:type="dxa" w:w="714"/>
          </w:tcPr>
          <w:p>
            <w:pPr>
              <w:pStyle w:val="Compact"/>
              <w:spacing w:line="240" w:lineRule="auto" w:before="20" w:after="20"/>
              <w:ind w:firstLine="0"/>
              <w:jc w:val="right"/>
            </w:pPr>
            <w:r>
              <w:rPr>
                <w:rFonts w:ascii="Times New Roman" w:hAnsi="Times New Roman"/>
                <w:sz w:val="14"/>
              </w:rPr>
              <w:t>+0,12</w:t>
            </w:r>
          </w:p>
        </w:tc>
        <w:tc>
          <w:tcPr>
            <w:tcW w:type="dxa" w:w="714"/>
          </w:tcPr>
          <w:p>
            <w:pPr>
              <w:pStyle w:val="Compact"/>
              <w:spacing w:line="240" w:lineRule="auto" w:before="20" w:after="20"/>
              <w:ind w:firstLine="0"/>
              <w:jc w:val="right"/>
            </w:pPr>
            <w:r>
              <w:rPr>
                <w:rFonts w:ascii="Times New Roman" w:hAnsi="Times New Roman"/>
                <w:sz w:val="14"/>
              </w:rPr>
              <w:t>+0,23</w:t>
            </w:r>
          </w:p>
        </w:tc>
        <w:tc>
          <w:tcPr>
            <w:tcW w:type="dxa" w:w="714"/>
          </w:tcPr>
          <w:p>
            <w:pPr>
              <w:pStyle w:val="Compact"/>
              <w:spacing w:line="240" w:lineRule="auto" w:before="20" w:after="20"/>
              <w:ind w:firstLine="0"/>
              <w:jc w:val="right"/>
            </w:pPr>
            <w:r>
              <w:rPr>
                <w:rFonts w:ascii="Times New Roman" w:hAnsi="Times New Roman"/>
                <w:sz w:val="14"/>
              </w:rPr>
              <w:t>+1,23</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BA</w:t>
            </w:r>
          </w:p>
        </w:tc>
        <w:tc>
          <w:tcPr>
            <w:tcW w:type="dxa" w:w="1484"/>
          </w:tcPr>
          <w:p>
            <w:pPr>
              <w:pStyle w:val="Compact"/>
              <w:spacing w:line="240" w:lineRule="auto" w:before="20" w:after="20"/>
              <w:ind w:firstLine="0"/>
              <w:jc w:val="right"/>
            </w:pPr>
            <w:r>
              <w:rPr>
                <w:rFonts w:ascii="Times New Roman" w:hAnsi="Times New Roman"/>
                <w:sz w:val="14"/>
              </w:rPr>
              <w:t xml:space="preserve">31,6</w:t>
            </w:r>
          </w:p>
        </w:tc>
        <w:tc>
          <w:tcPr>
            <w:tcW w:type="dxa" w:w="714"/>
          </w:tcPr>
          <w:p>
            <w:pPr>
              <w:pStyle w:val="Compact"/>
              <w:spacing w:line="240" w:lineRule="auto" w:before="20" w:after="20"/>
              <w:ind w:firstLine="0"/>
              <w:jc w:val="right"/>
            </w:pPr>
            <w:r>
              <w:rPr>
                <w:rFonts w:ascii="Times New Roman" w:hAnsi="Times New Roman"/>
                <w:sz w:val="14"/>
              </w:rPr>
              <w:t>34,1</w:t>
            </w:r>
          </w:p>
        </w:tc>
        <w:tc>
          <w:tcPr>
            <w:tcW w:type="dxa" w:w="714"/>
          </w:tcPr>
          <w:p>
            <w:pPr>
              <w:pStyle w:val="Compact"/>
              <w:spacing w:line="240" w:lineRule="auto" w:before="20" w:after="20"/>
              <w:ind w:firstLine="0"/>
              <w:jc w:val="right"/>
            </w:pPr>
            <w:r>
              <w:rPr>
                <w:rFonts w:ascii="Times New Roman" w:hAnsi="Times New Roman"/>
                <w:sz w:val="14"/>
              </w:rPr>
              <w:t>34,8</w:t>
            </w:r>
          </w:p>
        </w:tc>
        <w:tc>
          <w:tcPr>
            <w:tcW w:type="dxa" w:w="714"/>
          </w:tcPr>
          <w:p>
            <w:pPr>
              <w:pStyle w:val="Compact"/>
              <w:spacing w:line="240" w:lineRule="auto" w:before="20" w:after="20"/>
              <w:ind w:firstLine="0"/>
              <w:jc w:val="right"/>
            </w:pPr>
            <w:r>
              <w:rPr>
                <w:rFonts w:ascii="Times New Roman" w:hAnsi="Times New Roman"/>
                <w:sz w:val="14"/>
              </w:rPr>
              <w:t>35,7</w:t>
            </w:r>
          </w:p>
        </w:tc>
        <w:tc>
          <w:tcPr>
            <w:tcW w:type="dxa" w:w="714"/>
          </w:tcPr>
          <w:p>
            <w:pPr>
              <w:pStyle w:val="Compact"/>
              <w:spacing w:line="240" w:lineRule="auto" w:before="20" w:after="20"/>
              <w:ind w:firstLine="0"/>
              <w:jc w:val="right"/>
            </w:pPr>
            <w:r>
              <w:rPr>
                <w:rFonts w:ascii="Times New Roman" w:hAnsi="Times New Roman"/>
                <w:sz w:val="14"/>
              </w:rPr>
              <w:t>36,5</w:t>
            </w:r>
          </w:p>
        </w:tc>
        <w:tc>
          <w:tcPr>
            <w:tcW w:type="dxa" w:w="714"/>
          </w:tcPr>
          <w:p>
            <w:pPr>
              <w:pStyle w:val="Compact"/>
              <w:spacing w:line="240" w:lineRule="auto" w:before="20" w:after="20"/>
              <w:ind w:firstLine="0"/>
              <w:jc w:val="right"/>
            </w:pPr>
            <w:r>
              <w:rPr>
                <w:rFonts w:ascii="Times New Roman" w:hAnsi="Times New Roman"/>
                <w:sz w:val="14"/>
              </w:rPr>
              <w:t>37,5</w:t>
            </w:r>
          </w:p>
        </w:tc>
        <w:tc>
          <w:tcPr>
            <w:tcW w:type="dxa" w:w="714"/>
          </w:tcPr>
          <w:p>
            <w:pPr>
              <w:pStyle w:val="Compact"/>
              <w:spacing w:line="240" w:lineRule="auto" w:before="20" w:after="20"/>
              <w:ind w:firstLine="0"/>
              <w:jc w:val="right"/>
            </w:pPr>
            <w:r>
              <w:rPr>
                <w:rFonts w:ascii="Times New Roman" w:hAnsi="Times New Roman"/>
                <w:sz w:val="14"/>
              </w:rPr>
              <w:t>−0,06</w:t>
            </w:r>
          </w:p>
        </w:tc>
        <w:tc>
          <w:tcPr>
            <w:tcW w:type="dxa" w:w="714"/>
          </w:tcPr>
          <w:p>
            <w:pPr>
              <w:pStyle w:val="Compact"/>
              <w:spacing w:line="240" w:lineRule="auto" w:before="20" w:after="20"/>
              <w:ind w:firstLine="0"/>
              <w:jc w:val="right"/>
            </w:pPr>
            <w:r>
              <w:rPr>
                <w:rFonts w:ascii="Times New Roman" w:hAnsi="Times New Roman"/>
                <w:sz w:val="14"/>
              </w:rPr>
              <w:t>+0,08</w:t>
            </w:r>
          </w:p>
        </w:tc>
        <w:tc>
          <w:tcPr>
            <w:tcW w:type="dxa" w:w="714"/>
          </w:tcPr>
          <w:p>
            <w:pPr>
              <w:pStyle w:val="Compact"/>
              <w:spacing w:line="240" w:lineRule="auto" w:before="20" w:after="20"/>
              <w:ind w:firstLine="0"/>
              <w:jc w:val="right"/>
            </w:pPr>
            <w:r>
              <w:rPr>
                <w:rFonts w:ascii="Times New Roman" w:hAnsi="Times New Roman"/>
                <w:sz w:val="14"/>
              </w:rPr>
              <w:t>+0,22</w:t>
            </w:r>
          </w:p>
        </w:tc>
        <w:tc>
          <w:tcPr>
            <w:tcW w:type="dxa" w:w="714"/>
          </w:tcPr>
          <w:p>
            <w:pPr>
              <w:pStyle w:val="Compact"/>
              <w:spacing w:line="240" w:lineRule="auto" w:before="20" w:after="20"/>
              <w:ind w:firstLine="0"/>
              <w:jc w:val="right"/>
            </w:pPr>
            <w:r>
              <w:rPr>
                <w:rFonts w:ascii="Times New Roman" w:hAnsi="Times New Roman"/>
                <w:sz w:val="14"/>
              </w:rPr>
              <w:t>+0,36</w:t>
            </w:r>
          </w:p>
        </w:tc>
        <w:tc>
          <w:tcPr>
            <w:tcW w:type="dxa" w:w="714"/>
          </w:tcPr>
          <w:p>
            <w:pPr>
              <w:pStyle w:val="Compact"/>
              <w:spacing w:line="240" w:lineRule="auto" w:before="20" w:after="20"/>
              <w:ind w:firstLine="0"/>
              <w:jc w:val="right"/>
            </w:pPr>
            <w:r>
              <w:rPr>
                <w:rFonts w:ascii="Times New Roman" w:hAnsi="Times New Roman"/>
                <w:sz w:val="14"/>
              </w:rPr>
              <w:t>+0,94</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AP</w:t>
            </w:r>
          </w:p>
        </w:tc>
        <w:tc>
          <w:tcPr>
            <w:tcW w:type="dxa" w:w="1484"/>
          </w:tcPr>
          <w:p>
            <w:pPr>
              <w:pStyle w:val="Compact"/>
              <w:spacing w:line="240" w:lineRule="auto" w:before="20" w:after="20"/>
              <w:ind w:firstLine="0"/>
              <w:jc w:val="right"/>
            </w:pPr>
            <w:r>
              <w:rPr>
                <w:rFonts w:ascii="Times New Roman" w:hAnsi="Times New Roman"/>
                <w:sz w:val="14"/>
              </w:rPr>
              <w:t xml:space="preserve">1,3</w:t>
            </w:r>
          </w:p>
        </w:tc>
        <w:tc>
          <w:tcPr>
            <w:tcW w:type="dxa" w:w="714"/>
          </w:tcPr>
          <w:p>
            <w:pPr>
              <w:pStyle w:val="Compact"/>
              <w:spacing w:line="240" w:lineRule="auto" w:before="20" w:after="20"/>
              <w:ind w:firstLine="0"/>
              <w:jc w:val="right"/>
            </w:pPr>
            <w:r>
              <w:rPr>
                <w:rFonts w:ascii="Times New Roman" w:hAnsi="Times New Roman"/>
                <w:sz w:val="14"/>
              </w:rPr>
              <w:t xml:space="preserve">1,4</w:t>
            </w:r>
          </w:p>
        </w:tc>
        <w:tc>
          <w:tcPr>
            <w:tcW w:type="dxa" w:w="714"/>
          </w:tcPr>
          <w:p>
            <w:pPr>
              <w:pStyle w:val="Compact"/>
              <w:spacing w:line="240" w:lineRule="auto" w:before="20" w:after="20"/>
              <w:ind w:firstLine="0"/>
              <w:jc w:val="right"/>
            </w:pPr>
            <w:r>
              <w:rPr>
                <w:rFonts w:ascii="Times New Roman" w:hAnsi="Times New Roman"/>
                <w:sz w:val="14"/>
              </w:rPr>
              <w:t xml:space="preserve">1,4</w:t>
            </w:r>
          </w:p>
        </w:tc>
        <w:tc>
          <w:tcPr>
            <w:tcW w:type="dxa" w:w="714"/>
          </w:tcPr>
          <w:p>
            <w:pPr>
              <w:pStyle w:val="Compact"/>
              <w:spacing w:line="240" w:lineRule="auto" w:before="20" w:after="20"/>
              <w:ind w:firstLine="0"/>
              <w:jc w:val="right"/>
            </w:pPr>
            <w:r>
              <w:rPr>
                <w:rFonts w:ascii="Times New Roman" w:hAnsi="Times New Roman"/>
                <w:sz w:val="14"/>
              </w:rPr>
              <w:t xml:space="preserve">1,5</w:t>
            </w:r>
          </w:p>
        </w:tc>
        <w:tc>
          <w:tcPr>
            <w:tcW w:type="dxa" w:w="714"/>
          </w:tcPr>
          <w:p>
            <w:pPr>
              <w:pStyle w:val="Compact"/>
              <w:spacing w:line="240" w:lineRule="auto" w:before="20" w:after="20"/>
              <w:ind w:firstLine="0"/>
              <w:jc w:val="right"/>
            </w:pPr>
            <w:r>
              <w:rPr>
                <w:rFonts w:ascii="Times New Roman" w:hAnsi="Times New Roman"/>
                <w:sz w:val="14"/>
              </w:rPr>
              <w:t xml:space="preserve">1,5</w:t>
            </w:r>
          </w:p>
        </w:tc>
        <w:tc>
          <w:tcPr>
            <w:tcW w:type="dxa" w:w="714"/>
          </w:tcPr>
          <w:p>
            <w:pPr>
              <w:pStyle w:val="Compact"/>
              <w:spacing w:line="240" w:lineRule="auto" w:before="20" w:after="20"/>
              <w:ind w:firstLine="0"/>
              <w:jc w:val="right"/>
            </w:pPr>
            <w:r>
              <w:rPr>
                <w:rFonts w:ascii="Times New Roman" w:hAnsi="Times New Roman"/>
                <w:sz w:val="14"/>
              </w:rPr>
              <w:t>1,6</w:t>
            </w:r>
          </w:p>
        </w:tc>
        <w:tc>
          <w:tcPr>
            <w:tcW w:type="dxa" w:w="714"/>
          </w:tcPr>
          <w:p>
            <w:pPr>
              <w:pStyle w:val="Compact"/>
              <w:spacing w:line="240" w:lineRule="auto" w:before="20" w:after="20"/>
              <w:ind w:firstLine="0"/>
              <w:jc w:val="right"/>
            </w:pPr>
            <w:r>
              <w:rPr>
                <w:rFonts w:ascii="Times New Roman" w:hAnsi="Times New Roman"/>
                <w:sz w:val="14"/>
              </w:rPr>
              <w:t>+0,67</w:t>
            </w:r>
          </w:p>
        </w:tc>
        <w:tc>
          <w:tcPr>
            <w:tcW w:type="dxa" w:w="714"/>
          </w:tcPr>
          <w:p>
            <w:pPr>
              <w:pStyle w:val="Compact"/>
              <w:spacing w:line="240" w:lineRule="auto" w:before="20" w:after="20"/>
              <w:ind w:firstLine="0"/>
              <w:jc w:val="right"/>
            </w:pPr>
            <w:r>
              <w:rPr>
                <w:rFonts w:ascii="Times New Roman" w:hAnsi="Times New Roman"/>
                <w:sz w:val="14"/>
              </w:rPr>
              <w:t>+1,56</w:t>
            </w:r>
          </w:p>
        </w:tc>
        <w:tc>
          <w:tcPr>
            <w:tcW w:type="dxa" w:w="714"/>
          </w:tcPr>
          <w:p>
            <w:pPr>
              <w:pStyle w:val="Compact"/>
              <w:spacing w:line="240" w:lineRule="auto" w:before="20" w:after="20"/>
              <w:ind w:firstLine="0"/>
              <w:jc w:val="right"/>
            </w:pPr>
            <w:r>
              <w:rPr>
                <w:rFonts w:ascii="Times New Roman" w:hAnsi="Times New Roman"/>
                <w:sz w:val="14"/>
              </w:rPr>
              <w:t>+2,45</w:t>
            </w:r>
          </w:p>
        </w:tc>
        <w:tc>
          <w:tcPr>
            <w:tcW w:type="dxa" w:w="714"/>
          </w:tcPr>
          <w:p>
            <w:pPr>
              <w:pStyle w:val="Compact"/>
              <w:spacing w:line="240" w:lineRule="auto" w:before="20" w:after="20"/>
              <w:ind w:firstLine="0"/>
              <w:jc w:val="right"/>
            </w:pPr>
            <w:r>
              <w:rPr>
                <w:rFonts w:ascii="Times New Roman" w:hAnsi="Times New Roman"/>
                <w:sz w:val="14"/>
              </w:rPr>
              <w:t>+3,35</w:t>
            </w:r>
          </w:p>
        </w:tc>
        <w:tc>
          <w:tcPr>
            <w:tcW w:type="dxa" w:w="714"/>
          </w:tcPr>
          <w:p>
            <w:pPr>
              <w:pStyle w:val="Compact"/>
              <w:spacing w:line="240" w:lineRule="auto" w:before="20" w:after="20"/>
              <w:ind w:firstLine="0"/>
              <w:jc w:val="right"/>
            </w:pPr>
            <w:r>
              <w:rPr>
                <w:rFonts w:ascii="Times New Roman" w:hAnsi="Times New Roman"/>
                <w:sz w:val="14"/>
              </w:rPr>
              <w:t>+4,01</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CE</w:t>
            </w:r>
          </w:p>
        </w:tc>
        <w:tc>
          <w:tcPr>
            <w:tcW w:type="dxa" w:w="1484"/>
          </w:tcPr>
          <w:p>
            <w:pPr>
              <w:pStyle w:val="Compact"/>
              <w:spacing w:line="240" w:lineRule="auto" w:before="20" w:after="20"/>
              <w:ind w:firstLine="0"/>
              <w:jc w:val="right"/>
            </w:pPr>
            <w:r>
              <w:rPr>
                <w:rFonts w:ascii="Times New Roman" w:hAnsi="Times New Roman"/>
                <w:sz w:val="14"/>
              </w:rPr>
              <w:t xml:space="preserve">16,2</w:t>
            </w:r>
          </w:p>
        </w:tc>
        <w:tc>
          <w:tcPr>
            <w:tcW w:type="dxa" w:w="714"/>
          </w:tcPr>
          <w:p>
            <w:pPr>
              <w:pStyle w:val="Compact"/>
              <w:spacing w:line="240" w:lineRule="auto" w:before="20" w:after="20"/>
              <w:ind w:firstLine="0"/>
              <w:jc w:val="right"/>
            </w:pPr>
            <w:r>
              <w:rPr>
                <w:rFonts w:ascii="Times New Roman" w:hAnsi="Times New Roman"/>
                <w:sz w:val="14"/>
              </w:rPr>
              <w:t>17,4</w:t>
            </w:r>
          </w:p>
        </w:tc>
        <w:tc>
          <w:tcPr>
            <w:tcW w:type="dxa" w:w="714"/>
          </w:tcPr>
          <w:p>
            <w:pPr>
              <w:pStyle w:val="Compact"/>
              <w:spacing w:line="240" w:lineRule="auto" w:before="20" w:after="20"/>
              <w:ind w:firstLine="0"/>
              <w:jc w:val="right"/>
            </w:pPr>
            <w:r>
              <w:rPr>
                <w:rFonts w:ascii="Times New Roman" w:hAnsi="Times New Roman"/>
                <w:sz w:val="14"/>
              </w:rPr>
              <w:t>17,8</w:t>
            </w:r>
          </w:p>
        </w:tc>
        <w:tc>
          <w:tcPr>
            <w:tcW w:type="dxa" w:w="714"/>
          </w:tcPr>
          <w:p>
            <w:pPr>
              <w:pStyle w:val="Compact"/>
              <w:spacing w:line="240" w:lineRule="auto" w:before="20" w:after="20"/>
              <w:ind w:firstLine="0"/>
              <w:jc w:val="right"/>
            </w:pPr>
            <w:r>
              <w:rPr>
                <w:rFonts w:ascii="Times New Roman" w:hAnsi="Times New Roman"/>
                <w:sz w:val="14"/>
              </w:rPr>
              <w:t xml:space="preserve">18,3</w:t>
            </w:r>
          </w:p>
        </w:tc>
        <w:tc>
          <w:tcPr>
            <w:tcW w:type="dxa" w:w="714"/>
          </w:tcPr>
          <w:p>
            <w:pPr>
              <w:pStyle w:val="Compact"/>
              <w:spacing w:line="240" w:lineRule="auto" w:before="20" w:after="20"/>
              <w:ind w:firstLine="0"/>
              <w:jc w:val="right"/>
            </w:pPr>
            <w:r>
              <w:rPr>
                <w:rFonts w:ascii="Times New Roman" w:hAnsi="Times New Roman"/>
                <w:sz w:val="14"/>
              </w:rPr>
              <w:t>18,7</w:t>
            </w:r>
          </w:p>
        </w:tc>
        <w:tc>
          <w:tcPr>
            <w:tcW w:type="dxa" w:w="714"/>
          </w:tcPr>
          <w:p>
            <w:pPr>
              <w:pStyle w:val="Compact"/>
              <w:spacing w:line="240" w:lineRule="auto" w:before="20" w:after="20"/>
              <w:ind w:firstLine="0"/>
              <w:jc w:val="right"/>
            </w:pPr>
            <w:r>
              <w:rPr>
                <w:rFonts w:ascii="Times New Roman" w:hAnsi="Times New Roman"/>
                <w:sz w:val="14"/>
              </w:rPr>
              <w:t xml:space="preserve">19,5</w:t>
            </w:r>
          </w:p>
        </w:tc>
        <w:tc>
          <w:tcPr>
            <w:tcW w:type="dxa" w:w="714"/>
          </w:tcPr>
          <w:p>
            <w:pPr>
              <w:pStyle w:val="Compact"/>
              <w:spacing w:line="240" w:lineRule="auto" w:before="20" w:after="20"/>
              <w:ind w:firstLine="0"/>
              <w:jc w:val="right"/>
            </w:pPr>
            <w:r>
              <w:rPr>
                <w:rFonts w:ascii="Times New Roman" w:hAnsi="Times New Roman"/>
                <w:sz w:val="14"/>
              </w:rPr>
              <w:t>+0,07</w:t>
            </w:r>
          </w:p>
        </w:tc>
        <w:tc>
          <w:tcPr>
            <w:tcW w:type="dxa" w:w="714"/>
          </w:tcPr>
          <w:p>
            <w:pPr>
              <w:pStyle w:val="Compact"/>
              <w:spacing w:line="240" w:lineRule="auto" w:before="20" w:after="20"/>
              <w:ind w:firstLine="0"/>
              <w:jc w:val="right"/>
            </w:pPr>
            <w:r>
              <w:rPr>
                <w:rFonts w:ascii="Times New Roman" w:hAnsi="Times New Roman"/>
                <w:sz w:val="14"/>
              </w:rPr>
              <w:t>+0,34</w:t>
            </w:r>
          </w:p>
        </w:tc>
        <w:tc>
          <w:tcPr>
            <w:tcW w:type="dxa" w:w="714"/>
          </w:tcPr>
          <w:p>
            <w:pPr>
              <w:pStyle w:val="Compact"/>
              <w:spacing w:line="240" w:lineRule="auto" w:before="20" w:after="20"/>
              <w:ind w:firstLine="0"/>
              <w:jc w:val="right"/>
            </w:pPr>
            <w:r>
              <w:rPr>
                <w:rFonts w:ascii="Times New Roman" w:hAnsi="Times New Roman"/>
                <w:sz w:val="14"/>
              </w:rPr>
              <w:t>+0,62</w:t>
            </w:r>
          </w:p>
        </w:tc>
        <w:tc>
          <w:tcPr>
            <w:tcW w:type="dxa" w:w="714"/>
          </w:tcPr>
          <w:p>
            <w:pPr>
              <w:pStyle w:val="Compact"/>
              <w:spacing w:line="240" w:lineRule="auto" w:before="20" w:after="20"/>
              <w:ind w:firstLine="0"/>
              <w:jc w:val="right"/>
            </w:pPr>
            <w:r>
              <w:rPr>
                <w:rFonts w:ascii="Times New Roman" w:hAnsi="Times New Roman"/>
                <w:sz w:val="14"/>
              </w:rPr>
              <w:t>+0,89</w:t>
            </w:r>
          </w:p>
        </w:tc>
        <w:tc>
          <w:tcPr>
            <w:tcW w:type="dxa" w:w="714"/>
          </w:tcPr>
          <w:p>
            <w:pPr>
              <w:pStyle w:val="Compact"/>
              <w:spacing w:line="240" w:lineRule="auto" w:before="20" w:after="20"/>
              <w:ind w:firstLine="0"/>
              <w:jc w:val="right"/>
            </w:pPr>
            <w:r>
              <w:rPr>
                <w:rFonts w:ascii="Times New Roman" w:hAnsi="Times New Roman"/>
                <w:sz w:val="14"/>
              </w:rPr>
              <w:t>+2,54</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RN</w:t>
            </w:r>
          </w:p>
        </w:tc>
        <w:tc>
          <w:tcPr>
            <w:tcW w:type="dxa" w:w="1484"/>
          </w:tcPr>
          <w:p>
            <w:pPr>
              <w:pStyle w:val="Compact"/>
              <w:spacing w:line="240" w:lineRule="auto" w:before="20" w:after="20"/>
              <w:ind w:firstLine="0"/>
              <w:jc w:val="right"/>
            </w:pPr>
            <w:r>
              <w:rPr>
                <w:rFonts w:ascii="Times New Roman" w:hAnsi="Times New Roman"/>
                <w:sz w:val="14"/>
              </w:rPr>
              <w:t xml:space="preserve">7,1</w:t>
            </w:r>
          </w:p>
        </w:tc>
        <w:tc>
          <w:tcPr>
            <w:tcW w:type="dxa" w:w="714"/>
          </w:tcPr>
          <w:p>
            <w:pPr>
              <w:pStyle w:val="Compact"/>
              <w:spacing w:line="240" w:lineRule="auto" w:before="20" w:after="20"/>
              <w:ind w:firstLine="0"/>
              <w:jc w:val="right"/>
            </w:pPr>
            <w:r>
              <w:rPr>
                <w:rFonts w:ascii="Times New Roman" w:hAnsi="Times New Roman"/>
                <w:sz w:val="14"/>
              </w:rPr>
              <w:t xml:space="preserve">7,7</w:t>
            </w:r>
          </w:p>
        </w:tc>
        <w:tc>
          <w:tcPr>
            <w:tcW w:type="dxa" w:w="714"/>
          </w:tcPr>
          <w:p>
            <w:pPr>
              <w:pStyle w:val="Compact"/>
              <w:spacing w:line="240" w:lineRule="auto" w:before="20" w:after="20"/>
              <w:ind w:firstLine="0"/>
              <w:jc w:val="right"/>
            </w:pPr>
            <w:r>
              <w:rPr>
                <w:rFonts w:ascii="Times New Roman" w:hAnsi="Times New Roman"/>
                <w:sz w:val="14"/>
              </w:rPr>
              <w:t xml:space="preserve">7,9</w:t>
            </w:r>
          </w:p>
        </w:tc>
        <w:tc>
          <w:tcPr>
            <w:tcW w:type="dxa" w:w="714"/>
          </w:tcPr>
          <w:p>
            <w:pPr>
              <w:pStyle w:val="Compact"/>
              <w:spacing w:line="240" w:lineRule="auto" w:before="20" w:after="20"/>
              <w:ind w:firstLine="0"/>
              <w:jc w:val="right"/>
            </w:pPr>
            <w:r>
              <w:rPr>
                <w:rFonts w:ascii="Times New Roman" w:hAnsi="Times New Roman"/>
                <w:sz w:val="14"/>
              </w:rPr>
              <w:t xml:space="preserve">8,1</w:t>
            </w:r>
          </w:p>
        </w:tc>
        <w:tc>
          <w:tcPr>
            <w:tcW w:type="dxa" w:w="714"/>
          </w:tcPr>
          <w:p>
            <w:pPr>
              <w:pStyle w:val="Compact"/>
              <w:spacing w:line="240" w:lineRule="auto" w:before="20" w:after="20"/>
              <w:ind w:firstLine="0"/>
              <w:jc w:val="right"/>
            </w:pPr>
            <w:r>
              <w:rPr>
                <w:rFonts w:ascii="Times New Roman" w:hAnsi="Times New Roman"/>
                <w:sz w:val="14"/>
              </w:rPr>
              <w:t xml:space="preserve">8,3</w:t>
            </w:r>
          </w:p>
        </w:tc>
        <w:tc>
          <w:tcPr>
            <w:tcW w:type="dxa" w:w="714"/>
          </w:tcPr>
          <w:p>
            <w:pPr>
              <w:pStyle w:val="Compact"/>
              <w:spacing w:line="240" w:lineRule="auto" w:before="20" w:after="20"/>
              <w:ind w:firstLine="0"/>
              <w:jc w:val="right"/>
            </w:pPr>
            <w:r>
              <w:rPr>
                <w:rFonts w:ascii="Times New Roman" w:hAnsi="Times New Roman"/>
                <w:sz w:val="14"/>
              </w:rPr>
              <w:t xml:space="preserve">8,6</w:t>
            </w:r>
          </w:p>
        </w:tc>
        <w:tc>
          <w:tcPr>
            <w:tcW w:type="dxa" w:w="714"/>
          </w:tcPr>
          <w:p>
            <w:pPr>
              <w:pStyle w:val="Compact"/>
              <w:spacing w:line="240" w:lineRule="auto" w:before="20" w:after="20"/>
              <w:ind w:firstLine="0"/>
              <w:jc w:val="right"/>
            </w:pPr>
            <w:r>
              <w:rPr>
                <w:rFonts w:ascii="Times New Roman" w:hAnsi="Times New Roman"/>
                <w:sz w:val="14"/>
              </w:rPr>
              <w:t>+0,29</w:t>
            </w:r>
          </w:p>
        </w:tc>
        <w:tc>
          <w:tcPr>
            <w:tcW w:type="dxa" w:w="714"/>
          </w:tcPr>
          <w:p>
            <w:pPr>
              <w:pStyle w:val="Compact"/>
              <w:spacing w:line="240" w:lineRule="auto" w:before="20" w:after="20"/>
              <w:ind w:firstLine="0"/>
              <w:jc w:val="right"/>
            </w:pPr>
            <w:r>
              <w:rPr>
                <w:rFonts w:ascii="Times New Roman" w:hAnsi="Times New Roman"/>
                <w:sz w:val="14"/>
              </w:rPr>
              <w:t>+0,78</w:t>
            </w:r>
          </w:p>
        </w:tc>
        <w:tc>
          <w:tcPr>
            <w:tcW w:type="dxa" w:w="714"/>
          </w:tcPr>
          <w:p>
            <w:pPr>
              <w:pStyle w:val="Compact"/>
              <w:spacing w:line="240" w:lineRule="auto" w:before="20" w:after="20"/>
              <w:ind w:firstLine="0"/>
              <w:jc w:val="right"/>
            </w:pPr>
            <w:r>
              <w:rPr>
                <w:rFonts w:ascii="Times New Roman" w:hAnsi="Times New Roman"/>
                <w:sz w:val="14"/>
              </w:rPr>
              <w:t>+1,27</w:t>
            </w:r>
          </w:p>
        </w:tc>
        <w:tc>
          <w:tcPr>
            <w:tcW w:type="dxa" w:w="714"/>
          </w:tcPr>
          <w:p>
            <w:pPr>
              <w:pStyle w:val="Compact"/>
              <w:spacing w:line="240" w:lineRule="auto" w:before="20" w:after="20"/>
              <w:ind w:firstLine="0"/>
              <w:jc w:val="right"/>
            </w:pPr>
            <w:r>
              <w:rPr>
                <w:rFonts w:ascii="Times New Roman" w:hAnsi="Times New Roman"/>
                <w:sz w:val="14"/>
              </w:rPr>
              <w:t>+1,77</w:t>
            </w:r>
          </w:p>
        </w:tc>
        <w:tc>
          <w:tcPr>
            <w:tcW w:type="dxa" w:w="714"/>
          </w:tcPr>
          <w:p>
            <w:pPr>
              <w:pStyle w:val="Compact"/>
              <w:spacing w:line="240" w:lineRule="auto" w:before="20" w:after="20"/>
              <w:ind w:firstLine="0"/>
              <w:jc w:val="right"/>
            </w:pPr>
            <w:r>
              <w:rPr>
                <w:rFonts w:ascii="Times New Roman" w:hAnsi="Times New Roman"/>
                <w:sz w:val="14"/>
              </w:rPr>
              <w:t>+3,19</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AC</w:t>
            </w:r>
          </w:p>
        </w:tc>
        <w:tc>
          <w:tcPr>
            <w:tcW w:type="dxa" w:w="1484"/>
          </w:tcPr>
          <w:p>
            <w:pPr>
              <w:pStyle w:val="Compact"/>
              <w:spacing w:line="240" w:lineRule="auto" w:before="20" w:after="20"/>
              <w:ind w:firstLine="0"/>
              <w:jc w:val="right"/>
            </w:pPr>
            <w:r>
              <w:rPr>
                <w:rFonts w:ascii="Times New Roman" w:hAnsi="Times New Roman"/>
                <w:sz w:val="14"/>
              </w:rPr>
              <w:t xml:space="preserve">1,7</w:t>
            </w:r>
          </w:p>
        </w:tc>
        <w:tc>
          <w:tcPr>
            <w:tcW w:type="dxa" w:w="714"/>
          </w:tcPr>
          <w:p>
            <w:pPr>
              <w:pStyle w:val="Compact"/>
              <w:spacing w:line="240" w:lineRule="auto" w:before="20" w:after="20"/>
              <w:ind w:firstLine="0"/>
              <w:jc w:val="right"/>
            </w:pPr>
            <w:r>
              <w:rPr>
                <w:rFonts w:ascii="Times New Roman" w:hAnsi="Times New Roman"/>
                <w:sz w:val="14"/>
              </w:rPr>
              <w:t xml:space="preserve">1,8</w:t>
            </w:r>
          </w:p>
        </w:tc>
        <w:tc>
          <w:tcPr>
            <w:tcW w:type="dxa" w:w="714"/>
          </w:tcPr>
          <w:p>
            <w:pPr>
              <w:pStyle w:val="Compact"/>
              <w:spacing w:line="240" w:lineRule="auto" w:before="20" w:after="20"/>
              <w:ind w:firstLine="0"/>
              <w:jc w:val="right"/>
            </w:pPr>
            <w:r>
              <w:rPr>
                <w:rFonts w:ascii="Times New Roman" w:hAnsi="Times New Roman"/>
                <w:sz w:val="14"/>
              </w:rPr>
              <w:t>1,9</w:t>
            </w:r>
          </w:p>
        </w:tc>
        <w:tc>
          <w:tcPr>
            <w:tcW w:type="dxa" w:w="714"/>
          </w:tcPr>
          <w:p>
            <w:pPr>
              <w:pStyle w:val="Compact"/>
              <w:spacing w:line="240" w:lineRule="auto" w:before="20" w:after="20"/>
              <w:ind w:firstLine="0"/>
              <w:jc w:val="right"/>
            </w:pPr>
            <w:r>
              <w:rPr>
                <w:rFonts w:ascii="Times New Roman" w:hAnsi="Times New Roman"/>
                <w:sz w:val="14"/>
              </w:rPr>
              <w:t xml:space="preserve">1,9</w:t>
            </w:r>
          </w:p>
        </w:tc>
        <w:tc>
          <w:tcPr>
            <w:tcW w:type="dxa" w:w="714"/>
          </w:tcPr>
          <w:p>
            <w:pPr>
              <w:pStyle w:val="Compact"/>
              <w:spacing w:line="240" w:lineRule="auto" w:before="20" w:after="20"/>
              <w:ind w:firstLine="0"/>
              <w:jc w:val="right"/>
            </w:pPr>
            <w:r>
              <w:rPr>
                <w:rFonts w:ascii="Times New Roman" w:hAnsi="Times New Roman"/>
                <w:sz w:val="14"/>
              </w:rPr>
              <w:t>2,0</w:t>
            </w:r>
          </w:p>
        </w:tc>
        <w:tc>
          <w:tcPr>
            <w:tcW w:type="dxa" w:w="714"/>
          </w:tcPr>
          <w:p>
            <w:pPr>
              <w:pStyle w:val="Compact"/>
              <w:spacing w:line="240" w:lineRule="auto" w:before="20" w:after="20"/>
              <w:ind w:firstLine="0"/>
              <w:jc w:val="right"/>
            </w:pPr>
            <w:r>
              <w:rPr>
                <w:rFonts w:ascii="Times New Roman" w:hAnsi="Times New Roman"/>
                <w:sz w:val="14"/>
              </w:rPr>
              <w:t>2,1</w:t>
            </w:r>
          </w:p>
        </w:tc>
        <w:tc>
          <w:tcPr>
            <w:tcW w:type="dxa" w:w="714"/>
          </w:tcPr>
          <w:p>
            <w:pPr>
              <w:pStyle w:val="Compact"/>
              <w:spacing w:line="240" w:lineRule="auto" w:before="20" w:after="20"/>
              <w:ind w:firstLine="0"/>
              <w:jc w:val="right"/>
            </w:pPr>
            <w:r>
              <w:rPr>
                <w:rFonts w:ascii="Times New Roman" w:hAnsi="Times New Roman"/>
                <w:sz w:val="14"/>
              </w:rPr>
              <w:t>+0,51</w:t>
            </w:r>
          </w:p>
        </w:tc>
        <w:tc>
          <w:tcPr>
            <w:tcW w:type="dxa" w:w="714"/>
          </w:tcPr>
          <w:p>
            <w:pPr>
              <w:pStyle w:val="Compact"/>
              <w:spacing w:line="240" w:lineRule="auto" w:before="20" w:after="20"/>
              <w:ind w:firstLine="0"/>
              <w:jc w:val="right"/>
            </w:pPr>
            <w:r>
              <w:rPr>
                <w:rFonts w:ascii="Times New Roman" w:hAnsi="Times New Roman"/>
                <w:sz w:val="14"/>
              </w:rPr>
              <w:t>+1,23</w:t>
            </w:r>
          </w:p>
        </w:tc>
        <w:tc>
          <w:tcPr>
            <w:tcW w:type="dxa" w:w="714"/>
          </w:tcPr>
          <w:p>
            <w:pPr>
              <w:pStyle w:val="Compact"/>
              <w:spacing w:line="240" w:lineRule="auto" w:before="20" w:after="20"/>
              <w:ind w:firstLine="0"/>
              <w:jc w:val="right"/>
            </w:pPr>
            <w:r>
              <w:rPr>
                <w:rFonts w:ascii="Times New Roman" w:hAnsi="Times New Roman"/>
                <w:sz w:val="14"/>
              </w:rPr>
              <w:t>+1,95</w:t>
            </w:r>
          </w:p>
        </w:tc>
        <w:tc>
          <w:tcPr>
            <w:tcW w:type="dxa" w:w="714"/>
          </w:tcPr>
          <w:p>
            <w:pPr>
              <w:pStyle w:val="Compact"/>
              <w:spacing w:line="240" w:lineRule="auto" w:before="20" w:after="20"/>
              <w:ind w:firstLine="0"/>
              <w:jc w:val="right"/>
            </w:pPr>
            <w:r>
              <w:rPr>
                <w:rFonts w:ascii="Times New Roman" w:hAnsi="Times New Roman"/>
                <w:sz w:val="14"/>
              </w:rPr>
              <w:t>+2,67</w:t>
            </w:r>
          </w:p>
        </w:tc>
        <w:tc>
          <w:tcPr>
            <w:tcW w:type="dxa" w:w="714"/>
          </w:tcPr>
          <w:p>
            <w:pPr>
              <w:pStyle w:val="Compact"/>
              <w:spacing w:line="240" w:lineRule="auto" w:before="20" w:after="20"/>
              <w:ind w:firstLine="0"/>
              <w:jc w:val="right"/>
            </w:pPr>
            <w:r>
              <w:rPr>
                <w:rFonts w:ascii="Times New Roman" w:hAnsi="Times New Roman"/>
                <w:sz w:val="14"/>
              </w:rPr>
              <w:t>+5,78</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SP</w:t>
            </w:r>
          </w:p>
        </w:tc>
        <w:tc>
          <w:tcPr>
            <w:tcW w:type="dxa" w:w="1484"/>
          </w:tcPr>
          <w:p>
            <w:pPr>
              <w:pStyle w:val="Compact"/>
              <w:spacing w:line="240" w:lineRule="auto" w:before="20" w:after="20"/>
              <w:ind w:firstLine="0"/>
              <w:jc w:val="right"/>
            </w:pPr>
            <w:r>
              <w:rPr>
                <w:rFonts w:ascii="Times New Roman" w:hAnsi="Times New Roman"/>
                <w:sz w:val="14"/>
              </w:rPr>
              <w:t xml:space="preserve">178,8</w:t>
            </w:r>
          </w:p>
        </w:tc>
        <w:tc>
          <w:tcPr>
            <w:tcW w:type="dxa" w:w="714"/>
          </w:tcPr>
          <w:p>
            <w:pPr>
              <w:pStyle w:val="Compact"/>
              <w:spacing w:line="240" w:lineRule="auto" w:before="20" w:after="20"/>
              <w:ind w:firstLine="0"/>
              <w:jc w:val="right"/>
            </w:pPr>
            <w:r>
              <w:rPr>
                <w:rFonts w:ascii="Times New Roman" w:hAnsi="Times New Roman"/>
                <w:sz w:val="14"/>
              </w:rPr>
              <w:t>193,0</w:t>
            </w:r>
          </w:p>
        </w:tc>
        <w:tc>
          <w:tcPr>
            <w:tcW w:type="dxa" w:w="714"/>
          </w:tcPr>
          <w:p>
            <w:pPr>
              <w:pStyle w:val="Compact"/>
              <w:spacing w:line="240" w:lineRule="auto" w:before="20" w:after="20"/>
              <w:ind w:firstLine="0"/>
              <w:jc w:val="right"/>
            </w:pPr>
            <w:r>
              <w:rPr>
                <w:rFonts w:ascii="Times New Roman" w:hAnsi="Times New Roman"/>
                <w:sz w:val="14"/>
              </w:rPr>
              <w:t>197,4</w:t>
            </w:r>
          </w:p>
        </w:tc>
        <w:tc>
          <w:tcPr>
            <w:tcW w:type="dxa" w:w="714"/>
          </w:tcPr>
          <w:p>
            <w:pPr>
              <w:pStyle w:val="Compact"/>
              <w:spacing w:line="240" w:lineRule="auto" w:before="20" w:after="20"/>
              <w:ind w:firstLine="0"/>
              <w:jc w:val="right"/>
            </w:pPr>
            <w:r>
              <w:rPr>
                <w:rFonts w:ascii="Times New Roman" w:hAnsi="Times New Roman"/>
                <w:sz w:val="14"/>
              </w:rPr>
              <w:t>202,3</w:t>
            </w:r>
          </w:p>
        </w:tc>
        <w:tc>
          <w:tcPr>
            <w:tcW w:type="dxa" w:w="714"/>
          </w:tcPr>
          <w:p>
            <w:pPr>
              <w:pStyle w:val="Compact"/>
              <w:spacing w:line="240" w:lineRule="auto" w:before="20" w:after="20"/>
              <w:ind w:firstLine="0"/>
              <w:jc w:val="right"/>
            </w:pPr>
            <w:r>
              <w:rPr>
                <w:rFonts w:ascii="Times New Roman" w:hAnsi="Times New Roman"/>
                <w:sz w:val="14"/>
              </w:rPr>
              <w:t>207,3</w:t>
            </w:r>
          </w:p>
        </w:tc>
        <w:tc>
          <w:tcPr>
            <w:tcW w:type="dxa" w:w="714"/>
          </w:tcPr>
          <w:p>
            <w:pPr>
              <w:pStyle w:val="Compact"/>
              <w:spacing w:line="240" w:lineRule="auto" w:before="20" w:after="20"/>
              <w:ind w:firstLine="0"/>
              <w:jc w:val="right"/>
            </w:pPr>
            <w:r>
              <w:rPr>
                <w:rFonts w:ascii="Times New Roman" w:hAnsi="Times New Roman"/>
                <w:sz w:val="14"/>
              </w:rPr>
              <w:t>217,0</w:t>
            </w:r>
          </w:p>
        </w:tc>
        <w:tc>
          <w:tcPr>
            <w:tcW w:type="dxa" w:w="714"/>
          </w:tcPr>
          <w:p>
            <w:pPr>
              <w:pStyle w:val="Compact"/>
              <w:spacing w:line="240" w:lineRule="auto" w:before="20" w:after="20"/>
              <w:ind w:firstLine="0"/>
              <w:jc w:val="right"/>
            </w:pPr>
            <w:r>
              <w:rPr>
                <w:rFonts w:ascii="Times New Roman" w:hAnsi="Times New Roman"/>
                <w:sz w:val="14"/>
              </w:rPr>
              <w:t>+0,07</w:t>
            </w:r>
          </w:p>
        </w:tc>
        <w:tc>
          <w:tcPr>
            <w:tcW w:type="dxa" w:w="714"/>
          </w:tcPr>
          <w:p>
            <w:pPr>
              <w:pStyle w:val="Compact"/>
              <w:spacing w:line="240" w:lineRule="auto" w:before="20" w:after="20"/>
              <w:ind w:firstLine="0"/>
              <w:jc w:val="right"/>
            </w:pPr>
            <w:r>
              <w:rPr>
                <w:rFonts w:ascii="Times New Roman" w:hAnsi="Times New Roman"/>
                <w:sz w:val="14"/>
              </w:rPr>
              <w:t>+0,34</w:t>
            </w:r>
          </w:p>
        </w:tc>
        <w:tc>
          <w:tcPr>
            <w:tcW w:type="dxa" w:w="714"/>
          </w:tcPr>
          <w:p>
            <w:pPr>
              <w:pStyle w:val="Compact"/>
              <w:spacing w:line="240" w:lineRule="auto" w:before="20" w:after="20"/>
              <w:ind w:firstLine="0"/>
              <w:jc w:val="right"/>
            </w:pPr>
            <w:r>
              <w:rPr>
                <w:rFonts w:ascii="Times New Roman" w:hAnsi="Times New Roman"/>
                <w:sz w:val="14"/>
              </w:rPr>
              <w:t>+0,61</w:t>
            </w:r>
          </w:p>
        </w:tc>
        <w:tc>
          <w:tcPr>
            <w:tcW w:type="dxa" w:w="714"/>
          </w:tcPr>
          <w:p>
            <w:pPr>
              <w:pStyle w:val="Compact"/>
              <w:spacing w:line="240" w:lineRule="auto" w:before="20" w:after="20"/>
              <w:ind w:firstLine="0"/>
              <w:jc w:val="right"/>
            </w:pPr>
            <w:r>
              <w:rPr>
                <w:rFonts w:ascii="Times New Roman" w:hAnsi="Times New Roman"/>
                <w:sz w:val="14"/>
              </w:rPr>
              <w:t>+0,89</w:t>
            </w:r>
          </w:p>
        </w:tc>
        <w:tc>
          <w:tcPr>
            <w:tcW w:type="dxa" w:w="714"/>
          </w:tcPr>
          <w:p>
            <w:pPr>
              <w:pStyle w:val="Compact"/>
              <w:spacing w:line="240" w:lineRule="auto" w:before="20" w:after="20"/>
              <w:ind w:firstLine="0"/>
              <w:jc w:val="right"/>
            </w:pPr>
            <w:r>
              <w:rPr>
                <w:rFonts w:ascii="Times New Roman" w:hAnsi="Times New Roman"/>
                <w:sz w:val="14"/>
              </w:rPr>
              <w:t>+3,33</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DF</w:t>
            </w:r>
          </w:p>
        </w:tc>
        <w:tc>
          <w:tcPr>
            <w:tcW w:type="dxa" w:w="1484"/>
          </w:tcPr>
          <w:p>
            <w:pPr>
              <w:pStyle w:val="Compact"/>
              <w:spacing w:line="240" w:lineRule="auto" w:before="20" w:after="20"/>
              <w:ind w:firstLine="0"/>
              <w:jc w:val="right"/>
            </w:pPr>
            <w:r>
              <w:rPr>
                <w:rFonts w:ascii="Times New Roman" w:hAnsi="Times New Roman"/>
                <w:sz w:val="14"/>
              </w:rPr>
              <w:t xml:space="preserve">16,5</w:t>
            </w:r>
          </w:p>
        </w:tc>
        <w:tc>
          <w:tcPr>
            <w:tcW w:type="dxa" w:w="714"/>
          </w:tcPr>
          <w:p>
            <w:pPr>
              <w:pStyle w:val="Compact"/>
              <w:spacing w:line="240" w:lineRule="auto" w:before="20" w:after="20"/>
              <w:ind w:firstLine="0"/>
              <w:jc w:val="right"/>
            </w:pPr>
            <w:r>
              <w:rPr>
                <w:rFonts w:ascii="Times New Roman" w:hAnsi="Times New Roman"/>
                <w:sz w:val="14"/>
              </w:rPr>
              <w:t xml:space="preserve">17,9</w:t>
            </w:r>
          </w:p>
        </w:tc>
        <w:tc>
          <w:tcPr>
            <w:tcW w:type="dxa" w:w="714"/>
          </w:tcPr>
          <w:p>
            <w:pPr>
              <w:pStyle w:val="Compact"/>
              <w:spacing w:line="240" w:lineRule="auto" w:before="20" w:after="20"/>
              <w:ind w:firstLine="0"/>
              <w:jc w:val="right"/>
            </w:pPr>
            <w:r>
              <w:rPr>
                <w:rFonts w:ascii="Times New Roman" w:hAnsi="Times New Roman"/>
                <w:sz w:val="14"/>
              </w:rPr>
              <w:t xml:space="preserve">18,5</w:t>
            </w:r>
          </w:p>
        </w:tc>
        <w:tc>
          <w:tcPr>
            <w:tcW w:type="dxa" w:w="714"/>
          </w:tcPr>
          <w:p>
            <w:pPr>
              <w:pStyle w:val="Compact"/>
              <w:spacing w:line="240" w:lineRule="auto" w:before="20" w:after="20"/>
              <w:ind w:firstLine="0"/>
              <w:jc w:val="right"/>
            </w:pPr>
            <w:r>
              <w:rPr>
                <w:rFonts w:ascii="Times New Roman" w:hAnsi="Times New Roman"/>
                <w:sz w:val="14"/>
              </w:rPr>
              <w:t xml:space="preserve">19,1</w:t>
            </w:r>
          </w:p>
        </w:tc>
        <w:tc>
          <w:tcPr>
            <w:tcW w:type="dxa" w:w="714"/>
          </w:tcPr>
          <w:p>
            <w:pPr>
              <w:pStyle w:val="Compact"/>
              <w:spacing w:line="240" w:lineRule="auto" w:before="20" w:after="20"/>
              <w:ind w:firstLine="0"/>
              <w:jc w:val="right"/>
            </w:pPr>
            <w:r>
              <w:rPr>
                <w:rFonts w:ascii="Times New Roman" w:hAnsi="Times New Roman"/>
                <w:sz w:val="14"/>
              </w:rPr>
              <w:t xml:space="preserve">19,7</w:t>
            </w:r>
          </w:p>
        </w:tc>
        <w:tc>
          <w:tcPr>
            <w:tcW w:type="dxa" w:w="714"/>
          </w:tcPr>
          <w:p>
            <w:pPr>
              <w:pStyle w:val="Compact"/>
              <w:spacing w:line="240" w:lineRule="auto" w:before="20" w:after="20"/>
              <w:ind w:firstLine="0"/>
              <w:jc w:val="right"/>
            </w:pPr>
            <w:r>
              <w:rPr>
                <w:rFonts w:ascii="Times New Roman" w:hAnsi="Times New Roman"/>
                <w:sz w:val="14"/>
              </w:rPr>
              <w:t>20,5</w:t>
            </w:r>
          </w:p>
        </w:tc>
        <w:tc>
          <w:tcPr>
            <w:tcW w:type="dxa" w:w="714"/>
          </w:tcPr>
          <w:p>
            <w:pPr>
              <w:pStyle w:val="Compact"/>
              <w:spacing w:line="240" w:lineRule="auto" w:before="20" w:after="20"/>
              <w:ind w:firstLine="0"/>
              <w:jc w:val="right"/>
            </w:pPr>
            <w:r>
              <w:rPr>
                <w:rFonts w:ascii="Times New Roman" w:hAnsi="Times New Roman"/>
                <w:sz w:val="14"/>
              </w:rPr>
              <w:t>+0,83</w:t>
            </w:r>
          </w:p>
        </w:tc>
        <w:tc>
          <w:tcPr>
            <w:tcW w:type="dxa" w:w="714"/>
          </w:tcPr>
          <w:p>
            <w:pPr>
              <w:pStyle w:val="Compact"/>
              <w:spacing w:line="240" w:lineRule="auto" w:before="20" w:after="20"/>
              <w:ind w:firstLine="0"/>
              <w:jc w:val="right"/>
            </w:pPr>
            <w:r>
              <w:rPr>
                <w:rFonts w:ascii="Times New Roman" w:hAnsi="Times New Roman"/>
                <w:sz w:val="14"/>
              </w:rPr>
              <w:t>+1,88</w:t>
            </w:r>
          </w:p>
        </w:tc>
        <w:tc>
          <w:tcPr>
            <w:tcW w:type="dxa" w:w="714"/>
          </w:tcPr>
          <w:p>
            <w:pPr>
              <w:pStyle w:val="Compact"/>
              <w:spacing w:line="240" w:lineRule="auto" w:before="20" w:after="20"/>
              <w:ind w:firstLine="0"/>
              <w:jc w:val="right"/>
            </w:pPr>
            <w:r>
              <w:rPr>
                <w:rFonts w:ascii="Times New Roman" w:hAnsi="Times New Roman"/>
                <w:sz w:val="14"/>
              </w:rPr>
              <w:t>+2,93</w:t>
            </w:r>
          </w:p>
        </w:tc>
        <w:tc>
          <w:tcPr>
            <w:tcW w:type="dxa" w:w="714"/>
          </w:tcPr>
          <w:p>
            <w:pPr>
              <w:pStyle w:val="Compact"/>
              <w:spacing w:line="240" w:lineRule="auto" w:before="20" w:after="20"/>
              <w:ind w:firstLine="0"/>
              <w:jc w:val="right"/>
            </w:pPr>
            <w:r>
              <w:rPr>
                <w:rFonts w:ascii="Times New Roman" w:hAnsi="Times New Roman"/>
                <w:sz w:val="14"/>
              </w:rPr>
              <w:t>+3,98</w:t>
            </w:r>
          </w:p>
        </w:tc>
        <w:tc>
          <w:tcPr>
            <w:tcW w:type="dxa" w:w="714"/>
          </w:tcPr>
          <w:p>
            <w:pPr>
              <w:pStyle w:val="Compact"/>
              <w:spacing w:line="240" w:lineRule="auto" w:before="20" w:after="20"/>
              <w:ind w:firstLine="0"/>
              <w:jc w:val="right"/>
            </w:pPr>
            <w:r>
              <w:rPr>
                <w:rFonts w:ascii="Times New Roman" w:hAnsi="Times New Roman"/>
                <w:sz w:val="14"/>
              </w:rPr>
              <w:t>+5,85</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AM</w:t>
            </w:r>
          </w:p>
        </w:tc>
        <w:tc>
          <w:tcPr>
            <w:tcW w:type="dxa" w:w="1484"/>
          </w:tcPr>
          <w:p>
            <w:pPr>
              <w:pStyle w:val="Compact"/>
              <w:spacing w:line="240" w:lineRule="auto" w:before="20" w:after="20"/>
              <w:ind w:firstLine="0"/>
              <w:jc w:val="right"/>
            </w:pPr>
            <w:r>
              <w:rPr>
                <w:rFonts w:ascii="Times New Roman" w:hAnsi="Times New Roman"/>
                <w:sz w:val="14"/>
              </w:rPr>
              <w:t>15,9</w:t>
            </w:r>
          </w:p>
        </w:tc>
        <w:tc>
          <w:tcPr>
            <w:tcW w:type="dxa" w:w="714"/>
          </w:tcPr>
          <w:p>
            <w:pPr>
              <w:pStyle w:val="Compact"/>
              <w:spacing w:line="240" w:lineRule="auto" w:before="20" w:after="20"/>
              <w:ind w:firstLine="0"/>
              <w:jc w:val="right"/>
            </w:pPr>
            <w:r>
              <w:rPr>
                <w:rFonts w:ascii="Times New Roman" w:hAnsi="Times New Roman"/>
                <w:sz w:val="14"/>
              </w:rPr>
              <w:t>17,2</w:t>
            </w:r>
          </w:p>
        </w:tc>
        <w:tc>
          <w:tcPr>
            <w:tcW w:type="dxa" w:w="714"/>
          </w:tcPr>
          <w:p>
            <w:pPr>
              <w:pStyle w:val="Compact"/>
              <w:spacing w:line="240" w:lineRule="auto" w:before="20" w:after="20"/>
              <w:ind w:firstLine="0"/>
              <w:jc w:val="right"/>
            </w:pPr>
            <w:r>
              <w:rPr>
                <w:rFonts w:ascii="Times New Roman" w:hAnsi="Times New Roman"/>
                <w:sz w:val="14"/>
              </w:rPr>
              <w:t>17,7</w:t>
            </w:r>
          </w:p>
        </w:tc>
        <w:tc>
          <w:tcPr>
            <w:tcW w:type="dxa" w:w="714"/>
          </w:tcPr>
          <w:p>
            <w:pPr>
              <w:pStyle w:val="Compact"/>
              <w:spacing w:line="240" w:lineRule="auto" w:before="20" w:after="20"/>
              <w:ind w:firstLine="0"/>
              <w:jc w:val="right"/>
            </w:pPr>
            <w:r>
              <w:rPr>
                <w:rFonts w:ascii="Times New Roman" w:hAnsi="Times New Roman"/>
                <w:sz w:val="14"/>
              </w:rPr>
              <w:t>18,3</w:t>
            </w:r>
          </w:p>
        </w:tc>
        <w:tc>
          <w:tcPr>
            <w:tcW w:type="dxa" w:w="714"/>
          </w:tcPr>
          <w:p>
            <w:pPr>
              <w:pStyle w:val="Compact"/>
              <w:spacing w:line="240" w:lineRule="auto" w:before="20" w:after="20"/>
              <w:ind w:firstLine="0"/>
              <w:jc w:val="right"/>
            </w:pPr>
            <w:r>
              <w:rPr>
                <w:rFonts w:ascii="Times New Roman" w:hAnsi="Times New Roman"/>
                <w:sz w:val="14"/>
              </w:rPr>
              <w:t>18,9</w:t>
            </w:r>
          </w:p>
        </w:tc>
        <w:tc>
          <w:tcPr>
            <w:tcW w:type="dxa" w:w="714"/>
          </w:tcPr>
          <w:p>
            <w:pPr>
              <w:pStyle w:val="Compact"/>
              <w:spacing w:line="240" w:lineRule="auto" w:before="20" w:after="20"/>
              <w:ind w:firstLine="0"/>
              <w:jc w:val="right"/>
            </w:pPr>
            <w:r>
              <w:rPr>
                <w:rFonts w:ascii="Times New Roman" w:hAnsi="Times New Roman"/>
                <w:sz w:val="14"/>
              </w:rPr>
              <w:t>20,3</w:t>
            </w:r>
          </w:p>
        </w:tc>
        <w:tc>
          <w:tcPr>
            <w:tcW w:type="dxa" w:w="714"/>
          </w:tcPr>
          <w:p>
            <w:pPr>
              <w:pStyle w:val="Compact"/>
              <w:spacing w:line="240" w:lineRule="auto" w:before="20" w:after="20"/>
              <w:ind w:firstLine="0"/>
              <w:jc w:val="right"/>
            </w:pPr>
            <w:r>
              <w:rPr>
                <w:rFonts w:ascii="Times New Roman" w:hAnsi="Times New Roman"/>
                <w:sz w:val="14"/>
              </w:rPr>
              <w:t>+0,69</w:t>
            </w:r>
          </w:p>
        </w:tc>
        <w:tc>
          <w:tcPr>
            <w:tcW w:type="dxa" w:w="714"/>
          </w:tcPr>
          <w:p>
            <w:pPr>
              <w:pStyle w:val="Compact"/>
              <w:spacing w:line="240" w:lineRule="auto" w:before="20" w:after="20"/>
              <w:ind w:firstLine="0"/>
              <w:jc w:val="right"/>
            </w:pPr>
            <w:r>
              <w:rPr>
                <w:rFonts w:ascii="Times New Roman" w:hAnsi="Times New Roman"/>
                <w:sz w:val="14"/>
              </w:rPr>
              <w:t>+1,61</w:t>
            </w:r>
          </w:p>
        </w:tc>
        <w:tc>
          <w:tcPr>
            <w:tcW w:type="dxa" w:w="714"/>
          </w:tcPr>
          <w:p>
            <w:pPr>
              <w:pStyle w:val="Compact"/>
              <w:spacing w:line="240" w:lineRule="auto" w:before="20" w:after="20"/>
              <w:ind w:firstLine="0"/>
              <w:jc w:val="right"/>
            </w:pPr>
            <w:r>
              <w:rPr>
                <w:rFonts w:ascii="Times New Roman" w:hAnsi="Times New Roman"/>
                <w:sz w:val="14"/>
              </w:rPr>
              <w:t>+2,53</w:t>
            </w:r>
          </w:p>
        </w:tc>
        <w:tc>
          <w:tcPr>
            <w:tcW w:type="dxa" w:w="714"/>
          </w:tcPr>
          <w:p>
            <w:pPr>
              <w:pStyle w:val="Compact"/>
              <w:spacing w:line="240" w:lineRule="auto" w:before="20" w:after="20"/>
              <w:ind w:firstLine="0"/>
              <w:jc w:val="right"/>
            </w:pPr>
            <w:r>
              <w:rPr>
                <w:rFonts w:ascii="Times New Roman" w:hAnsi="Times New Roman"/>
                <w:sz w:val="14"/>
              </w:rPr>
              <w:t>+3,45</w:t>
            </w:r>
          </w:p>
        </w:tc>
        <w:tc>
          <w:tcPr>
            <w:tcW w:type="dxa" w:w="714"/>
          </w:tcPr>
          <w:p>
            <w:pPr>
              <w:pStyle w:val="Compact"/>
              <w:spacing w:line="240" w:lineRule="auto" w:before="20" w:after="20"/>
              <w:ind w:firstLine="0"/>
              <w:jc w:val="right"/>
            </w:pPr>
            <w:r>
              <w:rPr>
                <w:rFonts w:ascii="Times New Roman" w:hAnsi="Times New Roman"/>
                <w:sz w:val="14"/>
              </w:rPr>
              <w:t>+9,09</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RJ</w:t>
            </w:r>
          </w:p>
        </w:tc>
        <w:tc>
          <w:tcPr>
            <w:tcW w:type="dxa" w:w="1484"/>
          </w:tcPr>
          <w:p>
            <w:pPr>
              <w:pStyle w:val="Compact"/>
              <w:spacing w:line="240" w:lineRule="auto" w:before="20" w:after="20"/>
              <w:ind w:firstLine="0"/>
              <w:jc w:val="right"/>
            </w:pPr>
            <w:r>
              <w:rPr>
                <w:rFonts w:ascii="Times New Roman" w:hAnsi="Times New Roman"/>
                <w:sz w:val="14"/>
              </w:rPr>
              <w:t xml:space="preserve">48,5</w:t>
            </w:r>
          </w:p>
        </w:tc>
        <w:tc>
          <w:tcPr>
            <w:tcW w:type="dxa" w:w="714"/>
          </w:tcPr>
          <w:p>
            <w:pPr>
              <w:pStyle w:val="Compact"/>
              <w:spacing w:line="240" w:lineRule="auto" w:before="20" w:after="20"/>
              <w:ind w:firstLine="0"/>
              <w:jc w:val="right"/>
            </w:pPr>
            <w:r>
              <w:rPr>
                <w:rFonts w:ascii="Times New Roman" w:hAnsi="Times New Roman"/>
                <w:sz w:val="14"/>
              </w:rPr>
              <w:t>52,5</w:t>
            </w:r>
          </w:p>
        </w:tc>
        <w:tc>
          <w:tcPr>
            <w:tcW w:type="dxa" w:w="714"/>
          </w:tcPr>
          <w:p>
            <w:pPr>
              <w:pStyle w:val="Compact"/>
              <w:spacing w:line="240" w:lineRule="auto" w:before="20" w:after="20"/>
              <w:ind w:firstLine="0"/>
              <w:jc w:val="right"/>
            </w:pPr>
            <w:r>
              <w:rPr>
                <w:rFonts w:ascii="Times New Roman" w:hAnsi="Times New Roman"/>
                <w:sz w:val="14"/>
              </w:rPr>
              <w:t>53,9</w:t>
            </w:r>
          </w:p>
        </w:tc>
        <w:tc>
          <w:tcPr>
            <w:tcW w:type="dxa" w:w="714"/>
          </w:tcPr>
          <w:p>
            <w:pPr>
              <w:pStyle w:val="Compact"/>
              <w:spacing w:line="240" w:lineRule="auto" w:before="20" w:after="20"/>
              <w:ind w:firstLine="0"/>
              <w:jc w:val="right"/>
            </w:pPr>
            <w:r>
              <w:rPr>
                <w:rFonts w:ascii="Times New Roman" w:hAnsi="Times New Roman"/>
                <w:sz w:val="14"/>
              </w:rPr>
              <w:t>55,4</w:t>
            </w:r>
          </w:p>
        </w:tc>
        <w:tc>
          <w:tcPr>
            <w:tcW w:type="dxa" w:w="714"/>
          </w:tcPr>
          <w:p>
            <w:pPr>
              <w:pStyle w:val="Compact"/>
              <w:spacing w:line="240" w:lineRule="auto" w:before="20" w:after="20"/>
              <w:ind w:firstLine="0"/>
              <w:jc w:val="right"/>
            </w:pPr>
            <w:r>
              <w:rPr>
                <w:rFonts w:ascii="Times New Roman" w:hAnsi="Times New Roman"/>
                <w:sz w:val="14"/>
              </w:rPr>
              <w:t>57,0</w:t>
            </w:r>
          </w:p>
        </w:tc>
        <w:tc>
          <w:tcPr>
            <w:tcW w:type="dxa" w:w="714"/>
          </w:tcPr>
          <w:p>
            <w:pPr>
              <w:pStyle w:val="Compact"/>
              <w:spacing w:line="240" w:lineRule="auto" w:before="20" w:after="20"/>
              <w:ind w:firstLine="0"/>
              <w:jc w:val="right"/>
            </w:pPr>
            <w:r>
              <w:rPr>
                <w:rFonts w:ascii="Times New Roman" w:hAnsi="Times New Roman"/>
                <w:sz w:val="14"/>
              </w:rPr>
              <w:t>60,6</w:t>
            </w:r>
          </w:p>
        </w:tc>
        <w:tc>
          <w:tcPr>
            <w:tcW w:type="dxa" w:w="714"/>
          </w:tcPr>
          <w:p>
            <w:pPr>
              <w:pStyle w:val="Compact"/>
              <w:spacing w:line="240" w:lineRule="auto" w:before="20" w:after="20"/>
              <w:ind w:firstLine="0"/>
              <w:jc w:val="right"/>
            </w:pPr>
            <w:r>
              <w:rPr>
                <w:rFonts w:ascii="Times New Roman" w:hAnsi="Times New Roman"/>
                <w:sz w:val="14"/>
              </w:rPr>
              <w:t>+0,39</w:t>
            </w:r>
          </w:p>
        </w:tc>
        <w:tc>
          <w:tcPr>
            <w:tcW w:type="dxa" w:w="714"/>
          </w:tcPr>
          <w:p>
            <w:pPr>
              <w:pStyle w:val="Compact"/>
              <w:spacing w:line="240" w:lineRule="auto" w:before="20" w:after="20"/>
              <w:ind w:firstLine="0"/>
              <w:jc w:val="right"/>
            </w:pPr>
            <w:r>
              <w:rPr>
                <w:rFonts w:ascii="Times New Roman" w:hAnsi="Times New Roman"/>
                <w:sz w:val="14"/>
              </w:rPr>
              <w:t>+0,98</w:t>
            </w:r>
          </w:p>
        </w:tc>
        <w:tc>
          <w:tcPr>
            <w:tcW w:type="dxa" w:w="714"/>
          </w:tcPr>
          <w:p>
            <w:pPr>
              <w:pStyle w:val="Compact"/>
              <w:spacing w:line="240" w:lineRule="auto" w:before="20" w:after="20"/>
              <w:ind w:firstLine="0"/>
              <w:jc w:val="right"/>
            </w:pPr>
            <w:r>
              <w:rPr>
                <w:rFonts w:ascii="Times New Roman" w:hAnsi="Times New Roman"/>
                <w:sz w:val="14"/>
              </w:rPr>
              <w:t>+1,58</w:t>
            </w:r>
          </w:p>
        </w:tc>
        <w:tc>
          <w:tcPr>
            <w:tcW w:type="dxa" w:w="714"/>
          </w:tcPr>
          <w:p>
            <w:pPr>
              <w:pStyle w:val="Compact"/>
              <w:spacing w:line="240" w:lineRule="auto" w:before="20" w:after="20"/>
              <w:ind w:firstLine="0"/>
              <w:jc w:val="right"/>
            </w:pPr>
            <w:r>
              <w:rPr>
                <w:rFonts w:ascii="Times New Roman" w:hAnsi="Times New Roman"/>
                <w:sz w:val="14"/>
              </w:rPr>
              <w:t>+2,18</w:t>
            </w:r>
          </w:p>
        </w:tc>
        <w:tc>
          <w:tcPr>
            <w:tcW w:type="dxa" w:w="714"/>
          </w:tcPr>
          <w:p>
            <w:pPr>
              <w:pStyle w:val="Compact"/>
              <w:spacing w:line="240" w:lineRule="auto" w:before="20" w:after="20"/>
              <w:ind w:firstLine="0"/>
              <w:jc w:val="right"/>
            </w:pPr>
            <w:r>
              <w:rPr>
                <w:rFonts w:ascii="Times New Roman" w:hAnsi="Times New Roman"/>
                <w:sz w:val="14"/>
              </w:rPr>
              <w:t>+6,41</w:t>
            </w:r>
          </w:p>
        </w:tc>
      </w:tr>
      <w:tr>
        <w:trPr>
          <w:cantSplit/>
        </w:trPr>
        <w:tc>
          <w:tcPr>
            <w:tcW w:type="dxa" w:w="439"/>
          </w:tcPr>
          <w:p>
            <w:pPr>
              <w:pStyle w:val="Compact"/>
              <w:spacing w:line="240" w:lineRule="auto" w:before="20" w:after="20"/>
              <w:ind w:firstLine="0"/>
              <w:jc w:val="left"/>
            </w:pPr>
            <w:r>
              <w:rPr>
                <w:rFonts w:ascii="Times New Roman" w:hAnsi="Times New Roman"/>
                <w:sz w:val="14"/>
              </w:rPr>
              <w:t xml:space="preserve">RS</w:t>
            </w:r>
          </w:p>
        </w:tc>
        <w:tc>
          <w:tcPr>
            <w:tcW w:type="dxa" w:w="1484"/>
          </w:tcPr>
          <w:p>
            <w:pPr>
              <w:pStyle w:val="Compact"/>
              <w:spacing w:line="240" w:lineRule="auto" w:before="20" w:after="20"/>
              <w:ind w:firstLine="0"/>
              <w:jc w:val="right"/>
            </w:pPr>
            <w:r>
              <w:rPr>
                <w:rFonts w:ascii="Times New Roman" w:hAnsi="Times New Roman"/>
                <w:sz w:val="14"/>
              </w:rPr>
              <w:t xml:space="preserve">40,5</w:t>
            </w:r>
          </w:p>
        </w:tc>
        <w:tc>
          <w:tcPr>
            <w:tcW w:type="dxa" w:w="714"/>
          </w:tcPr>
          <w:p>
            <w:pPr>
              <w:pStyle w:val="Compact"/>
              <w:spacing w:line="240" w:lineRule="auto" w:before="20" w:after="20"/>
              <w:ind w:firstLine="0"/>
              <w:jc w:val="right"/>
            </w:pPr>
            <w:r>
              <w:rPr>
                <w:rFonts w:ascii="Times New Roman" w:hAnsi="Times New Roman"/>
                <w:sz w:val="14"/>
              </w:rPr>
              <w:t>43,8</w:t>
            </w:r>
          </w:p>
        </w:tc>
        <w:tc>
          <w:tcPr>
            <w:tcW w:type="dxa" w:w="714"/>
          </w:tcPr>
          <w:p>
            <w:pPr>
              <w:pStyle w:val="Compact"/>
              <w:spacing w:line="240" w:lineRule="auto" w:before="20" w:after="20"/>
              <w:ind w:firstLine="0"/>
              <w:jc w:val="right"/>
            </w:pPr>
            <w:r>
              <w:rPr>
                <w:rFonts w:ascii="Times New Roman" w:hAnsi="Times New Roman"/>
                <w:sz w:val="14"/>
              </w:rPr>
              <w:t xml:space="preserve">45,0</w:t>
            </w:r>
          </w:p>
        </w:tc>
        <w:tc>
          <w:tcPr>
            <w:tcW w:type="dxa" w:w="714"/>
          </w:tcPr>
          <w:p>
            <w:pPr>
              <w:pStyle w:val="Compact"/>
              <w:spacing w:line="240" w:lineRule="auto" w:before="20" w:after="20"/>
              <w:ind w:firstLine="0"/>
              <w:jc w:val="right"/>
            </w:pPr>
            <w:r>
              <w:rPr>
                <w:rFonts w:ascii="Times New Roman" w:hAnsi="Times New Roman"/>
                <w:sz w:val="14"/>
              </w:rPr>
              <w:t>46,2</w:t>
            </w:r>
          </w:p>
        </w:tc>
        <w:tc>
          <w:tcPr>
            <w:tcW w:type="dxa" w:w="714"/>
          </w:tcPr>
          <w:p>
            <w:pPr>
              <w:pStyle w:val="Compact"/>
              <w:spacing w:line="240" w:lineRule="auto" w:before="20" w:after="20"/>
              <w:ind w:firstLine="0"/>
              <w:jc w:val="right"/>
            </w:pPr>
            <w:r>
              <w:rPr>
                <w:rFonts w:ascii="Times New Roman" w:hAnsi="Times New Roman"/>
                <w:sz w:val="14"/>
              </w:rPr>
              <w:t>47,5</w:t>
            </w:r>
          </w:p>
        </w:tc>
        <w:tc>
          <w:tcPr>
            <w:tcW w:type="dxa" w:w="714"/>
          </w:tcPr>
          <w:p>
            <w:pPr>
              <w:pStyle w:val="Compact"/>
              <w:spacing w:line="240" w:lineRule="auto" w:before="20" w:after="20"/>
              <w:ind w:firstLine="0"/>
              <w:jc w:val="right"/>
            </w:pPr>
            <w:r>
              <w:rPr>
                <w:rFonts w:ascii="Times New Roman" w:hAnsi="Times New Roman"/>
                <w:sz w:val="14"/>
              </w:rPr>
              <w:t>50,5</w:t>
            </w:r>
          </w:p>
        </w:tc>
        <w:tc>
          <w:tcPr>
            <w:tcW w:type="dxa" w:w="714"/>
          </w:tcPr>
          <w:p>
            <w:pPr>
              <w:pStyle w:val="Compact"/>
              <w:spacing w:line="240" w:lineRule="auto" w:before="20" w:after="20"/>
              <w:ind w:firstLine="0"/>
              <w:jc w:val="right"/>
            </w:pPr>
            <w:r>
              <w:rPr>
                <w:rFonts w:ascii="Times New Roman" w:hAnsi="Times New Roman"/>
                <w:sz w:val="14"/>
              </w:rPr>
              <w:t>+0,37</w:t>
            </w:r>
          </w:p>
        </w:tc>
        <w:tc>
          <w:tcPr>
            <w:tcW w:type="dxa" w:w="714"/>
          </w:tcPr>
          <w:p>
            <w:pPr>
              <w:pStyle w:val="Compact"/>
              <w:spacing w:line="240" w:lineRule="auto" w:before="20" w:after="20"/>
              <w:ind w:firstLine="0"/>
              <w:jc w:val="right"/>
            </w:pPr>
            <w:r>
              <w:rPr>
                <w:rFonts w:ascii="Times New Roman" w:hAnsi="Times New Roman"/>
                <w:sz w:val="14"/>
              </w:rPr>
              <w:t>+0,94</w:t>
            </w:r>
          </w:p>
        </w:tc>
        <w:tc>
          <w:tcPr>
            <w:tcW w:type="dxa" w:w="714"/>
          </w:tcPr>
          <w:p>
            <w:pPr>
              <w:pStyle w:val="Compact"/>
              <w:spacing w:line="240" w:lineRule="auto" w:before="20" w:after="20"/>
              <w:ind w:firstLine="0"/>
              <w:jc w:val="right"/>
            </w:pPr>
            <w:r>
              <w:rPr>
                <w:rFonts w:ascii="Times New Roman" w:hAnsi="Times New Roman"/>
                <w:sz w:val="14"/>
              </w:rPr>
              <w:t>+1,52</w:t>
            </w:r>
          </w:p>
        </w:tc>
        <w:tc>
          <w:tcPr>
            <w:tcW w:type="dxa" w:w="714"/>
          </w:tcPr>
          <w:p>
            <w:pPr>
              <w:pStyle w:val="Compact"/>
              <w:spacing w:line="240" w:lineRule="auto" w:before="20" w:after="20"/>
              <w:ind w:firstLine="0"/>
              <w:jc w:val="right"/>
            </w:pPr>
            <w:r>
              <w:rPr>
                <w:rFonts w:ascii="Times New Roman" w:hAnsi="Times New Roman"/>
                <w:sz w:val="14"/>
              </w:rPr>
              <w:t>+2,10</w:t>
            </w:r>
          </w:p>
        </w:tc>
        <w:tc>
          <w:tcPr>
            <w:tcW w:type="dxa" w:w="714"/>
          </w:tcPr>
          <w:p>
            <w:pPr>
              <w:pStyle w:val="Compact"/>
              <w:spacing w:line="240" w:lineRule="auto" w:before="20" w:after="20"/>
              <w:ind w:firstLine="0"/>
              <w:jc w:val="right"/>
            </w:pPr>
            <w:r>
              <w:rPr>
                <w:rFonts w:ascii="Times New Roman" w:hAnsi="Times New Roman"/>
                <w:sz w:val="14"/>
              </w:rPr>
              <w:t>+6,14</w:t>
            </w:r>
          </w:p>
        </w:tc>
      </w:tr>
    </w:tbl>
    <w:bookmarkEnd w:id="19"/>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Valores em R$ bilhões, a preços constantes de 2025. A receita-base corresponde à referência estadual de 2025. As projeções incorporam ICMS residual, IBS pelo coeficiente histórico e pelo destino, CGIBS e Seguro-Receita. O cenário sem reforma preserva a participação relativa de 2025 sobre a mesma base nacional projetada. Para o Paraná, a linha destacada utiliza os coeficientes estimados neste estudo com a base auditada, os mesmos da Tabela 3.</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SICONFI/STN; IBGE; EC n.</w:t>
      </w:r>
      <w:r>
        <w:rPr>
          <w:rFonts w:ascii="Times New Roman" w:hAnsi="Times New Roman"/>
          <w:sz w:val="18"/>
          <w:vertAlign w:val="superscript"/>
        </w:rPr>
        <w:t xml:space="preserve">o</w:t>
      </w:r>
      <w:r>
        <w:rPr>
          <w:rFonts w:ascii="Times New Roman" w:hAnsi="Times New Roman"/>
          <w:sz w:val="18"/>
        </w:rPr>
        <w:t xml:space="preserve"> 132/2023; LC n.</w:t>
      </w:r>
      <w:r>
        <w:rPr>
          <w:rFonts w:ascii="Times New Roman" w:hAnsi="Times New Roman"/>
          <w:sz w:val="18"/>
          <w:vertAlign w:val="superscript"/>
        </w:rPr>
        <w:t xml:space="preserve">o</w:t>
      </w:r>
      <w:r>
        <w:rPr>
          <w:rFonts w:ascii="Times New Roman" w:hAnsi="Times New Roman"/>
          <w:sz w:val="18"/>
        </w:rPr>
        <w:t xml:space="preserve"> 214/2025; LC n.</w:t>
      </w:r>
      <w:r>
        <w:rPr>
          <w:rFonts w:ascii="Times New Roman" w:hAnsi="Times New Roman"/>
          <w:sz w:val="18"/>
          <w:vertAlign w:val="superscript"/>
        </w:rPr>
        <w:t xml:space="preserve">o</w:t>
      </w:r>
      <w:r>
        <w:rPr>
          <w:rFonts w:ascii="Times New Roman" w:hAnsi="Times New Roman"/>
          <w:sz w:val="18"/>
        </w:rPr>
        <w:t xml:space="preserve"> 227/2026. Elaboração própria.</w:t>
      </w:r>
    </w:p>
    <w:p>
      <w:pPr>
        <w:pStyle w:val="BodyText"/>
      </w:pPr>
      <w:r>
        <w:t>A Tabela 2 revela variações expressivas entre as unidades da federação nos anos iniciais da transição. Em 2033, as maiores perdas relativas são observadas em Tocantins, com redução de 9,4%, Mato Grosso, com 9,0%, e Espírito Santo, com 7,6%. No outro extremo, os maiores ganhos ocorrem no Amazonas, com 9,1%, Rio de Janeiro, com 6,4%, e Rio Grande do Sul, com 6,1%. O Paraná ocupa posição intermediária: depois de variações próximas de zero entre 2029 e 2032 (de −0,12% a +0,13%), a projeção para 2033 fica aproximadamente 0,8% acima do cenário contrafactual sem reforma.</w:t>
      </w:r>
      <w:r>
        <w:rPr/>
      </w:r>
      <w:r>
        <w:rPr/>
      </w:r>
      <w:r>
        <w:rPr/>
      </w:r>
      <w:r>
        <w:rPr/>
      </w:r>
      <w:r>
        <w:rPr/>
      </w:r>
      <w:r>
        <w:rPr/>
      </w:r>
      <w:r>
        <w:rPr/>
      </w:r>
      <w:r>
        <w:rPr/>
      </w:r>
      <w:r>
        <w:rPr/>
      </w:r>
      <w:r>
        <w:rPr/>
      </w:r>
    </w:p>
    <w:p>
      <w:pPr>
        <w:pStyle w:val="BodyText"/>
      </w:pPr>
      <w:r>
        <w:t xml:space="preserve">A dispersão dos ganhos e perdas decorre sobretudo da regra de transição federativa. Em 2033, embora o ICMS já esteja extinto, 90% do IBS ainda é distribuído pelo componente histórico. Por isso, a variação da receita depende principalmente da diferença entre o coeficiente de participação na transição e a participação de referência de cada estado. O destino já afeta os resultados, mas ainda tem peso menor nesse horizonte.</w:t>
      </w:r>
    </w:p>
    <w:p>
      <w:pPr>
        <w:pStyle w:val="BodyText"/>
      </w:pPr>
      <w:r>
        <w:t xml:space="preserve">O Gráfico 3, apresentado no Anexo A, ajuda a visualizar esse padrão: o eixo vertical traz a variação percentual da receita estadual em 2033 e, em cada painel, o eixo horizontal compara um dos coeficientes com a participação estadual de referência de 2025.</w:t>
      </w:r>
    </w:p>
    <w:p>
      <w:pPr>
        <w:pStyle w:val="BodyText"/>
      </w:pPr>
      <w:r>
        <w:t xml:space="preserve">O painel (a) mostra associação elevada entre a variação da receita e a diferença relativa do coeficiente de participação na transição, com</w:t>
      </w:r>
      <w:r>
        <w:t xml:space="preserve"> </w:t>
      </w:r>
      <m:oMath>
        <m:sSup>
          <m:e>
            <m:r>
              <m:t>R</m:t>
            </m:r>
          </m:e>
          <m:sup>
            <m:r>
              <m:t>2</m:t>
            </m:r>
          </m:sup>
        </m:sSup>
      </m:oMath>
      <w:r>
        <w:t xml:space="preserve"> </w:t>
      </w:r>
      <w:r/>
      <w:r>
        <w:rPr/>
      </w:r>
      <w:r>
        <w:rPr/>
        <w:t>de aproximadamente 0,864</w:t>
      </w:r>
      <w:r>
        <w:rPr/>
      </w:r>
      <w:r>
        <w:rPr/>
        <w:t>. O painel (b), que repete o exercício para o coeficiente de destino, apresenta associação menor, com</w:t>
      </w:r>
      <w:r>
        <w:t xml:space="preserve"> </w:t>
      </w:r>
      <m:oMath>
        <m:sSup>
          <m:e>
            <m:r>
              <m:t>R</m:t>
            </m:r>
          </m:e>
          <m:sup>
            <m:r>
              <m:t>2</m:t>
            </m:r>
          </m:sup>
        </m:sSup>
      </m:oMath>
      <w:r>
        <w:t xml:space="preserve"> </w:t>
      </w:r>
      <w:r/>
      <w:r>
        <w:rPr/>
      </w:r>
      <w:r>
        <w:rPr/>
        <w:t>de aproximadamente 0,240</w:t>
      </w:r>
      <w:r>
        <w:rPr/>
      </w:r>
      <w:r>
        <w:rPr/>
        <w:t>. Esse resultado indica que a heterogeneidade das variações estaduais em 2033 é explicada principalmente pelo componente histórico. O destino já influencia os resultados, mas ainda tem peso menor nesse primeiro momento da transição.</w:t>
      </w:r>
    </w:p>
    <w:bookmarkEnd w:id="20"/>
    <w:bookmarkStart w:id="32" w:name="o-caso-do-paraná"/>
    <w:p>
      <w:pPr>
        <w:pStyle w:val="Heading2"/>
      </w:pPr>
      <w:r>
        <w:rPr>
          <w:rStyle w:val="SectionNumber"/>
        </w:rPr>
        <w:t xml:space="preserve">4.2</w:t>
      </w:r>
      <w:r>
        <w:tab/>
      </w:r>
      <w:r>
        <w:t xml:space="preserve">O caso do Paraná</w:t>
      </w:r>
    </w:p>
    <w:p>
      <w:pPr>
        <w:pStyle w:val="FirstParagraph"/>
      </w:pPr>
      <w:r>
        <w:t xml:space="preserve">A seção anterior indicou que o Paraná ocupa posição próxima à neutralidade no horizonte inicial da reforma. O resultado depende sobretudo da relação entre a participação corrente do Estado, o coeficiente de participação na transição e o coeficiente de destino. Esta subseção explicita primeiro a formação do componente histórico e, em seguida, apresenta a trajetória da receita estadual entre 2029 e 2033.</w:t>
      </w:r>
    </w:p>
    <w:bookmarkStart w:id="25" w:name="coeficiente-de-participação-na-transição"/>
    <w:p>
      <w:pPr>
        <w:pStyle w:val="Heading3"/>
      </w:pPr>
      <w:r>
        <w:rPr>
          <w:rStyle w:val="SectionNumber"/>
        </w:rPr>
        <w:t xml:space="preserve">4.2.1</w:t>
      </w:r>
      <w:r>
        <w:tab/>
      </w:r>
      <w:r>
        <w:t xml:space="preserve">Coeficiente de participação na transição</w:t>
      </w:r>
    </w:p>
    <w:p>
      <w:pPr>
        <w:pStyle w:val="FirstParagraph"/>
      </w:pPr>
      <w:r>
        <w:rPr/>
        <w:t>O Gráfico 1 compara a participação anual do governo estadual do Paraná na arrecadação nacional de referência com o coeficiente calculado pela média de 2019 a 2026, em que 2026 é estimado. A participação oscilou entre 3,9282% e 4,0995% de 2019 a 2025, e a estimativa para 2026 é de 3,8645%. Em 2025, ficou em 3,9360%, abaixo do coeficiente histórico de 3,9798%.</w:t>
      </w:r>
      <w:r>
        <w:rPr/>
      </w:r>
      <w:r>
        <w:rPr/>
      </w:r>
    </w:p>
    <w:bookmarkStart w:id="24" w:name="fig:cpt_pr"/>
    <w:p>
      <w:pPr>
        <w:pStyle w:val="Compact"/>
        <w:keepNext/>
        <w:jc w:val="center"/>
      </w:pPr>
      <w:r>
        <w:drawing>
          <wp:inline>
            <wp:extent cx="5184000" cy="2980798"/>
            <wp:effectExtent b="0" l="0" r="0" t="0"/>
            <wp:docPr descr="" title="" id="22" name="Picture"/>
            <a:graphic>
              <a:graphicData uri="http://schemas.openxmlformats.org/drawingml/2006/picture">
                <pic:pic>
                  <pic:nvPicPr>
                    <pic:cNvPr descr="/tmp/tmp75432f2y/grafico_cpt_pr_participacao_anual_2019_2025_v12.png" id="23" name="Picture"/>
                    <pic:cNvPicPr>
                      <a:picLocks noChangeArrowheads="1" noChangeAspect="1"/>
                    </pic:cNvPicPr>
                  </pic:nvPicPr>
                  <pic:blipFill>
                    <a:blip r:embed="rId21"/>
                    <a:stretch>
                      <a:fillRect/>
                    </a:stretch>
                  </pic:blipFill>
                  <pic:spPr bwMode="auto">
                    <a:xfrm>
                      <a:off x="0" y="0"/>
                      <a:ext cx="5184000" cy="2980798"/>
                    </a:xfrm>
                    <a:prstGeom prst="rect">
                      <a:avLst/>
                    </a:prstGeom>
                    <a:noFill/>
                    <a:ln w="9525">
                      <a:noFill/>
                      <a:headEnd/>
                      <a:tailEnd/>
                    </a:ln>
                  </pic:spPr>
                </pic:pic>
              </a:graphicData>
            </a:graphic>
          </wp:inline>
        </w:drawing>
      </w:r>
    </w:p>
    <w:p>
      <w:pPr>
        <w:pStyle w:val="ImageCaption"/>
      </w:pPr>
      <w:r>
        <w:rPr>
          <w:b/>
          <w:bCs/>
        </w:rPr>
        <w:t xml:space="preserve">Gráfico 1:</w:t>
      </w:r>
      <w:r>
        <w:t xml:space="preserve"> Participação anual do governo estadual do Paraná e coeficiente de participação na transição, </w:t>
      </w:r>
      <w:r>
        <w:rPr/>
        <w:t>2019 a 2026 (2026 estimado)</w:t>
      </w:r>
      <w:r>
        <w:rPr/>
      </w:r>
    </w:p>
    <w:p>
      <w:pPr>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A participação anual corresponde à receita estadual de referência do Paraná em cada exercício, atualizada pela mesma razão nacional utilizada no cálculo do coeficiente, dividida pela base nacional de 2025. A linha tracejada representa o coeficiente de participação na transição, </w:t>
      </w:r>
      <w:r>
        <w:rPr>
          <w:rFonts w:ascii="Times New Roman" w:hAnsi="Times New Roman"/>
          <w:sz w:val="18"/>
        </w:rPr>
        <w:t>igual à média das oito participações anuais. O ponto de 2026, em marcador vazado, é estimado a partir do RREO de janeiro a agosto e é provisório.</w:t>
      </w:r>
      <w:r>
        <w:rPr>
          <w:rFonts w:ascii="Times New Roman" w:hAnsi="Times New Roman"/>
          <w:sz w:val="18"/>
        </w:rPr>
      </w:r>
    </w:p>
    <w:p>
      <w:pPr>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SICONFI/STN, DCA Anexo I-C </w:t>
      </w:r>
      <w:r>
        <w:rPr>
          <w:rFonts w:ascii="Times New Roman" w:hAnsi="Times New Roman"/>
          <w:sz w:val="18"/>
        </w:rPr>
        <w:t>(2019 a 2025) e RREO (2026)</w:t>
      </w:r>
      <w:r>
        <w:rPr>
          <w:rFonts w:ascii="Times New Roman" w:hAnsi="Times New Roman"/>
          <w:sz w:val="18"/>
        </w:rPr>
        <w:t>. Elaboração própria.</w:t>
      </w:r>
    </w:p>
    <w:bookmarkEnd w:id="24"/>
    <w:p>
      <w:pPr>
        <w:pStyle w:val="BodyText"/>
      </w:pPr>
      <w:r>
        <w:rPr/>
        <w:t>Esse resultado é importante porque o coeficiente histórico permanece dominante no horizonte inicial. O Paraná recebe 3,9798% do bloco estadual distribuído segundo a transição, participação 1,1% superior à referência de 2025, de 3,9360%. Também acima da referência, em 4,9%, está o coeficiente estadual estimado pelo destino, de 4,1298%. Esses ganhos de coeficiente são, porém, em grande parte compensados pela retenção do Seguro-Receita, da qual o Estado não é beneficiário, e pela dedução do CGIBS, o que mantém a receita estadual próxima do cenário sem reforma. A memória de cálculo completa permanece na Tabela A.2.</w:t>
      </w:r>
      <w:r>
        <w:rPr/>
      </w:r>
      <w:r>
        <w:rPr/>
      </w:r>
      <w:r>
        <w:rPr/>
      </w:r>
      <w:r>
        <w:rPr/>
      </w:r>
      <w:r>
        <w:rPr/>
      </w:r>
      <w:r>
        <w:rPr/>
      </w:r>
    </w:p>
    <w:bookmarkEnd w:id="25"/>
    <w:bookmarkStart w:id="31" w:name="projeção-da-receita-estadual-2029-a-2033"/>
    <w:p>
      <w:pPr>
        <w:pStyle w:val="Heading3"/>
      </w:pPr>
      <w:r>
        <w:rPr>
          <w:rStyle w:val="SectionNumber"/>
        </w:rPr>
        <w:t xml:space="preserve">4.2.2</w:t>
      </w:r>
      <w:r>
        <w:tab/>
      </w:r>
      <w:r>
        <w:t xml:space="preserve">Projeção da receita estadual, 2029 a 2033</w:t>
      </w:r>
    </w:p>
    <w:p>
      <w:pPr>
        <w:pStyle w:val="FirstParagraph"/>
      </w:pPr>
      <w:r>
        <w:t xml:space="preserve">A Tabela 3 apresenta as projeções anuais e as compara com o cenário sem reforma.</w:t>
      </w:r>
    </w:p>
    <w:bookmarkStart w:id="26" w:name="tab:pr"/>
    <w:p>
      <w:pPr>
        <w:pStyle w:val="TableCaption"/>
      </w:pPr>
      <w:r>
        <w:rPr>
          <w:b/>
          <w:bCs/>
        </w:rPr>
        <w:t xml:space="preserve">Tabela 3:</w:t>
      </w:r>
      <w:r>
        <w:t xml:space="preserve"> Projeção da receita estadual do Paraná, 2029 a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3: Projeção da receita estadual do Paraná, 2029 a 2033"/>
      </w:tblPr>
      <w:tblGrid>
        <w:gridCol w:w="968"/>
        <w:gridCol w:w="2290"/>
        <w:gridCol w:w="2290"/>
        <w:gridCol w:w="1673"/>
        <w:gridCol w:w="1849"/>
      </w:tblGrid>
      <w:tr>
        <w:trPr>
          <w:tblHeader w:val="on"/>
          <w:cantSplit/>
          <w:tblHeader/>
        </w:trPr>
        <w:tc>
          <w:tcPr>
            <w:tcW w:type="dxa" w:w="96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Ano</w:t>
            </w:r>
          </w:p>
        </w:tc>
        <w:tc>
          <w:tcPr>
            <w:tcW w:type="dxa" w:w="229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Cenário sem reforma</w:t>
            </w:r>
            <w:r>
              <w:rPr>
                <w:rFonts w:ascii="Times New Roman" w:hAnsi="Times New Roman"/>
                <w:b/>
                <w:sz w:val="18"/>
              </w:rPr>
              <w:br/>
            </w:r>
            <w:r>
              <w:rPr>
                <w:rFonts w:ascii="Times New Roman" w:hAnsi="Times New Roman"/>
                <w:b/>
                <w:bCs/>
                <w:sz w:val="18"/>
              </w:rPr>
              <w:t xml:space="preserve">R$ bi</w:t>
            </w:r>
          </w:p>
        </w:tc>
        <w:tc>
          <w:tcPr>
            <w:tcW w:type="dxa" w:w="229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Receita com reforma</w:t>
            </w:r>
            <w:r>
              <w:rPr>
                <w:rFonts w:ascii="Times New Roman" w:hAnsi="Times New Roman"/>
                <w:b/>
                <w:sz w:val="18"/>
              </w:rPr>
              <w:br/>
            </w:r>
            <w:r>
              <w:rPr>
                <w:rFonts w:ascii="Times New Roman" w:hAnsi="Times New Roman"/>
                <w:b/>
                <w:bCs/>
                <w:sz w:val="18"/>
              </w:rPr>
              <w:t xml:space="preserve">R$ bi</w:t>
            </w:r>
          </w:p>
        </w:tc>
        <w:tc>
          <w:tcPr>
            <w:tcW w:type="dxa" w:w="167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Variação (%)</w:t>
            </w:r>
          </w:p>
        </w:tc>
        <w:tc>
          <w:tcPr>
            <w:tcW w:type="dxa" w:w="184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Diferença</w:t>
            </w:r>
            <w:r>
              <w:rPr>
                <w:rFonts w:ascii="Times New Roman" w:hAnsi="Times New Roman"/>
                <w:b/>
                <w:sz w:val="18"/>
              </w:rPr>
              <w:br/>
            </w:r>
            <w:r>
              <w:rPr>
                <w:rFonts w:ascii="Times New Roman" w:hAnsi="Times New Roman"/>
                <w:b/>
                <w:bCs/>
                <w:sz w:val="18"/>
              </w:rPr>
              <w:t xml:space="preserve">R$ mi</w:t>
            </w:r>
          </w:p>
        </w:tc>
      </w:tr>
      <w:tr>
        <w:trPr>
          <w:cantSplit/>
        </w:trPr>
        <w:tc>
          <w:tcPr>
            <w:tcW w:type="dxa" w:w="968"/>
          </w:tcPr>
          <w:p>
            <w:pPr>
              <w:pStyle w:val="Compact"/>
              <w:spacing w:line="240" w:lineRule="auto" w:before="20" w:after="20"/>
              <w:ind w:firstLine="0"/>
              <w:jc w:val="left"/>
            </w:pPr>
            <w:r>
              <w:rPr>
                <w:rFonts w:ascii="Times New Roman" w:hAnsi="Times New Roman"/>
                <w:sz w:val="18"/>
              </w:rPr>
              <w:t xml:space="preserve">2029</w:t>
            </w:r>
          </w:p>
        </w:tc>
        <w:tc>
          <w:tcPr>
            <w:tcW w:type="dxa" w:w="2290"/>
          </w:tcPr>
          <w:p>
            <w:pPr>
              <w:pStyle w:val="Compact"/>
              <w:spacing w:line="240" w:lineRule="auto" w:before="20" w:after="20"/>
              <w:ind w:firstLine="0"/>
              <w:jc w:val="right"/>
            </w:pPr>
            <w:r>
              <w:rPr>
                <w:rFonts w:ascii="Times New Roman" w:hAnsi="Times New Roman"/>
                <w:sz w:val="18"/>
              </w:rPr>
              <w:t>43,31</w:t>
            </w:r>
          </w:p>
        </w:tc>
        <w:tc>
          <w:tcPr>
            <w:tcW w:type="dxa" w:w="2290"/>
          </w:tcPr>
          <w:p>
            <w:pPr>
              <w:pStyle w:val="Compact"/>
              <w:spacing w:line="240" w:lineRule="auto" w:before="20" w:after="20"/>
              <w:ind w:firstLine="0"/>
              <w:jc w:val="right"/>
            </w:pPr>
            <w:r>
              <w:rPr>
                <w:rFonts w:ascii="Times New Roman" w:hAnsi="Times New Roman"/>
                <w:sz w:val="18"/>
              </w:rPr>
              <w:t>43,26</w:t>
            </w:r>
          </w:p>
        </w:tc>
        <w:tc>
          <w:tcPr>
            <w:tcW w:type="dxa" w:w="1673"/>
          </w:tcPr>
          <w:p>
            <w:pPr>
              <w:pStyle w:val="Compact"/>
              <w:spacing w:line="240" w:lineRule="auto" w:before="20" w:after="20"/>
              <w:ind w:firstLine="0"/>
              <w:jc w:val="right"/>
            </w:pPr>
            <w:r>
              <w:rPr>
                <w:rFonts w:ascii="Times New Roman" w:hAnsi="Times New Roman"/>
                <w:sz w:val="18"/>
              </w:rPr>
              <w:t>−0,12%</w:t>
            </w:r>
          </w:p>
        </w:tc>
        <w:tc>
          <w:tcPr>
            <w:tcW w:type="dxa" w:w="1849"/>
          </w:tcPr>
          <w:p>
            <w:pPr>
              <w:pStyle w:val="Compact"/>
              <w:spacing w:line="240" w:lineRule="auto" w:before="20" w:after="20"/>
              <w:ind w:firstLine="0"/>
              <w:jc w:val="right"/>
            </w:pPr>
            <w:r>
              <w:rPr>
                <w:rFonts w:ascii="Times New Roman" w:hAnsi="Times New Roman"/>
                <w:sz w:val="18"/>
              </w:rPr>
              <w:t>−52</w:t>
            </w:r>
          </w:p>
        </w:tc>
      </w:tr>
      <w:tr>
        <w:trPr>
          <w:cantSplit/>
        </w:trPr>
        <w:tc>
          <w:tcPr>
            <w:tcW w:type="dxa" w:w="968"/>
          </w:tcPr>
          <w:p>
            <w:pPr>
              <w:pStyle w:val="Compact"/>
              <w:spacing w:line="240" w:lineRule="auto" w:before="20" w:after="20"/>
              <w:ind w:firstLine="0"/>
              <w:jc w:val="left"/>
            </w:pPr>
            <w:r>
              <w:rPr>
                <w:rFonts w:ascii="Times New Roman" w:hAnsi="Times New Roman"/>
                <w:sz w:val="18"/>
              </w:rPr>
              <w:t xml:space="preserve">2030</w:t>
            </w:r>
          </w:p>
        </w:tc>
        <w:tc>
          <w:tcPr>
            <w:tcW w:type="dxa" w:w="2290"/>
          </w:tcPr>
          <w:p>
            <w:pPr>
              <w:pStyle w:val="Compact"/>
              <w:spacing w:line="240" w:lineRule="auto" w:before="20" w:after="20"/>
              <w:ind w:firstLine="0"/>
              <w:jc w:val="right"/>
            </w:pPr>
            <w:r>
              <w:rPr>
                <w:rFonts w:ascii="Times New Roman" w:hAnsi="Times New Roman"/>
                <w:sz w:val="18"/>
              </w:rPr>
              <w:t>44,18</w:t>
            </w:r>
          </w:p>
        </w:tc>
        <w:tc>
          <w:tcPr>
            <w:tcW w:type="dxa" w:w="2290"/>
          </w:tcPr>
          <w:p>
            <w:pPr>
              <w:pStyle w:val="Compact"/>
              <w:spacing w:line="240" w:lineRule="auto" w:before="20" w:after="20"/>
              <w:ind w:firstLine="0"/>
              <w:jc w:val="right"/>
            </w:pPr>
            <w:r>
              <w:rPr>
                <w:rFonts w:ascii="Times New Roman" w:hAnsi="Times New Roman"/>
                <w:sz w:val="18"/>
              </w:rPr>
              <w:t>44,16</w:t>
            </w:r>
          </w:p>
        </w:tc>
        <w:tc>
          <w:tcPr>
            <w:tcW w:type="dxa" w:w="1673"/>
          </w:tcPr>
          <w:p>
            <w:pPr>
              <w:pStyle w:val="Compact"/>
              <w:spacing w:line="240" w:lineRule="auto" w:before="20" w:after="20"/>
              <w:ind w:firstLine="0"/>
              <w:jc w:val="right"/>
            </w:pPr>
            <w:r>
              <w:rPr>
                <w:rFonts w:ascii="Times New Roman" w:hAnsi="Times New Roman"/>
                <w:sz w:val="18"/>
              </w:rPr>
              <w:t>−0,04%</w:t>
            </w:r>
          </w:p>
        </w:tc>
        <w:tc>
          <w:tcPr>
            <w:tcW w:type="dxa" w:w="1849"/>
          </w:tcPr>
          <w:p>
            <w:pPr>
              <w:pStyle w:val="Compact"/>
              <w:spacing w:line="240" w:lineRule="auto" w:before="20" w:after="20"/>
              <w:ind w:firstLine="0"/>
              <w:jc w:val="right"/>
            </w:pPr>
            <w:r>
              <w:rPr>
                <w:rFonts w:ascii="Times New Roman" w:hAnsi="Times New Roman"/>
                <w:sz w:val="18"/>
              </w:rPr>
              <w:t>−16</w:t>
            </w:r>
          </w:p>
        </w:tc>
      </w:tr>
      <w:tr>
        <w:trPr>
          <w:cantSplit/>
        </w:trPr>
        <w:tc>
          <w:tcPr>
            <w:tcW w:type="dxa" w:w="968"/>
          </w:tcPr>
          <w:p>
            <w:pPr>
              <w:pStyle w:val="Compact"/>
              <w:spacing w:line="240" w:lineRule="auto" w:before="20" w:after="20"/>
              <w:ind w:firstLine="0"/>
              <w:jc w:val="left"/>
            </w:pPr>
            <w:r>
              <w:rPr>
                <w:rFonts w:ascii="Times New Roman" w:hAnsi="Times New Roman"/>
                <w:sz w:val="18"/>
              </w:rPr>
              <w:t xml:space="preserve">2031</w:t>
            </w:r>
          </w:p>
        </w:tc>
        <w:tc>
          <w:tcPr>
            <w:tcW w:type="dxa" w:w="2290"/>
          </w:tcPr>
          <w:p>
            <w:pPr>
              <w:pStyle w:val="Compact"/>
              <w:spacing w:line="240" w:lineRule="auto" w:before="20" w:after="20"/>
              <w:ind w:firstLine="0"/>
              <w:jc w:val="right"/>
            </w:pPr>
            <w:r>
              <w:rPr>
                <w:rFonts w:ascii="Times New Roman" w:hAnsi="Times New Roman"/>
                <w:sz w:val="18"/>
              </w:rPr>
              <w:t>45,15</w:t>
            </w:r>
          </w:p>
        </w:tc>
        <w:tc>
          <w:tcPr>
            <w:tcW w:type="dxa" w:w="2290"/>
          </w:tcPr>
          <w:p>
            <w:pPr>
              <w:pStyle w:val="Compact"/>
              <w:spacing w:line="240" w:lineRule="auto" w:before="20" w:after="20"/>
              <w:ind w:firstLine="0"/>
              <w:jc w:val="right"/>
            </w:pPr>
            <w:r>
              <w:rPr>
                <w:rFonts w:ascii="Times New Roman" w:hAnsi="Times New Roman"/>
                <w:sz w:val="18"/>
              </w:rPr>
              <w:t>45,17</w:t>
            </w:r>
          </w:p>
        </w:tc>
        <w:tc>
          <w:tcPr>
            <w:tcW w:type="dxa" w:w="1673"/>
          </w:tcPr>
          <w:p>
            <w:pPr>
              <w:pStyle w:val="Compact"/>
              <w:spacing w:line="240" w:lineRule="auto" w:before="20" w:after="20"/>
              <w:ind w:firstLine="0"/>
              <w:jc w:val="right"/>
            </w:pPr>
            <w:r>
              <w:rPr>
                <w:rFonts w:ascii="Times New Roman" w:hAnsi="Times New Roman"/>
                <w:sz w:val="18"/>
              </w:rPr>
              <w:t>+0,04%</w:t>
            </w:r>
          </w:p>
        </w:tc>
        <w:tc>
          <w:tcPr>
            <w:tcW w:type="dxa" w:w="1849"/>
          </w:tcPr>
          <w:p>
            <w:pPr>
              <w:pStyle w:val="Compact"/>
              <w:spacing w:line="240" w:lineRule="auto" w:before="20" w:after="20"/>
              <w:ind w:firstLine="0"/>
              <w:jc w:val="right"/>
            </w:pPr>
            <w:r>
              <w:rPr>
                <w:rFonts w:ascii="Times New Roman" w:hAnsi="Times New Roman"/>
                <w:sz w:val="18"/>
              </w:rPr>
              <w:t>+20</w:t>
            </w:r>
          </w:p>
        </w:tc>
      </w:tr>
      <w:tr>
        <w:trPr>
          <w:cantSplit/>
        </w:trPr>
        <w:tc>
          <w:tcPr>
            <w:tcW w:type="dxa" w:w="968"/>
          </w:tcPr>
          <w:p>
            <w:pPr>
              <w:pStyle w:val="Compact"/>
              <w:spacing w:line="240" w:lineRule="auto" w:before="20" w:after="20"/>
              <w:ind w:firstLine="0"/>
              <w:jc w:val="left"/>
            </w:pPr>
            <w:r>
              <w:rPr>
                <w:rFonts w:ascii="Times New Roman" w:hAnsi="Times New Roman"/>
                <w:sz w:val="18"/>
              </w:rPr>
              <w:t xml:space="preserve">2032</w:t>
            </w:r>
          </w:p>
        </w:tc>
        <w:tc>
          <w:tcPr>
            <w:tcW w:type="dxa" w:w="2290"/>
          </w:tcPr>
          <w:p>
            <w:pPr>
              <w:pStyle w:val="Compact"/>
              <w:spacing w:line="240" w:lineRule="auto" w:before="20" w:after="20"/>
              <w:ind w:firstLine="0"/>
              <w:jc w:val="right"/>
            </w:pPr>
            <w:r>
              <w:rPr>
                <w:rFonts w:ascii="Times New Roman" w:hAnsi="Times New Roman"/>
                <w:sz w:val="18"/>
              </w:rPr>
              <w:t>46,14</w:t>
            </w:r>
          </w:p>
        </w:tc>
        <w:tc>
          <w:tcPr>
            <w:tcW w:type="dxa" w:w="2290"/>
          </w:tcPr>
          <w:p>
            <w:pPr>
              <w:pStyle w:val="Compact"/>
              <w:spacing w:line="240" w:lineRule="auto" w:before="20" w:after="20"/>
              <w:ind w:firstLine="0"/>
              <w:jc w:val="right"/>
            </w:pPr>
            <w:r>
              <w:rPr>
                <w:rFonts w:ascii="Times New Roman" w:hAnsi="Times New Roman"/>
                <w:sz w:val="18"/>
              </w:rPr>
              <w:t>46,20</w:t>
            </w:r>
          </w:p>
        </w:tc>
        <w:tc>
          <w:tcPr>
            <w:tcW w:type="dxa" w:w="1673"/>
          </w:tcPr>
          <w:p>
            <w:pPr>
              <w:pStyle w:val="Compact"/>
              <w:spacing w:line="240" w:lineRule="auto" w:before="20" w:after="20"/>
              <w:ind w:firstLine="0"/>
              <w:jc w:val="right"/>
            </w:pPr>
            <w:r>
              <w:rPr>
                <w:rFonts w:ascii="Times New Roman" w:hAnsi="Times New Roman"/>
                <w:sz w:val="18"/>
              </w:rPr>
              <w:t>+0,13%</w:t>
            </w:r>
          </w:p>
        </w:tc>
        <w:tc>
          <w:tcPr>
            <w:tcW w:type="dxa" w:w="1849"/>
          </w:tcPr>
          <w:p>
            <w:pPr>
              <w:pStyle w:val="Compact"/>
              <w:spacing w:line="240" w:lineRule="auto" w:before="20" w:after="20"/>
              <w:ind w:firstLine="0"/>
              <w:jc w:val="right"/>
            </w:pPr>
            <w:r>
              <w:rPr>
                <w:rFonts w:ascii="Times New Roman" w:hAnsi="Times New Roman"/>
                <w:sz w:val="18"/>
              </w:rPr>
              <w:t>+59</w:t>
            </w:r>
          </w:p>
        </w:tc>
      </w:tr>
      <w:tr>
        <w:trPr>
          <w:cantSplit/>
        </w:trPr>
        <w:tc>
          <w:tcPr>
            <w:tcW w:type="dxa" w:w="968"/>
          </w:tcPr>
          <w:p>
            <w:pPr>
              <w:pStyle w:val="Compact"/>
              <w:spacing w:line="240" w:lineRule="auto" w:before="20" w:after="20"/>
              <w:ind w:firstLine="0"/>
              <w:jc w:val="left"/>
            </w:pPr>
            <w:r>
              <w:rPr>
                <w:rFonts w:ascii="Times New Roman" w:hAnsi="Times New Roman"/>
                <w:sz w:val="18"/>
              </w:rPr>
              <w:t xml:space="preserve">2033</w:t>
            </w:r>
          </w:p>
        </w:tc>
        <w:tc>
          <w:tcPr>
            <w:tcW w:type="dxa" w:w="2290"/>
          </w:tcPr>
          <w:p>
            <w:pPr>
              <w:pStyle w:val="Compact"/>
              <w:spacing w:line="240" w:lineRule="auto" w:before="20" w:after="20"/>
              <w:ind w:firstLine="0"/>
              <w:jc w:val="right"/>
            </w:pPr>
            <w:r>
              <w:rPr>
                <w:rFonts w:ascii="Times New Roman" w:hAnsi="Times New Roman"/>
                <w:sz w:val="18"/>
              </w:rPr>
              <w:t>47,16</w:t>
            </w:r>
          </w:p>
        </w:tc>
        <w:tc>
          <w:tcPr>
            <w:tcW w:type="dxa" w:w="2290"/>
          </w:tcPr>
          <w:p>
            <w:pPr>
              <w:pStyle w:val="Compact"/>
              <w:spacing w:line="240" w:lineRule="auto" w:before="20" w:after="20"/>
              <w:ind w:firstLine="0"/>
              <w:jc w:val="right"/>
            </w:pPr>
            <w:r>
              <w:rPr>
                <w:rFonts w:ascii="Times New Roman" w:hAnsi="Times New Roman"/>
                <w:sz w:val="18"/>
              </w:rPr>
              <w:t>47,52</w:t>
            </w:r>
          </w:p>
        </w:tc>
        <w:tc>
          <w:tcPr>
            <w:tcW w:type="dxa" w:w="1673"/>
          </w:tcPr>
          <w:p>
            <w:pPr>
              <w:pStyle w:val="Compact"/>
              <w:spacing w:line="240" w:lineRule="auto" w:before="20" w:after="20"/>
              <w:ind w:firstLine="0"/>
              <w:jc w:val="right"/>
            </w:pPr>
            <w:r>
              <w:rPr>
                <w:rFonts w:ascii="Times New Roman" w:hAnsi="Times New Roman"/>
                <w:sz w:val="18"/>
              </w:rPr>
              <w:t>+0,77%</w:t>
            </w:r>
          </w:p>
        </w:tc>
        <w:tc>
          <w:tcPr>
            <w:tcW w:type="dxa" w:w="1849"/>
          </w:tcPr>
          <w:p>
            <w:pPr>
              <w:pStyle w:val="Compact"/>
              <w:spacing w:line="240" w:lineRule="auto" w:before="20" w:after="20"/>
              <w:ind w:firstLine="0"/>
              <w:jc w:val="right"/>
            </w:pPr>
            <w:r>
              <w:rPr>
                <w:rFonts w:ascii="Times New Roman" w:hAnsi="Times New Roman"/>
                <w:sz w:val="18"/>
              </w:rPr>
              <w:t>+361</w:t>
            </w:r>
          </w:p>
        </w:tc>
      </w:tr>
    </w:tbl>
    <w:bookmarkEnd w:id="26"/>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Valores a preços constantes de 2025. A diferença corresponde à receita projetada sob a reforma menos a receita do cenário contrafactual sem reforma.</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SICONFI/STN; IBGE; EC n.</w:t>
      </w:r>
      <w:r>
        <w:rPr>
          <w:rFonts w:ascii="Times New Roman" w:hAnsi="Times New Roman"/>
          <w:sz w:val="18"/>
          <w:vertAlign w:val="superscript"/>
        </w:rPr>
        <w:t xml:space="preserve">o</w:t>
      </w:r>
      <w:r>
        <w:rPr>
          <w:rFonts w:ascii="Times New Roman" w:hAnsi="Times New Roman"/>
          <w:sz w:val="18"/>
        </w:rPr>
        <w:t xml:space="preserve"> 132/2023; LC n.</w:t>
      </w:r>
      <w:r>
        <w:rPr>
          <w:rFonts w:ascii="Times New Roman" w:hAnsi="Times New Roman"/>
          <w:sz w:val="18"/>
          <w:vertAlign w:val="superscript"/>
        </w:rPr>
        <w:t xml:space="preserve">o</w:t>
      </w:r>
      <w:r>
        <w:rPr>
          <w:rFonts w:ascii="Times New Roman" w:hAnsi="Times New Roman"/>
          <w:sz w:val="18"/>
        </w:rPr>
        <w:t xml:space="preserve"> 214/2025; LC n.</w:t>
      </w:r>
      <w:r>
        <w:rPr>
          <w:rFonts w:ascii="Times New Roman" w:hAnsi="Times New Roman"/>
          <w:sz w:val="18"/>
          <w:vertAlign w:val="superscript"/>
        </w:rPr>
        <w:t xml:space="preserve">o</w:t>
      </w:r>
      <w:r>
        <w:rPr>
          <w:rFonts w:ascii="Times New Roman" w:hAnsi="Times New Roman"/>
          <w:sz w:val="18"/>
        </w:rPr>
        <w:t xml:space="preserve"> 227/2026. Elaboração própria.</w:t>
      </w:r>
    </w:p>
    <w:p>
      <w:pPr>
        <w:pStyle w:val="BodyText"/>
      </w:pPr>
      <w:r>
        <w:rPr/>
        <w:t>A Tabela 3 indica pequenas perdas em 2029 e 2030 (R$ 52 milhões e R$ 16 milhões) e ganhos crescentes a partir de 2031, que chegam a cerca de R$ 361 milhões, ou 0,77%, em 2033. No acumulado de 2029 a 2033, a diferença é positiva em aproximadamente R$ 373 milhões. O resultado caracteriza uma transição praticamente neutra para o governo estadual no horizonte analisado, com ligeiro ganho.</w:t>
      </w:r>
      <w:r>
        <w:rPr/>
      </w:r>
      <w:r>
        <w:rPr/>
      </w:r>
      <w:r>
        <w:rPr/>
      </w:r>
      <w:r>
        <w:rPr/>
      </w:r>
    </w:p>
    <w:p>
      <w:pPr>
        <w:pStyle w:val="BodyText"/>
      </w:pPr>
      <w:r>
        <w:rPr/>
        <w:t>A mudança de sinal decorre da composição da receita. Entre 2029 e 2032, apenas a parcela substituída pelo IBS se afasta do cenário sem reforma. Em 2029, as vantagens dos coeficientes histórico (+0,09 ponto percentual do cenário sem reforma) e de destino (+0,09) são superadas pela retenção do Seguro-Receita (−0,10) e pela dedução do CGIBS (−0,20), e o saldo é de −0,12%. As vantagens crescem com a parcela do IBS, enquanto a dedução do CGIBS permanece em torno de −0,20; o saldo muda de sinal em 2031 e chega a +0,13% em 2032. Em 2033, o ICMS é extinto, o peso do componente histórico sobe de 80% para 90% e o limite de dedução do CGIBS cai para 0,20%: o componente histórico contribui com +1,00 ponto percentual e o destino com +0,47, contra −0,50 do Seguro-Receita e −0,20 do CGIBS, o que resulta em +0,77%.</w:t>
      </w:r>
      <w:r>
        <w:rPr/>
      </w:r>
      <w:r>
        <w:rPr/>
      </w:r>
      <w:r>
        <w:rPr/>
      </w:r>
      <w:r>
        <w:rPr/>
      </w:r>
      <w:r>
        <w:rPr/>
      </w:r>
      <w:r>
        <w:rPr/>
      </w:r>
    </w:p>
    <w:p>
      <w:pPr>
        <w:pStyle w:val="BodyText"/>
      </w:pPr>
      <w:r>
        <w:t>O Gráfico 2(a) examina a robustez dessa trajetória a duas escolhas de modelagem. A primeira é o ano-base do contrafactual, para o qual, além de 2025, consideram-se a estimativa de 2026, a média de 2019 a 2026, equivalente ao coeficiente histórico, e o ano de 2019. A segunda é o coeficiente de destino, que varia 8% para mais e para menos em torno do valor central. Em 2033, a variação projetada fica entre −2,4% e +3,4% no conjunto das combinações, e entre −1,6% e +2,6% quando apenas o ano-base muda. A trajetória central, de +0,8%, situa-se no interior dessa faixa, cujo limite superior corresponde à base de 2026, em que a participação do Estado é menor, e cujo limite inferior corresponde à base de 2019, em que é maior. A relativa neutralidade é, portanto, robusta em ordem de grandeza, mas o sinal do resultado depende da referência adotada, o que justifica apresentá-lo como uma faixa, e não como um valor pontual.</w:t>
      </w:r>
      <w:r>
        <w:rPr/>
      </w:r>
      <w:r>
        <w:rPr/>
      </w:r>
    </w:p>
    <w:p>
      <w:pPr>
        <w:pStyle w:val="BodyText"/>
      </w:pPr>
      <w:r>
        <w:rPr/>
        <w:t>A proximidade da neutralidade se mantém quando o cronograma legal é estendido. A partir de 2034, o peso do componente histórico cai dois pontos percentuais por ano, de 90% em 2033 para 2% em 2077, enquanto o destino passa de 10% para 98%. Mantidos os coeficientes estimados e as demais hipóteses do modelo, a receita estadual do Paraná passa de +0,77% em relação ao cenário sem reforma em 2033 para +0,6% em 2040, +0,3% em 2050, 0,0% em 2060, −0,3% em 2070 e −0,5% em 2077 (Gráfico 2, painel b). A trajetória decorre de o coeficiente estadual de destino, 4,1298%, superar a participação de referência de 2025, 3,9360%, em apenas 4,9%, diferença menor que a retenção de 5% do Seguro-Receita, da qual o Estado não é beneficiário, e que a dedução do CGIBS. Esse resultado de longo prazo é, contudo, o mais sensível à estimativa do destino: a incerteza de um desvio-padrão é de ±0,8 ponto percentual em 2033 e de ±7,8 pontos percentuais em 2077, de modo que os dados atuais não determinam o sinal da diferença no fim do cronograma.</w:t>
      </w:r>
      <w:r>
        <w:rPr/>
      </w:r>
      <w:r>
        <w:rPr/>
      </w:r>
      <w:r>
        <w:rPr/>
      </w:r>
      <w:r>
        <w:rPr/>
      </w:r>
      <w:r>
        <w:rPr/>
      </w:r>
      <w:r>
        <w:rPr/>
      </w:r>
    </w:p>
    <w:bookmarkStart w:id="30" w:name="fig:longo_pr"/>
    <w:p>
      <w:pPr>
        <w:pStyle w:val="Compact"/>
        <w:keepNext/>
        <w:jc w:val="center"/>
      </w:pPr>
      <w:r>
        <w:drawing>
          <wp:inline>
            <wp:extent cx="5184000" cy="2888401"/>
            <wp:effectExtent b="0" l="0" r="0" t="0"/>
            <wp:docPr descr="" title="" id="28" name="Picture"/>
            <a:graphic>
              <a:graphicData uri="http://schemas.openxmlformats.org/drawingml/2006/picture">
                <pic:pic>
                  <pic:nvPicPr>
                    <pic:cNvPr descr="../v20/fig/grafico_niveis_pr_2029_2077.png" id="29" name="Picture"/>
                    <pic:cNvPicPr>
                      <a:picLocks noChangeArrowheads="1" noChangeAspect="1"/>
                    </pic:cNvPicPr>
                  </pic:nvPicPr>
                  <pic:blipFill>
                    <a:blip r:embed="rId27"/>
                    <a:stretch>
                      <a:fillRect/>
                    </a:stretch>
                  </pic:blipFill>
                  <pic:spPr bwMode="auto">
                    <a:xfrm>
                      <a:off x="0" y="0"/>
                      <a:ext cx="5184000" cy="2888401"/>
                    </a:xfrm>
                    <a:prstGeom prst="rect">
                      <a:avLst/>
                    </a:prstGeom>
                    <a:noFill/>
                    <a:ln w="9525">
                      <a:noFill/>
                      <a:headEnd/>
                      <a:tailEnd/>
                    </a:ln>
                  </pic:spPr>
                </pic:pic>
              </a:graphicData>
            </a:graphic>
          </wp:inline>
        </w:drawing>
      </w:r>
    </w:p>
    <w:p>
      <w:pPr>
        <w:pStyle w:val="ImageCaption"/>
      </w:pPr>
      <w:r>
        <w:rPr>
          <w:b/>
          <w:bCs/>
        </w:rPr>
        <w:t xml:space="preserve">Gráfico 2:</w:t>
      </w:r>
      <w:r>
        <w:t xml:space="preserve"> Variação da receita estadual do Paraná em relação ao cenário sem reforma, 2029 a 2033 (sensibilidade), e receita estadual com e sem reforma até 2077</w:t>
      </w:r>
    </w:p>
    <w:p>
      <w:pPr>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No painel (a), a linha central usa 2025 como ano-base do contrafactual e o coeficiente de destino estimado; a faixa escura reúne os anos-base alternativos (estimativa de 2026, média de 2019 a 2026 e 2019) e a faixa clara, a combinação desses anos com variação de 8% no coeficiente de destino. O painel (b) estende mecanicamente o cronograma legal até 2077, com coeficientes e demais hipóteses constantes, e representa um exercício condicionado a essas hipóteses, não uma previsão macroeconômica de longo prazo. Os percentuais indicam a diferença em relação ao cenário sem reforma. Valores a preços constantes de 2025.</w:t>
      </w:r>
    </w:p>
    <w:p>
      <w:pPr>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EC n.</w:t>
      </w:r>
      <w:r>
        <w:rPr>
          <w:rFonts w:ascii="Times New Roman" w:hAnsi="Times New Roman"/>
          <w:sz w:val="18"/>
          <w:vertAlign w:val="superscript"/>
        </w:rPr>
        <w:t xml:space="preserve">o</w:t>
      </w:r>
      <w:r>
        <w:rPr>
          <w:rFonts w:ascii="Times New Roman" w:hAnsi="Times New Roman"/>
          <w:sz w:val="18"/>
        </w:rPr>
        <w:t xml:space="preserve"> 132/2023; LC n.</w:t>
      </w:r>
      <w:r>
        <w:rPr>
          <w:rFonts w:ascii="Times New Roman" w:hAnsi="Times New Roman"/>
          <w:sz w:val="18"/>
          <w:vertAlign w:val="superscript"/>
        </w:rPr>
        <w:t xml:space="preserve">o</w:t>
      </w:r>
      <w:r>
        <w:rPr>
          <w:rFonts w:ascii="Times New Roman" w:hAnsi="Times New Roman"/>
          <w:sz w:val="18"/>
        </w:rPr>
        <w:t xml:space="preserve"> 227/2026. Elaboração própria.</w:t>
      </w:r>
    </w:p>
    <w:bookmarkEnd w:id="30"/>
    <w:p>
      <w:pPr>
        <w:pStyle w:val="BodyText"/>
      </w:pPr>
      <w:r>
        <w:rPr/>
        <w:t>Até 2032, o ICMS residual ainda responde pela maior parcela da arrecadação estadual, enquanto cresce a participação do IBS. Em 2033, com a extinção do ICMS, dos R$ 47,52 bilhões projetados para o governo estadual, aproximadamente R$ 42,83 bilhões decorrem do componente histórico e R$ 4,69 bilhões do destino. Os valores já incorporam as retenções do CGIBS e do Seguro-Receita. O governo estadual do Paraná não recebe repasse do Seguro-Receita no período analisado.</w:t>
      </w:r>
      <w:r>
        <w:rPr/>
      </w:r>
      <w:r>
        <w:rPr/>
      </w:r>
      <w:r>
        <w:rPr/>
      </w:r>
      <w:r>
        <w:rPr/>
      </w:r>
    </w:p>
    <w:p>
      <w:pPr>
        <w:pStyle w:val="BodyText"/>
      </w:pPr>
      <w:r>
        <w:rPr/>
        <w:t>A comparação com Gobetti e Monteiro (2023) indica elevada proximidade entre as estimativas de destino. A correlação entre os coeficientes das 27 unidades da federação é de 0,9982. Para o Paraná, a participação total estimada neste trabalho é de 6,418%, frente a 6,839% no estudo do Ipea. A diferença remanescente, de 0,42 ponto percentual, decorre sobretudo da renda do Censo de 2022, que o Ipea utiliza. A PNAD Contínua, ao contrário, mostra queda da renda per capita relativa do Paraná, de 1,155 vez a média nacional em 2018 para 1,102 em 2022, e por isso o composto adotado fica abaixo da estimativa do Ipea.</w:t>
      </w:r>
      <w:r>
        <w:rPr/>
      </w:r>
      <w:r>
        <w:rPr/>
      </w:r>
      <w:r>
        <w:rPr/>
      </w:r>
      <w:r>
        <w:rPr/>
      </w:r>
    </w:p>
    <w:p>
      <w:pPr>
        <w:pStyle w:val="BodyText"/>
      </w:pPr>
      <w:r>
        <w:rPr/>
        <w:t>A diferença entre as estimativas de destino tem efeito limitado sobre a projeção de curto prazo: ao substituir apenas o coeficiente de destino pelo valor do Ipea, a receita estadual projetada para 2033 passa de R$ 47,52 bilhões para aproximadamente R$ 47,79 bilhões, aumento de 0,56%. Como 90% do IBS ainda é distribuído pelo componente histórico nesse ano, os resultados de 2029 a 2033 permanecem mais sensíveis ao coeficiente de participação na transição do que à escolha entre as duas estimativas de destino. A Tabela A.1, no Anexo A, complementa esse exercício com uma validação externa mais ampla, confrontando a base de 2025 e as projeções estaduais de 2033 deste estudo com as apresentadas pelo Ipea ao Confaz em setembro de 2026. Para o Paraná, a base de 2025 é praticamente idêntica (R$ 40,1 bilhões neste estudo e R$ 40,2 bilhões no Ipea, diferença de 0,1%), e a projeção de 2033 é de R$ 47,5 bilhões frente a R$ 48,1 bilhões (diferença de 1,2%). Como a substituição do coeficiente de destino pelo valor do Ipea eleva a estimativa para R$ 47,79 bilhões, cerca de 47% dessa diferença decorre da estimativa de destino, e o restante, de diferenças de método e de base entre as duas projeções.</w:t>
      </w:r>
      <w:r>
        <w:rPr/>
      </w:r>
      <w:r>
        <w:rPr/>
      </w:r>
      <w:r>
        <w:rPr/>
      </w:r>
      <w:r>
        <w:rPr/>
      </w:r>
      <w:r>
        <w:rPr/>
      </w:r>
      <w:r>
        <w:rPr/>
      </w:r>
      <w:r>
        <w:rPr/>
      </w:r>
      <w:r>
        <w:rPr/>
      </w:r>
    </w:p>
    <w:bookmarkEnd w:id="31"/>
    <w:bookmarkEnd w:id="32"/>
    <w:bookmarkStart w:id="37" w:name="efeitos-sobre-os-municípios-paranaenses"/>
    <w:p>
      <w:pPr>
        <w:pStyle w:val="Heading2"/>
      </w:pPr>
      <w:r>
        <w:rPr>
          <w:rStyle w:val="SectionNumber"/>
        </w:rPr>
        <w:t xml:space="preserve">4.3</w:t>
      </w:r>
      <w:r>
        <w:tab/>
      </w:r>
      <w:r>
        <w:t xml:space="preserve">Efeitos sobre os municípios paranaenses</w:t>
      </w:r>
    </w:p>
    <w:p>
      <w:pPr>
        <w:pStyle w:val="FirstParagraph"/>
      </w:pPr>
      <w:r>
        <w:t xml:space="preserve">O principal resultado para o Paraná é a assimetria entre as duas esferas. Enquanto o governo estadual permanece próximo da neutralidade, o conjunto dos 399 municípios apresenta receita projetada de </w:t>
      </w:r>
      <w:r>
        <w:rPr/>
      </w:r>
      <w:r>
        <w:rPr/>
        <w:t>R$ 24,37 bilhões em 2033, frente a R$ 25,10 bilhões</w:t>
      </w:r>
      <w:r>
        <w:rPr/>
      </w:r>
      <w:r>
        <w:rPr/>
        <w:t xml:space="preserve"> no cenário sem reforma. A diferença é de </w:t>
      </w:r>
      <w:r>
        <w:rPr/>
      </w:r>
      <w:r>
        <w:rPr/>
        <w:t>aproximadamente R$ 0,74 bilhão, ou</w:t>
      </w:r>
      <w:r>
        <w:rPr/>
      </w:r>
      <w:r>
        <w:rPr/>
      </w:r>
      <w:r>
        <w:t xml:space="preserve"> </w:t>
      </w:r>
      <m:oMath>
        <m:r>
          <m:rPr>
            <m:sty m:val="p"/>
          </m:rPr>
          <m:t>−</m:t>
        </m:r>
        <m:r>
          <m:t>2</m:t>
        </m:r>
        <m:r>
          <m:rPr>
            <m:sty m:val="p"/>
          </m:rPr>
          <m:t>,</m:t>
        </m:r>
        <m:r>
          <m:t>94</m:t>
        </m:r>
        <m:r>
          <m:rPr>
            <m:sty m:val="p"/>
          </m:rPr>
          <m:t>%</m:t>
        </m:r>
      </m:oMath>
      <w:r>
        <w:t xml:space="preserve">. Entre 2029 e 2033, a perda municipal acumulada alcança </w:t>
      </w:r>
      <w:r>
        <w:rPr/>
      </w:r>
      <w:r>
        <w:rPr/>
        <w:t>cerca de R$ 1,28 bilhão</w:t>
      </w:r>
      <w:r>
        <w:rPr/>
      </w:r>
      <w:r>
        <w:rPr/>
        <w:t xml:space="preserve">. Somadas as duas esferas, a receita dos entes paranaenses fica </w:t>
      </w:r>
      <w:r>
        <w:rPr/>
      </w:r>
      <w:r>
        <w:rPr/>
        <w:t>aproximadamente 0,52% abaixo</w:t>
      </w:r>
      <w:r>
        <w:rPr/>
      </w:r>
      <w:r>
        <w:rPr/>
        <w:t xml:space="preserve"> do cenário sem reforma em 2033.</w:t>
      </w:r>
    </w:p>
    <w:p>
      <w:pPr>
        <w:pStyle w:val="BodyText"/>
      </w:pPr>
      <w:r>
        <w:rPr/>
        <w:t>O Seguro-Receita reduz parte das perdas, mas não altera essa conclusão agregada. Em 2033, 7 municípios paranaenses recebem aproximadamente R$ 234,9 milhões do mecanismo, frente a uma diferença agregada municipal de cerca de R$ 0,74 bilhão naquele ano. No acumulado de 2029 a 2033, os repasses municipais do Seguro-Receita somam aproximadamente R$ 562,3 milhões.</w:t>
      </w:r>
      <w:r>
        <w:rPr/>
      </w:r>
      <w:r>
        <w:rPr/>
      </w:r>
      <w:r>
        <w:rPr/>
      </w:r>
      <w:r>
        <w:rPr/>
      </w:r>
      <w:r>
        <w:rPr/>
      </w:r>
      <w:r>
        <w:rPr/>
      </w:r>
    </w:p>
    <w:p>
      <w:pPr>
        <w:pStyle w:val="BodyText"/>
      </w:pPr>
      <w:r>
        <w:t>Para examinar a heterogeneidade entre municípios, a análise considera os 399 municípios do Estado. Em 2033, 229 apresentam receita inferior ao cenário sem reforma e 170 registram resultado positivo; a mediana da variação é de −1,2%. Os 229 municípios que perdem em 2033 acumulam perda de R$ 2,13 bilhões entre 2029 e 2033, contra ganho acumulado de R$ 0,85 bilhão dos demais, o que resulta na perda líquida de R$ 1,28 bilhão. O Mapa 1 mostra que perdas e ganhos não se concentram em uma única região do Estado. Como teste de robustez, restringir o conjunto aos 187 municípios com população média de pelo menos 10 mil habitantes, ISS observado diretamente em 2025 e em ao menos cinco exercícios e sem pendência de validação não altera o quadro: 116 perdem, 71 ganham e a mediana é de −1,6%.</w:t>
      </w:r>
      <w:r>
        <w:rPr/>
      </w:r>
      <w:r>
        <w:rPr/>
      </w:r>
      <w:r>
        <w:rPr/>
      </w:r>
      <w:r>
        <w:rPr/>
      </w:r>
      <w:r>
        <w:rPr/>
      </w:r>
      <w:r>
        <w:rPr/>
      </w:r>
    </w:p>
    <w:bookmarkStart w:id="36" w:name="fig:mapa_mun"/>
    <w:p>
      <w:pPr>
        <w:pStyle w:val="Compact"/>
        <w:keepNext/>
        <w:jc w:val="center"/>
      </w:pPr>
      <w:r>
        <w:drawing>
          <wp:inline>
            <wp:extent cx="5760000" cy="3810462"/>
            <wp:effectExtent b="0" l="0" r="0" t="0"/>
            <wp:docPr descr="" title="" id="34" name="Picture"/>
            <a:graphic>
              <a:graphicData uri="http://schemas.openxmlformats.org/drawingml/2006/picture">
                <pic:pic>
                  <pic:nvPicPr>
                    <pic:cNvPr descr="../v20/fig/mapa_variacao_municipal_pr_2033.png" id="35" name="Picture"/>
                    <pic:cNvPicPr>
                      <a:picLocks noChangeArrowheads="1" noChangeAspect="1"/>
                    </pic:cNvPicPr>
                  </pic:nvPicPr>
                  <pic:blipFill>
                    <a:blip r:embed="rId33"/>
                    <a:stretch>
                      <a:fillRect/>
                    </a:stretch>
                  </pic:blipFill>
                  <pic:spPr bwMode="auto">
                    <a:xfrm>
                      <a:off x="0" y="0"/>
                      <a:ext cx="5760000" cy="3810462"/>
                    </a:xfrm>
                    <a:prstGeom prst="rect">
                      <a:avLst/>
                    </a:prstGeom>
                    <a:noFill/>
                    <a:ln w="9525">
                      <a:noFill/>
                      <a:headEnd/>
                      <a:tailEnd/>
                    </a:ln>
                  </pic:spPr>
                </pic:pic>
              </a:graphicData>
            </a:graphic>
          </wp:inline>
        </w:drawing>
      </w:r>
    </w:p>
    <w:p>
      <w:pPr>
        <w:pStyle w:val="ImageCaption"/>
      </w:pPr>
      <w:r>
        <w:rPr>
          <w:b/>
          <w:bCs/>
        </w:rPr>
        <w:t xml:space="preserve">Mapa 1:</w:t>
      </w:r>
      <w:r>
        <w:t xml:space="preserve"> Variação projetada da receita dos municípios paranaenses em 2033</w:t>
      </w:r>
    </w:p>
    <w:p>
      <w:pPr>
        <w:spacing w:line="240" w:lineRule="auto" w:before="40" w:after="0"/>
        <w:ind w:firstLine="0"/>
        <w:jc w:val="both"/>
      </w:pPr>
      <w:r>
        <w:rPr>
          <w:rFonts w:ascii="Times New Roman" w:hAnsi="Times New Roman"/>
          <w:i/>
          <w:iCs/>
          <w:sz w:val="18"/>
        </w:rPr>
        <w:t>Nota: Variação da receita projetada sob a reforma em relação ao cenário sem reforma. As cores indicam classes de variação e a legenda traz, entre parênteses, o número de municípios de cada classe. O mapa utiliza os 399 municípios do Estado.</w:t>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p>
    <w:p>
      <w:pPr>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Malha municipal do IBGE, 2024; SICONFI/STN; Portal da Transparência do Estado do Paraná; TCE-PR/SIM-AM; IBGE. Elaboração própria.</w:t>
      </w:r>
    </w:p>
    <w:bookmarkEnd w:id="36"/>
    <w:p>
      <w:pPr>
        <w:pStyle w:val="BodyText"/>
      </w:pPr>
      <w:r>
        <w:t>Em valores absolutos, as maiores perdas em 2033 concentram-se nos municípios grandes: Curitiba (−R$ 276,4 milhões; −6,0%), Paranaguá (−R$ 86,2 milhões; −11,9%), Ponta Grossa (−R$ 68,7 milhões; −9,6%), Cascavel (−R$ 53,5 milhões; −8,0%) e Maringá (−R$ 50,3 milhões; −5,3%). Curitiba, por exemplo, tem receita projetada de aproximadamente R$ 4,35 bilhões em 2033, frente a R$ 4,62 bilhões no cenário sem reforma. Em termos percentuais, as maiores perdas ocorrem em municípios menores: General Carneiro (−24,1%), Porto Amazonas (−22,7%), Mato Rico (−22,3%), Campina do Simão (−21,2%) e Porto Barreiro (−18,0%). General Carneiro, por exemplo, combina receita de referência de 2025 de aproximadamente R$ 26,9 milhões com média histórica de R$ 20,0 milhões, e Paranaguá apresenta coeficiente de destino substancialmente inferior à sua participação histórica, o que reforça a perda à medida que o destino ganha peso. Entre os cinco maiores percentuais de perda, Mato Rico tem ISS incompleto na DCA (†, Tabela B.3), e a base pequena desse município amplia o percentual.</w:t>
      </w:r>
      <w:r>
        <w:rPr/>
      </w:r>
      <w:r>
        <w:rPr/>
      </w:r>
      <w:r>
        <w:rPr/>
      </w:r>
      <w:r>
        <w:rPr/>
      </w:r>
      <w:r>
        <w:rPr/>
      </w:r>
      <w:r>
        <w:rPr/>
      </w:r>
    </w:p>
    <w:p>
      <w:pPr>
        <w:pStyle w:val="BodyText"/>
      </w:pPr>
      <w:r>
        <w:t>No extremo oposto, os maiores ganhos em valores absolutos são Araucária (+R$ 114,4 milhões; +9,9%), Pontal do Paraná (+R$ 23,6 milhões; +111,0%), Telêmaco Borba (+R$ 20,2 milhões; +12,4%), Ortigueira (+R$ 19,0 milhões; +11,0%) e Saudade do Iguaçu (+R$ 17,4 milhões; +56,8%). Em termos percentuais, destacam-se Pontal do Paraná (+111,0%), Saudade do Iguaçu (+56,8%), São Carlos do Ivaí (+31,3%), Andirá (+28,0%) e Figueira (+22,2%). Pontal do Paraná é um caso particularmente marcado pela diferença entre a base de 2025, cerca de R$ 18,1 milhões, e a média histórica, aproximadamente R$ 36,1 milhões. Os valores elevados de cota-parte observados em 2020 e 2021 aparecem tanto na DCA quanto na fonte estadual, razão pela qual o resultado é preservado na base auditada.</w:t>
      </w:r>
      <w:r>
        <w:rPr/>
      </w:r>
      <w:r>
        <w:rPr/>
      </w:r>
      <w:r>
        <w:rPr/>
      </w:r>
      <w:r>
        <w:rPr/>
      </w:r>
      <w:r>
        <w:rPr/>
      </w:r>
      <w:r>
        <w:rPr/>
      </w:r>
      <w:r>
        <w:rPr/>
      </w:r>
      <w:r>
        <w:rPr/>
      </w:r>
      <w:r>
        <w:rPr/>
      </w:r>
      <w:r>
        <w:rPr/>
      </w:r>
      <w:r>
        <w:rPr/>
      </w:r>
      <w:r>
        <w:rPr/>
      </w:r>
    </w:p>
    <w:p>
      <w:pPr>
        <w:pStyle w:val="BodyText"/>
      </w:pPr>
      <w:r>
        <w:t>A posição histórica continua sendo o principal fator associado à heterogeneidade municipal no início da transição: a diferença relativa do coeficiente histórico em relação à participação de 2025 apresenta</w:t>
      </w:r>
      <w:r>
        <w:t xml:space="preserve"> </w:t>
      </w:r>
      <m:oMath>
        <m:sSup>
          <m:e>
            <m:r>
              <m:t>R</m:t>
            </m:r>
          </m:e>
          <m:sup>
            <m:r>
              <m:t>2</m:t>
            </m:r>
          </m:sup>
        </m:sSup>
      </m:oMath>
      <w:r>
        <w:t xml:space="preserve"> </w:t>
      </w:r>
      <w:r/>
      <w:r>
        <w:rPr/>
      </w:r>
      <w:r>
        <w:rPr/>
        <w:t>de 0,816</w:t>
      </w:r>
      <w:r>
        <w:rPr/>
        <w:t xml:space="preserve"> com a variação projetada, </w:t>
      </w:r>
      <w:r>
        <w:rPr/>
        <w:t>frente a 0,204</w:t>
      </w:r>
      <w:r>
        <w:rPr/>
      </w:r>
      <w:r>
        <w:rPr/>
        <w:t xml:space="preserve"> para o coeficiente de destino. A leitura muda gradualmente em horizontes posteriores, quando a regra do destino passa a ter maior peso.</w:t>
      </w:r>
    </w:p>
    <w:p>
      <w:pPr>
        <w:pStyle w:val="BodyText"/>
      </w:pPr>
      <w:r>
        <w:t xml:space="preserve">A auditoria das fontes mostrou, contudo, que parte dos valores extremos pode refletir inconsistências de registro e não efeitos econômicos da reforma. Na comparação entre a DCA municipal e os repasses registrados pelo Estado, 94,7% das 2.793 observações município-ano apresentam diferença de até 5%, mas um conjunto restrito de ausências e divergências materiais altera de forma relevante alguns resultados. Por essa razão, o cenário principal utiliza a base reconciliada, e o Anexo B apresenta a comparação entre metodologias e a lista ampliada dos maiores ganhos e perdas. O Anexo C resume os resultados do Seguro-Receita.</w:t>
      </w:r>
    </w:p>
    <w:p>
      <w:pPr>
        <w:pStyle w:val="BodyText"/>
      </w:pPr>
      <w:r>
        <w:rPr/>
        <w:t>A transição também altera a distribuição da receita por habitante entre os municípios. A Tabela D.1, apresentada no Anexo D, acompanha a receita per capita dos 399 municípios do Estado. A razão entre a maior e a menor receita per capita recua de 14,6 em 2025 para 13,2 em 2033 e cai para 7,7 em 2050 e 4,6 em 2077, enquanto o índice de Gini passa de 0,232 em 2025 para 0,167 em 2050 e 0,112 em 2077. Excluídos os 31 municípios com ISS incompleto, a razão cai de 13,5 para 4,6 e o Gini, de 0,228 para 0,111, de modo que o resultado não depende deles. A convergência ocorre porque, à medida que o destino ganha peso, a receita passa a acompanhar a população e a renda do município, e não sua participação histórica, o que eleva sobretudo os municípios de menor receita por habitante.</w:t>
      </w:r>
      <w:r>
        <w:rPr/>
      </w:r>
      <w:r>
        <w:rPr/>
      </w:r>
    </w:p>
    <w:bookmarkEnd w:id="37"/>
    <w:bookmarkEnd w:id="38"/>
    <w:bookmarkStart w:id="39" w:name="discussão"/>
    <w:p>
      <w:pPr>
        <w:pStyle w:val="Heading1"/>
      </w:pPr>
      <w:r>
        <w:rPr>
          <w:rStyle w:val="SectionNumber"/>
        </w:rPr>
        <w:t xml:space="preserve">5</w:t>
      </w:r>
      <w:r>
        <w:tab/>
      </w:r>
      <w:r>
        <w:t xml:space="preserve">Discussão</w:t>
      </w:r>
    </w:p>
    <w:p>
      <w:pPr>
        <w:pStyle w:val="FirstParagraph"/>
      </w:pPr>
      <w:r>
        <w:t xml:space="preserve">Os resultados mostram que a transição para o IBS altera gradualmente os determinantes da receita subnacional no Paraná. Nos primeiros anos, o componente histórico ainda exerce papel dominante e preserva parte da distribuição observada antes da reforma. Essa característica ajuda a explicar a relativa estabilidade da receita estadual até 2033 e, ao mesmo tempo, a maior heterogeneidade observada entre os municípios. A reforma começa, portanto, por uma combinação entre a estrutura anterior de arrecadação e os novos critérios de repartição, cuja importância muda ao longo do tempo.</w:t>
      </w:r>
    </w:p>
    <w:p>
      <w:pPr>
        <w:pStyle w:val="BodyText"/>
      </w:pPr>
      <w:r>
        <w:rPr/>
        <w:t>Para o governo estadual, tanto a participação histórica quanto a estimada pelo destino superam a participação de referência de 2025, mas esses ganhos de coeficiente são em grande parte absorvidos pela retenção do Seguro-Receita, da qual o Estado não é beneficiário, e pela dedução do CGIBS. Por isso, a trajetória permanece próxima da neutralidade ao longo do cronograma, com ganho de 0,8% em 2033 e perda de 0,5% em 2077. A conclusão de longo prazo depende, porém, de um coeficiente de destino que só será observado com o IBS em operação, e sua incerteza é grande diante do tamanho do efeito. O caso paranaense ilustra, assim, como o resultado de uma transição longa pode depender mais da qualidade da estimativa do destino do que das regras de transição, que já são conhecidas.</w:t>
      </w:r>
    </w:p>
    <w:p>
      <w:pPr>
        <w:pStyle w:val="BodyText"/>
      </w:pPr>
      <w:r>
        <w:t xml:space="preserve">Nos municípios, a redistribuição aparece mais cedo e de forma mais dispersa. A perda agregada em 2033 convive com situações locais bastante diferentes, incluindo municípios com perdas elevadas e outros com ganhos expressivos. O Seguro-Receita reduz parte dessa dispersão, mas preserva diferenças relevantes na capacidade financeira dos governos locais. Para o planejamento fiscal, esse resultado recomenda olhar além dos valores consolidados do Estado e acompanhar como os diferentes componentes da repartição afetam individualmente os municípios.</w:t>
      </w:r>
    </w:p>
    <w:p>
      <w:pPr>
        <w:pStyle w:val="BodyText"/>
      </w:pPr>
      <w:r>
        <w:t xml:space="preserve">A transição também modifica a forma de projetar a receita dos governos subnacionais. Com o IBS, a arrecadação de cada ente passa a depender da evolução do agregado nacional, dos coeficientes histórico e de destino estimados, do Seguro-Receita e das demais regras de repartição. A extrapolação das séries locais de ICMS e ISS passa a fornecer apenas parte da informação necessária para projetar a receita futura. O planejamento orçamentário exigirá, assim, atualização periódica desses parâmetros e cenários que combinem trajetória macroeconômica e regras de repartição.</w:t>
      </w:r>
    </w:p>
    <w:p>
      <w:pPr>
        <w:pStyle w:val="BodyText"/>
      </w:pPr>
      <w:r>
        <w:t>Esse novo desenho atribui maior importância à qualidade das informações fiscais. No exercício municipal, a cota-parte do ICMS declarada na DCA/SICONFI foi confrontada com os repasses registrados pelo Estado do Paraná, enquanto os registros de ISS foram comparados com informações do PIT/SIM-AM do TCE-PR quando surgiram divergências materiais. A reconciliação entre essas fontes alterou de forma relevante a projeção de um conjunto de municípios e chegou a mudar o sinal do resultado em 104 dos 399 municípios. Quando a série histórica passa a integrar diretamente um coeficiente de repartição, erros de classificação, lacunas ou diferenças entre fontes deixam de ser apenas um problema estatístico e podem produzir consequências distributivas.</w:t>
      </w:r>
      <w:r>
        <w:rPr/>
      </w:r>
      <w:r>
        <w:rPr/>
      </w:r>
    </w:p>
    <w:p>
      <w:pPr>
        <w:pStyle w:val="BodyText"/>
      </w:pPr>
      <w:r>
        <w:t>A LC n.o 227/2026 determina que a receita média de referência dos estados considere, além do ICMS, determinadas contribuições destinadas a fundos estaduais vinculadas à concessão de diferimentos, regimes especiais ou outros tratamentos diferenciados. A estimativa deste estudo incorpora apenas as contribuições do Amazonas, as únicas verificáveis em base pública, e por isso pode subestimar a participação histórica dos estados cujos fundos ainda dependem de informação oficial. Como mecanismos desse tipo não estão necessariamente presentes com a mesma intensidade em todas as unidades da federação, sua identificação pode melhorar a posição relativa do Paraná no coeficiente histórico caso tenham peso proporcionalmente maior no Estado. Esse aspecto amplia o papel do Tesouro estadual durante a preparação para a transição. A legislação exige que os estados informem ao CGIBS as normas, os valores e a documentação das contribuições que pretendam incorporar à receita de referência, além de prever a divulgação dos cálculos e a possibilidade de contestação dos coeficientes. O trabalho de mapear receitas elegíveis, confrontar registros fiscais e contábeis e documentar sua origem passa a ter uma consequência direta sobre a participação do Estado na parcela histórica do IBS.</w:t>
      </w:r>
      <w:r>
        <w:rPr>
          <w:vertAlign w:val="superscript"/>
        </w:rPr>
      </w:r>
      <w:r/>
    </w:p>
    <w:p>
      <w:pPr>
        <w:pStyle w:val="BodyText"/>
      </w:pPr>
      <w:r>
        <w:t xml:space="preserve">A terceira implicação é a mudança no desenho da administração tributária. Nos termos do art. 156-B da Constituição, com a redação da Emenda Constitucional n.</w:t>
      </w:r>
      <w:r>
        <w:rPr>
          <w:vertAlign w:val="superscript"/>
        </w:rPr>
        <w:t xml:space="preserve">o</w:t>
      </w:r>
      <w:r>
        <w:t xml:space="preserve"> 132/2023, o Comitê Gestor arrecada o imposto, realiza as compensações e distribui a receita entre os entes, enquanto a fiscalização, o lançamento e a cobrança permanecem com as administrações tributárias de estados e municípios, de forma coordenada pelo Comitê. Para o Estado, isso exige operar com sistemas compartilhados e confrontar os valores apurados, retidos e distribuídos com a receita esperada, o que reforça o papel do Tesouro na gestão da informação.</w:t>
      </w:r>
    </w:p>
    <w:p>
      <w:pPr>
        <w:pStyle w:val="BodyText"/>
      </w:pPr>
      <w:r>
        <w:t xml:space="preserve">A quarta implicação aparece na política de desenvolvimento. A redução progressiva do espaço para incentivos vinculados ao ICMS altera um instrumento tradicional de atração de investimentos, enquanto o destino reduz a associação direta entre atividade produtiva localizada e apropriação da receita tributária. A atividade econômica continua relevante por seus efeitos sobre emprego, renda, produtividade e cadeias locais, mas a estratégia estadual passa a depender menos da captura tributária na origem. O Fundo Nacional de Desenvolvimento Regional amplia, nesse contexto, a importância de instrumentos voltados a infraestrutura, atividades produtivas e inovação. A transição desloca, assim, parte da política de desenvolvimento para a seleção de projetos capazes de sustentar ganhos de produtividade e competitividade no longo prazo.</w:t>
      </w:r>
    </w:p>
    <w:p>
      <w:pPr>
        <w:pStyle w:val="BodyText"/>
      </w:pPr>
      <w:r>
        <w:t xml:space="preserve">O avanço do destino também altera a relação entre atividade econômica localizada e capacidade fiscal. A produção continuará relevante para emprego, renda, produtividade, investimento e formação de cadeias locais, enquanto a apropriação da receita do IBS acompanhará progressivamente o local do consumo. </w:t>
      </w:r>
      <w:r>
        <w:rPr/>
        <w:t>Para o Paraná, o coeficiente estimado de destino supera a participação atual, mas essa vantagem é absorvida pelo Seguro-Receita e pelo CGIBS, de modo que a mudança de critério tende a ser neutra para o Estado, embora essa conclusão dependa da estimativa do destino.</w:t>
      </w:r>
      <w:r>
        <w:rPr/>
        <w:t xml:space="preserve"> Nos municípios, a heterogeneidade observada indica que a mesma mudança produzirá efeitos distintos de acordo com a posição histórica, a população e a capacidade de consumo de cada território.</w:t>
      </w:r>
    </w:p>
    <w:p>
      <w:pPr>
        <w:pStyle w:val="BodyText"/>
      </w:pPr>
      <w:r>
        <w:t xml:space="preserve">Em conjunto, os resultados apontam para uma agenda de adaptação que começa antes da entrada plena do IBS. A transição oferece ao Paraná tempo para rever métodos de previsão, melhorar a qualidade das bases que alimentarão os coeficientes e preparar novos instrumentos de desenvolvimento. Essas tarefas têm um elemento comum: a receita futura dependerá menos da simples continuidade do sistema atual e mais da capacidade do Estado de compreender, acompanhar e atuar sobre as novas regras de repartição. Nesse sentido, a reforma amplia o papel do Tesouro tanto na gestão da informação quanto na preparação da estratégia fiscal de longo prazo.</w:t>
      </w:r>
    </w:p>
    <w:bookmarkEnd w:id="39"/>
    <w:bookmarkStart w:id="40" w:name="considerações-finais"/>
    <w:p>
      <w:pPr>
        <w:pStyle w:val="Heading1"/>
      </w:pPr>
      <w:r>
        <w:rPr>
          <w:rStyle w:val="SectionNumber"/>
        </w:rPr>
        <w:t xml:space="preserve">6</w:t>
      </w:r>
      <w:r>
        <w:tab/>
      </w:r>
      <w:r>
        <w:t xml:space="preserve">Considerações finais</w:t>
      </w:r>
    </w:p>
    <w:p>
      <w:pPr>
        <w:pStyle w:val="FirstParagraph"/>
      </w:pPr>
      <w:r>
        <w:t xml:space="preserve">Este artigo estimou os efeitos da transição do ICMS e do ISS para o IBS sobre as receitas do governo estadual e dos municípios do Paraná. O exercício compara as projeções sob a reforma com um cenário contrafactual que preserva a participação de referência de cada ente na arrecadação nacional. Em 2033, a receita estadual permanece próxima da neutralidade, </w:t>
      </w:r>
      <w:r>
        <w:rPr/>
      </w:r>
      <w:r>
        <w:rPr/>
        <w:t>com variação de 0,77%, enquanto o conjunto dos municípios registra redução de 2,94%</w:t>
      </w:r>
      <w:r>
        <w:rPr/>
      </w:r>
      <w:r>
        <w:rPr/>
        <w:t xml:space="preserve">. Consideradas as duas esferas, a receita paranaense </w:t>
      </w:r>
      <w:r>
        <w:rPr/>
      </w:r>
      <w:r>
        <w:rPr/>
        <w:t>fica 0,52% abaixo do contrafactual</w:t>
      </w:r>
      <w:r>
        <w:rPr/>
      </w:r>
      <w:r>
        <w:rPr/>
        <w:t xml:space="preserve"> naquele ano.</w:t>
      </w:r>
    </w:p>
    <w:p>
      <w:pPr>
        <w:pStyle w:val="BodyText"/>
      </w:pPr>
      <w:r>
        <w:rPr/>
        <w:t>Os resultados mostram que a conclusão de longo prazo é muito mais incerta que a de curto prazo. Em 2033, 90% do IBS ainda é distribuído pelo componente histórico, o que preserva a posição relativa do governo estadual, e a variação de 0,77% tem incerteza de cerca de ±0,8 ponto percentual. À medida que esse peso diminui, o coeficiente de destino passa a determinar a receita. Como a participação estadual estimada pelo destino é ligeiramente superior à participação de referência, mas essa vantagem é absorvida pelo Seguro-Receita e pelo CGIBS, a diferença em relação ao contrafactual é de aproximadamente −0,5% em 2077, com incerteza de ±7,8 pontos percentuais associada à estimativa do destino.</w:t>
      </w:r>
      <w:r>
        <w:rPr/>
      </w:r>
      <w:r>
        <w:rPr/>
      </w:r>
    </w:p>
    <w:p>
      <w:pPr>
        <w:pStyle w:val="BodyText"/>
      </w:pPr>
      <w:r>
        <w:rPr/>
        <w:t>A redistribuição municipal apresenta uma dinâmica distinta. Entre os 399 municípios do Estado, a razão entre a maior e a menor receita per capita cai de 14,6 em 2025 para 4,6 em 2077, enquanto o índice de Gini recua de 0,232 para 0,112. A transição reduz, portanto, de forma expressiva a desigualdade de receita por habitante entre os municípios paranaenses. Esse resultado mostra que perdas agregadas da esfera municipal podem coexistir com maior equalização na distribuição dos recursos dentro do Estado.</w:t>
      </w:r>
      <w:r>
        <w:rPr/>
      </w:r>
      <w:r>
        <w:rPr/>
      </w:r>
    </w:p>
    <w:p>
      <w:pPr>
        <w:pStyle w:val="BodyText"/>
      </w:pPr>
      <w:r>
        <w:t xml:space="preserve">A mudança na geografia da receita também traz implicações para a política estadual de desenvolvimento. A redução do espaço para incentivos associados à tributação do consumo diminui a capacidade de utilizar vantagens tributárias como instrumento de atração de investimentos e amplia a importância de fatores mais permanentes de competitividade. Nesse contexto, o Fundo Nacional de Desenvolvimento Regional passa a ocupar posição mais relevante entre os instrumentos disponíveis aos estados. Sua utilização coloca uma questão adicional para a política pública: como direcionar esses recursos para investimentos capazes de elevar produtividade, fortalecer a base econômica e sustentar competitividade no novo ambiente tributário.</w:t>
      </w:r>
    </w:p>
    <w:p>
      <w:pPr>
        <w:pStyle w:val="BodyText"/>
      </w:pPr>
      <w:r>
        <w:t xml:space="preserve">Este exercício também define uma agenda natural para pesquisas futuras. </w:t>
      </w:r>
      <w:r>
        <w:rPr/>
        <w:t>A incorporação dos dados definitivos de 2026 permitirá substituir a estimativa utilizada e atualizar o coeficiente histórico</w:t>
      </w:r>
      <w:r>
        <w:rPr/>
        <w:t>, enquanto a operação do IBS fornecerá informações observadas para refinar a distribuição pelo destino e os critérios de repartição municipal. Estudos posteriores poderão ainda examinar a resposta das decisões de localização, investimento e emprego à redução dos incentivos fiscais, bem como avaliar o papel do FNDR nesse novo ambiente de política regional. Essas extensões permitirão avançar da simulação das regras de repartição para a avaliação dos efeitos fiscais e econômicos efetivamente produzidos pela reforma.</w:t>
      </w:r>
    </w:p>
    <w:p>
      <w:pPr>
        <w:pStyle w:val="BodyText"/>
      </w:pPr>
      <w:r>
        <w:t xml:space="preserve">Esses resultados devem ser lidos à luz das limitações da Seção 3.6, em especial o caráter estimado do coeficiente de destino e a ausência das contribuições a fundos estaduais, que recomendam tratá-los como ordens de grandeza condicionais. Em síntese, o caso paranaense revela duas dimensões simultâneas da redistribuição produzida pela reforma. </w:t>
      </w:r>
      <w:r>
        <w:rPr/>
        <w:t>À medida que o destino ganha peso, a posição fiscal relativa do governo estadual tende a permanecer próxima da atual, com incerteza crescente, enquanto</w:t>
      </w:r>
      <w:r>
        <w:rPr/>
        <w:t xml:space="preserve"> as diferenças de receita per capita entre os municípios diminuem de forma expressiva. A reforma reorganiza, assim, a capacidade fiscal tanto entre territórios quanto dentro deles. A longa transição distribui esse processo ao longo de décadas e oferece ao Paraná tempo para adaptar seus instrumentos de planejamento e desenvolvimento antes que a nova geografia da receita esteja plenamente consolidada.</w:t>
      </w:r>
    </w:p>
    <w:bookmarkEnd w:id="40"/>
    <w:bookmarkStart w:id="58" w:name="referências"/>
    <w:p>
      <w:pPr>
        <w:pStyle w:val="Heading1"/>
      </w:pPr>
      <w:r>
        <w:t xml:space="preserve">Referências</w:t>
      </w:r>
    </w:p>
    <w:p>
      <w:pPr>
        <w:pStyle w:val="FirstParagraph"/>
        <w:spacing w:line="240" w:lineRule="auto" w:before="0" w:after="160"/>
        <w:ind w:firstLine="0"/>
        <w:jc w:val="left"/>
      </w:pPr>
      <w:r>
        <w:rPr>
          <w:rFonts w:ascii="Times New Roman" w:hAnsi="Times New Roman"/>
          <w:sz w:val="22"/>
        </w:rPr>
        <w:t xml:space="preserve">AFONSO, José Roberto Rodrigues. Aspectos conceituais das relações financeiras intergovernamentais. </w:t>
      </w:r>
      <w:r>
        <w:rPr>
          <w:rFonts w:ascii="Times New Roman" w:hAnsi="Times New Roman"/>
          <w:i/>
          <w:iCs/>
          <w:sz w:val="22"/>
        </w:rPr>
        <w:t xml:space="preserve">Estudos Econômicos</w:t>
      </w:r>
      <w:r>
        <w:rPr>
          <w:rFonts w:ascii="Times New Roman" w:hAnsi="Times New Roman"/>
          <w:sz w:val="22"/>
        </w:rPr>
        <w:t xml:space="preserve">, São Paulo, v. 22, n. 1, p. 5-34, 1992. DOI: 10.11606/1980-53572211jrra. Disponível em: </w:t>
      </w:r>
      <w:hyperlink r:id="rId17">
        <w:r>
          <w:rPr>
            <w:rStyle w:val="Hyperlink"/>
          </w:rPr>
          <w:t xml:space="preserve">https://revistas.usp.br/ee/pt_BR/article/view/158775</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ARAÚJO, Elisabete Soares de; LEITE, José Pedro Dias; MENEZES, Marco Antônio Silva; NUNES, Suzana Gilioli da Costa. Reforma tributária no Brasil: análise bibliométrica e revisão sistemática. </w:t>
      </w:r>
      <w:r>
        <w:rPr>
          <w:rFonts w:ascii="Times New Roman" w:hAnsi="Times New Roman"/>
          <w:i/>
          <w:iCs/>
          <w:sz w:val="22"/>
        </w:rPr>
        <w:t xml:space="preserve">Revista do TCU</w:t>
      </w:r>
      <w:r>
        <w:rPr>
          <w:rFonts w:ascii="Times New Roman" w:hAnsi="Times New Roman"/>
          <w:sz w:val="22"/>
        </w:rPr>
        <w:t xml:space="preserve">, Brasília, v. 154, n. 1, p. 32-51, 2024. DOI: 10.69518/rtcu.154.32-51. Disponível em: </w:t>
      </w:r>
      <w:hyperlink r:id="rId18">
        <w:r>
          <w:rPr>
            <w:rStyle w:val="Hyperlink"/>
          </w:rPr>
          <w:t xml:space="preserve">https://revista.tcu.gov.br/ojs/index.php/RTCU/article/view/1929</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BANCO CENTRAL DO BRASIL.</w:t>
      </w:r>
      <w:r>
        <w:rPr>
          <w:rFonts w:ascii="Times New Roman" w:hAnsi="Times New Roman"/>
          <w:sz w:val="22"/>
        </w:rPr>
        <w:t xml:space="preserve"> </w:t>
      </w:r>
      <w:r>
        <w:rPr>
          <w:rFonts w:ascii="Times New Roman" w:hAnsi="Times New Roman"/>
          <w:i/>
          <w:iCs/>
          <w:sz w:val="22"/>
        </w:rPr>
        <w:t xml:space="preserve">Focus: relatório de mercado</w:t>
      </w:r>
      <w:r>
        <w:rPr>
          <w:rFonts w:ascii="Times New Roman" w:hAnsi="Times New Roman"/>
          <w:sz w:val="22"/>
        </w:rPr>
        <w:t xml:space="preserve">. Brasília, DF: Banco Central do Brasil, 2026. Disponível em:</w:t>
      </w:r>
      <w:r>
        <w:rPr>
          <w:rFonts w:ascii="Times New Roman" w:hAnsi="Times New Roman"/>
          <w:sz w:val="22"/>
        </w:rPr>
        <w:t xml:space="preserve"> </w:t>
      </w:r>
      <w:hyperlink r:id="rId41">
        <w:r>
          <w:rPr>
            <w:rStyle w:val="Hyperlink"/>
          </w:rPr>
          <w:t xml:space="preserve">https://www.bcb.gov.br/publicacoes/focus</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BARATTO, Gedalva; MACEDO, Mariano de Mattos. Regime tributário do ICMS nas transações interestaduais: harmonização tributária ou autonomia estadual?</w:t>
      </w:r>
      <w:r>
        <w:rPr>
          <w:rFonts w:ascii="Times New Roman" w:hAnsi="Times New Roman"/>
          <w:sz w:val="22"/>
        </w:rPr>
        <w:t xml:space="preserve"> </w:t>
      </w:r>
      <w:r>
        <w:rPr>
          <w:rFonts w:ascii="Times New Roman" w:hAnsi="Times New Roman"/>
          <w:i/>
          <w:iCs/>
          <w:sz w:val="22"/>
        </w:rPr>
        <w:t xml:space="preserve">Revista Paranaense de Desenvolvimento</w:t>
      </w:r>
      <w:r>
        <w:rPr>
          <w:rFonts w:ascii="Times New Roman" w:hAnsi="Times New Roman"/>
          <w:sz w:val="22"/>
        </w:rPr>
        <w:t xml:space="preserve">, Curitiba, n. 113, p. 9-30, jul./dez. 2007. Disponível em:</w:t>
      </w:r>
      <w:r>
        <w:rPr>
          <w:rFonts w:ascii="Times New Roman" w:hAnsi="Times New Roman"/>
          <w:sz w:val="22"/>
        </w:rPr>
        <w:t xml:space="preserve"> </w:t>
      </w:r>
      <w:hyperlink r:id="rId42">
        <w:r>
          <w:rPr>
            <w:rStyle w:val="Hyperlink"/>
          </w:rPr>
          <w:t xml:space="preserve">https://ipardes.emnuvens.com.br/revistaparanaense/article/view/23</w:t>
        </w:r>
      </w:hyperlink>
      <w:r>
        <w:rPr>
          <w:rFonts w:ascii="Times New Roman" w:hAnsi="Times New Roman"/>
          <w:sz w:val="22"/>
        </w:rPr>
        <w:t xml:space="preserve">. Acesso em: 30 set. 2026.</w:t>
      </w:r>
    </w:p>
    <w:p>
      <w:pPr>
        <w:pStyle w:val="BodyText"/>
        <w:spacing w:line="240" w:lineRule="auto" w:before="0" w:after="160"/>
        <w:ind w:firstLine="0"/>
        <w:jc w:val="left"/>
      </w:pPr>
      <w:r>
        <w:rPr>
          <w:rFonts w:ascii="Times New Roman" w:hAnsi="Times New Roman"/>
          <w:sz w:val="22"/>
        </w:rPr>
        <w:t xml:space="preserve">BRASIL. Emenda Constitucional n.</w:t>
      </w:r>
      <w:r>
        <w:rPr>
          <w:rFonts w:ascii="Times New Roman" w:hAnsi="Times New Roman"/>
          <w:sz w:val="22"/>
          <w:vertAlign w:val="superscript"/>
        </w:rPr>
        <w:t xml:space="preserve">o</w:t>
      </w:r>
      <w:r>
        <w:rPr>
          <w:rFonts w:ascii="Times New Roman" w:hAnsi="Times New Roman"/>
          <w:sz w:val="22"/>
        </w:rPr>
        <w:t xml:space="preserve"> </w:t>
      </w:r>
      <w:r>
        <w:rPr>
          <w:rFonts w:ascii="Times New Roman" w:hAnsi="Times New Roman"/>
          <w:sz w:val="22"/>
        </w:rPr>
        <w:t xml:space="preserve">132, de 20 de dezembro de 2023. Altera o Sistema Tributário Nacional. Brasília, DF: Presidência da República, 2023. Disponível em:</w:t>
      </w:r>
      <w:r>
        <w:rPr>
          <w:rFonts w:ascii="Times New Roman" w:hAnsi="Times New Roman"/>
          <w:sz w:val="22"/>
        </w:rPr>
        <w:t xml:space="preserve"> </w:t>
      </w:r>
      <w:hyperlink r:id="rId43">
        <w:r>
          <w:rPr>
            <w:rStyle w:val="Hyperlink"/>
          </w:rPr>
          <w:t xml:space="preserve">https://www.planalto.gov.br/ccivil_03/constituicao/emendas/emc/emc132.htm</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BRASIL. Lei Complementar n.</w:t>
      </w:r>
      <w:r>
        <w:rPr>
          <w:rFonts w:ascii="Times New Roman" w:hAnsi="Times New Roman"/>
          <w:sz w:val="22"/>
          <w:vertAlign w:val="superscript"/>
        </w:rPr>
        <w:t xml:space="preserve">o</w:t>
      </w:r>
      <w:r>
        <w:rPr>
          <w:rFonts w:ascii="Times New Roman" w:hAnsi="Times New Roman"/>
          <w:sz w:val="22"/>
        </w:rPr>
        <w:t xml:space="preserve"> </w:t>
      </w:r>
      <w:r>
        <w:rPr>
          <w:rFonts w:ascii="Times New Roman" w:hAnsi="Times New Roman"/>
          <w:sz w:val="22"/>
        </w:rPr>
        <w:t xml:space="preserve">214, de 16 de janeiro de 2025. Institui o Imposto sobre Bens e Serviços, a Contribuição Social sobre Bens e Serviços e o Imposto Seletivo. Brasília, DF: Presidência da República, 2025. Disponível em:</w:t>
      </w:r>
      <w:r>
        <w:rPr>
          <w:rFonts w:ascii="Times New Roman" w:hAnsi="Times New Roman"/>
          <w:sz w:val="22"/>
        </w:rPr>
        <w:t xml:space="preserve"> </w:t>
      </w:r>
      <w:hyperlink r:id="rId44">
        <w:r>
          <w:rPr>
            <w:rStyle w:val="Hyperlink"/>
          </w:rPr>
          <w:t xml:space="preserve">https://www.planalto.gov.br/ccivil_03/leis/lcp/lcp214.htm</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BRASIL. Lei Complementar n.</w:t>
      </w:r>
      <w:r>
        <w:rPr>
          <w:rFonts w:ascii="Times New Roman" w:hAnsi="Times New Roman"/>
          <w:sz w:val="22"/>
          <w:vertAlign w:val="superscript"/>
        </w:rPr>
        <w:t xml:space="preserve">o</w:t>
      </w:r>
      <w:r>
        <w:rPr>
          <w:rFonts w:ascii="Times New Roman" w:hAnsi="Times New Roman"/>
          <w:sz w:val="22"/>
        </w:rPr>
        <w:t xml:space="preserve"> </w:t>
      </w:r>
      <w:r>
        <w:rPr>
          <w:rFonts w:ascii="Times New Roman" w:hAnsi="Times New Roman"/>
          <w:sz w:val="22"/>
        </w:rPr>
        <w:t xml:space="preserve">227, de 13 de janeiro de 2026. Institui o Comitê Gestor do Imposto sobre Bens e Serviços e dispõe sobre a distribuição do produto da arrecadação do IBS. Brasília, DF: Presidência da República, 2026. Disponível em:</w:t>
      </w:r>
      <w:r>
        <w:rPr>
          <w:rFonts w:ascii="Times New Roman" w:hAnsi="Times New Roman"/>
          <w:sz w:val="22"/>
        </w:rPr>
        <w:t xml:space="preserve"> </w:t>
      </w:r>
      <w:hyperlink r:id="rId45">
        <w:r>
          <w:rPr>
            <w:rStyle w:val="Hyperlink"/>
          </w:rPr>
          <w:t xml:space="preserve">https://www.planalto.gov.br/ccivil_03/leis/lcp/lcp227.htm</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CEBREIRO GOMEZ, Ana; DAL PIZZOL, Guilherme; KOLERUS, Christina; MOREIRA, Pablo; PECHO, Miguel. </w:t>
      </w:r>
      <w:r>
        <w:rPr>
          <w:rFonts w:ascii="Times New Roman" w:hAnsi="Times New Roman"/>
          <w:i/>
          <w:iCs/>
          <w:sz w:val="22"/>
        </w:rPr>
        <w:t xml:space="preserve">Brazil's VAT Reform: Ensuring Revenue Neutrality</w:t>
      </w:r>
      <w:r>
        <w:rPr>
          <w:rFonts w:ascii="Times New Roman" w:hAnsi="Times New Roman"/>
          <w:sz w:val="22"/>
        </w:rPr>
        <w:t xml:space="preserve">. Washington, DC: International Monetary Fund, 2025. IMF Working Paper, n. 2025/266. DOI: 10.5089/9798229032971.001. Disponível em: </w:t>
      </w:r>
      <w:hyperlink r:id="rId16">
        <w:r>
          <w:rPr>
            <w:rStyle w:val="Hyperlink"/>
          </w:rPr>
          <w:t xml:space="preserve">https://www.imf.org/en/publications/wp/issues/2025/12/19/brazil-s-vat-reform-ensuring-revenue-neutrality-572700</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DELALIBERA, Bruno R.; FERREIRA, Pedro Cavalcanti; GOMES, Diego B. P.; SOARES, Johann. Tax reforms and network effects. </w:t>
      </w:r>
      <w:r>
        <w:rPr>
          <w:rFonts w:ascii="Times New Roman" w:hAnsi="Times New Roman"/>
          <w:i/>
          <w:iCs/>
          <w:sz w:val="22"/>
        </w:rPr>
        <w:t xml:space="preserve">Journal of Economic Dynamics and Control</w:t>
      </w:r>
      <w:r>
        <w:rPr>
          <w:rFonts w:ascii="Times New Roman" w:hAnsi="Times New Roman"/>
          <w:sz w:val="22"/>
        </w:rPr>
        <w:t xml:space="preserve">, v. 163, art. 104862, 2024. DOI: 10.1016/j.jedc.2024.104862. Disponível em: </w:t>
      </w:r>
      <w:hyperlink r:id="rId13">
        <w:r>
          <w:rPr>
            <w:rStyle w:val="Hyperlink"/>
          </w:rPr>
          <w:t xml:space="preserve">https://www.sciencedirect.com/science/article/abs/pii/S016518892400054X</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GOBETTI, Sérgio Wulff; MONTEIRO, Priscila Kaiser. Impactos redistributivos da reforma tributária: estimativas atualizadas.</w:t>
      </w:r>
      <w:r>
        <w:rPr>
          <w:rFonts w:ascii="Times New Roman" w:hAnsi="Times New Roman"/>
          <w:sz w:val="22"/>
        </w:rPr>
        <w:t xml:space="preserve"> </w:t>
      </w:r>
      <w:r>
        <w:rPr>
          <w:rFonts w:ascii="Times New Roman" w:hAnsi="Times New Roman"/>
          <w:i/>
          <w:iCs/>
          <w:sz w:val="22"/>
        </w:rPr>
        <w:t xml:space="preserve">Carta de Conjuntura</w:t>
      </w:r>
      <w:r>
        <w:rPr>
          <w:rFonts w:ascii="Times New Roman" w:hAnsi="Times New Roman"/>
          <w:sz w:val="22"/>
        </w:rPr>
        <w:t xml:space="preserve">, Brasília, DF: Ipea, n. 60, nota 18, 3. trim. 2023. Disponível em:</w:t>
      </w:r>
      <w:r>
        <w:rPr>
          <w:rFonts w:ascii="Times New Roman" w:hAnsi="Times New Roman"/>
          <w:sz w:val="22"/>
        </w:rPr>
        <w:t xml:space="preserve"> </w:t>
      </w:r>
      <w:hyperlink r:id="rId47">
        <w:r>
          <w:rPr>
            <w:rStyle w:val="Hyperlink"/>
          </w:rPr>
          <w:t xml:space="preserve">https://www.ipea.gov.br/cartadeconjuntura/wp-content/uploads/2023/08/230828_reforma_tributaria_cc_60_nota_18.pdf</w:t>
        </w:r>
      </w:hyperlink>
      <w:r>
        <w:rPr>
          <w:rFonts w:ascii="Times New Roman" w:hAnsi="Times New Roman"/>
          <w:sz w:val="22"/>
        </w:rPr>
        <w:t xml:space="preserve">. Acesso em: 14 ago. 2026.</w:t>
      </w:r>
    </w:p>
    <w:p>
      <w:pPr>
        <w:pStyle w:val="BodyText"/>
        <w:spacing w:line="240" w:lineRule="auto" w:before="0" w:after="160"/>
        <w:ind w:firstLine="0"/>
        <w:jc w:val="left"/>
      </w:pPr>
      <w:r>
        <w:rPr>
          <w:rFonts w:ascii="Times New Roman" w:hAnsi="Times New Roman"/>
          <w:sz w:val="22"/>
        </w:rPr>
        <w:t xml:space="preserve">HADDAD, Eduardo A.; ARAÚJO, Inácio F.; SACCO, João Gabriel. </w:t>
      </w:r>
      <w:r>
        <w:rPr>
          <w:rFonts w:ascii="Times New Roman" w:hAnsi="Times New Roman"/>
          <w:i/>
          <w:iCs/>
          <w:sz w:val="22"/>
        </w:rPr>
        <w:t xml:space="preserve">Reforma tributária no Brasil: impactos regionais da PEC 45/2019</w:t>
      </w:r>
      <w:r>
        <w:rPr>
          <w:rFonts w:ascii="Times New Roman" w:hAnsi="Times New Roman"/>
          <w:sz w:val="22"/>
        </w:rPr>
        <w:t xml:space="preserve">. São Paulo: NEREUS/USP, 2023. Disponível em: </w:t>
      </w:r>
      <w:hyperlink r:id="rId12">
        <w:r>
          <w:rPr>
            <w:rStyle w:val="Hyperlink"/>
          </w:rPr>
          <w:t xml:space="preserve">https://www.usp.br/nereus/wp-content/uploads/TD_NEREUS_08_2023.pdf</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INSTITUTO BRASILEIRO DE GEOGRAFIA E ESTATÍSTICA (IBGE).</w:t>
      </w:r>
      <w:r>
        <w:rPr>
          <w:rFonts w:ascii="Times New Roman" w:hAnsi="Times New Roman"/>
          <w:sz w:val="22"/>
        </w:rPr>
        <w:t xml:space="preserve"> </w:t>
      </w:r>
      <w:r>
        <w:rPr>
          <w:rFonts w:ascii="Times New Roman" w:hAnsi="Times New Roman"/>
          <w:i/>
          <w:iCs/>
          <w:sz w:val="22"/>
        </w:rPr>
        <w:t xml:space="preserve">Censo Demográfico 2022: população e domicílios: primeiros resultados</w:t>
      </w:r>
      <w:r>
        <w:rPr>
          <w:rFonts w:ascii="Times New Roman" w:hAnsi="Times New Roman"/>
          <w:sz w:val="22"/>
        </w:rPr>
        <w:t xml:space="preserve">. Rio de Janeiro: IBGE, 2023. Disponível em:</w:t>
      </w:r>
      <w:r>
        <w:rPr>
          <w:rFonts w:ascii="Times New Roman" w:hAnsi="Times New Roman"/>
          <w:sz w:val="22"/>
        </w:rPr>
        <w:t xml:space="preserve"> </w:t>
      </w:r>
      <w:hyperlink r:id="rId48">
        <w:r>
          <w:rPr>
            <w:rStyle w:val="Hyperlink"/>
          </w:rPr>
          <w:t xml:space="preserve">https://www.ibge.gov.br/estatisticas/sociais/populacao/22827-censo-demografico-2022.html</w:t>
        </w:r>
      </w:hyperlink>
      <w:r>
        <w:rPr>
          <w:rFonts w:ascii="Times New Roman" w:hAnsi="Times New Roman"/>
          <w:sz w:val="22"/>
        </w:rPr>
        <w:t xml:space="preserve">. Acesso em: 14 ago. 2026.</w:t>
      </w:r>
    </w:p>
    <w:p>
      <w:pPr>
        <w:pStyle w:val="BodyText"/>
        <w:spacing w:line="240" w:lineRule="auto" w:before="0" w:after="160"/>
        <w:ind w:firstLine="0"/>
        <w:jc w:val="left"/>
      </w:pPr>
      <w:r>
        <w:rPr>
          <w:rFonts w:ascii="Times New Roman" w:hAnsi="Times New Roman"/>
          <w:sz w:val="22"/>
        </w:rPr>
        <w:t xml:space="preserve">INSTITUTO BRASILEIRO DE GEOGRAFIA E ESTATÍSTICA (IBGE).</w:t>
      </w:r>
      <w:r>
        <w:rPr>
          <w:rFonts w:ascii="Times New Roman" w:hAnsi="Times New Roman"/>
          <w:sz w:val="22"/>
        </w:rPr>
        <w:t xml:space="preserve"> </w:t>
      </w:r>
      <w:r>
        <w:rPr>
          <w:rFonts w:ascii="Times New Roman" w:hAnsi="Times New Roman"/>
          <w:i/>
          <w:iCs/>
          <w:sz w:val="22"/>
        </w:rPr>
        <w:t xml:space="preserve">Estimativas da população residente nos municípios e nas unidades da Federação: 2019, 2020, 2021, 2024 e 2025</w:t>
      </w:r>
      <w:r>
        <w:rPr>
          <w:rFonts w:ascii="Times New Roman" w:hAnsi="Times New Roman"/>
          <w:sz w:val="22"/>
        </w:rPr>
        <w:t xml:space="preserve">. Rio de Janeiro: IBGE, 2025. Disponível em:</w:t>
      </w:r>
      <w:r>
        <w:rPr>
          <w:rFonts w:ascii="Times New Roman" w:hAnsi="Times New Roman"/>
          <w:sz w:val="22"/>
        </w:rPr>
        <w:t xml:space="preserve"> </w:t>
      </w:r>
      <w:hyperlink r:id="rId49">
        <w:r>
          <w:rPr>
            <w:rStyle w:val="Hyperlink"/>
          </w:rPr>
          <w:t xml:space="preserve">https://ftp.ibge.gov.br/Estimativas_de_Populacao/</w:t>
        </w:r>
      </w:hyperlink>
      <w:r>
        <w:rPr>
          <w:rFonts w:ascii="Times New Roman" w:hAnsi="Times New Roman"/>
          <w:sz w:val="22"/>
        </w:rPr>
        <w:t xml:space="preserve">. Acesso em: 14 ago. 2026.</w:t>
      </w:r>
    </w:p>
    <w:p>
      <w:pPr>
        <w:pStyle w:val="BodyText"/>
        <w:spacing w:line="240" w:lineRule="auto" w:before="0" w:after="160"/>
        <w:ind w:firstLine="0"/>
        <w:jc w:val="left"/>
      </w:pPr>
      <w:r>
        <w:rPr>
          <w:rFonts w:ascii="Times New Roman" w:hAnsi="Times New Roman"/>
          <w:sz w:val="22"/>
        </w:rPr>
        <w:t xml:space="preserve">INSTITUTO BRASILEIRO DE GEOGRAFIA E ESTATÍSTICA (IBGE).</w:t>
      </w:r>
      <w:r>
        <w:rPr>
          <w:rFonts w:ascii="Times New Roman" w:hAnsi="Times New Roman"/>
          <w:sz w:val="22"/>
        </w:rPr>
        <w:t xml:space="preserve"> </w:t>
      </w:r>
      <w:r>
        <w:rPr>
          <w:rFonts w:ascii="Times New Roman" w:hAnsi="Times New Roman"/>
          <w:i/>
          <w:iCs/>
          <w:sz w:val="22"/>
        </w:rPr>
        <w:t xml:space="preserve">Pesquisa de Orçamentos Familiares 2017/2018: primeiros resultados</w:t>
      </w:r>
      <w:r>
        <w:rPr>
          <w:rFonts w:ascii="Times New Roman" w:hAnsi="Times New Roman"/>
          <w:sz w:val="22"/>
        </w:rPr>
        <w:t xml:space="preserve">. Rio de Janeiro: IBGE, 2019. Disponível em:</w:t>
      </w:r>
      <w:r>
        <w:rPr>
          <w:rFonts w:ascii="Times New Roman" w:hAnsi="Times New Roman"/>
          <w:sz w:val="22"/>
        </w:rPr>
        <w:t xml:space="preserve"> </w:t>
      </w:r>
      <w:hyperlink r:id="rId50">
        <w:r>
          <w:rPr>
            <w:rStyle w:val="Hyperlink"/>
          </w:rPr>
          <w:t xml:space="preserve">https://www.ibge.gov.br/estatisticas/sociais/populacao/24786-pesquisa-de-orcamentos-familiares-2.html</w:t>
        </w:r>
      </w:hyperlink>
      <w:r>
        <w:rPr>
          <w:rFonts w:ascii="Times New Roman" w:hAnsi="Times New Roman"/>
          <w:sz w:val="22"/>
        </w:rPr>
        <w:t xml:space="preserve">. Acesso em: 14 ago. 2026.</w:t>
      </w:r>
    </w:p>
    <w:p>
      <w:pPr>
        <w:pStyle w:val="BodyText"/>
        <w:spacing w:line="240" w:lineRule="auto" w:before="0" w:after="160"/>
        <w:ind w:firstLine="0"/>
        <w:jc w:val="left"/>
      </w:pPr>
      <w:r>
        <w:rPr>
          <w:rFonts w:ascii="Times New Roman" w:hAnsi="Times New Roman"/>
          <w:sz w:val="22"/>
        </w:rPr>
        <w:t>INSTITUTO BRASILEIRO DE GEOGRAFIA E ESTATÍSTICA (IBGE). Pesquisa Nacional por Amostra de Domicílios Contínua: rendimento médio mensal domiciliar per capita, 2018 a 2022. Rio de Janeiro: IBGE, 2026. Disponível em: https://sidra.ibge.gov.br/tabela/7395. Acesso em: 5 out. 2026.</w:t>
      </w:r>
      <w:r>
        <w:rPr>
          <w:rFonts w:ascii="Times New Roman" w:hAnsi="Times New Roman"/>
          <w:sz w:val="22"/>
        </w:rPr>
      </w:r>
      <w:r>
        <w:rPr>
          <w:rFonts w:ascii="Times New Roman" w:hAnsi="Times New Roman"/>
          <w:i/>
          <w:iCs/>
          <w:sz w:val="22"/>
        </w:rPr>
      </w:r>
      <w:r>
        <w:rPr>
          <w:rFonts w:ascii="Times New Roman" w:hAnsi="Times New Roman"/>
          <w:sz w:val="22"/>
        </w:rPr>
      </w:r>
      <w:r>
        <w:rPr>
          <w:rFonts w:ascii="Times New Roman" w:hAnsi="Times New Roman"/>
          <w:sz w:val="22"/>
        </w:rPr>
      </w:r>
      <w:hyperlink r:id="rId50">
        <w:r>
          <w:rPr>
            <w:rStyle w:val="Hyperlink"/>
          </w:rPr>
          <w:t xml:space="preserve">https://www.ibge.gov.br/estatisticas/sociais/populacao/24786-pesquisa-de-orcamentos-familiares-2.html</w:t>
        </w:r>
      </w:hyperlink>
      <w:r>
        <w:rPr>
          <w:rFonts w:ascii="Times New Roman" w:hAnsi="Times New Roman"/>
          <w:sz w:val="22"/>
        </w:rPr>
      </w:r>
    </w:p>
    <w:p>
      <w:pPr>
        <w:pStyle w:val="BodyText"/>
        <w:spacing w:line="240" w:lineRule="auto" w:before="0" w:after="160"/>
        <w:ind w:firstLine="0"/>
        <w:jc w:val="left"/>
      </w:pPr>
      <w:r>
        <w:rPr>
          <w:rFonts w:ascii="Times New Roman" w:hAnsi="Times New Roman"/>
          <w:sz w:val="22"/>
        </w:rPr>
        <w:t xml:space="preserve">INSTITUTO BRASILEIRO DE GEOGRAFIA E ESTATÍSTICA (IBGE).</w:t>
      </w:r>
      <w:r>
        <w:rPr>
          <w:rFonts w:ascii="Times New Roman" w:hAnsi="Times New Roman"/>
          <w:sz w:val="22"/>
        </w:rPr>
        <w:t xml:space="preserve"> </w:t>
      </w:r>
      <w:r>
        <w:rPr>
          <w:rFonts w:ascii="Times New Roman" w:hAnsi="Times New Roman"/>
          <w:i/>
          <w:iCs/>
          <w:sz w:val="22"/>
        </w:rPr>
        <w:t xml:space="preserve">Censo Demográfico 2022: trabalho e rendimento: resultados preliminares da amostra</w:t>
      </w:r>
      <w:r>
        <w:rPr>
          <w:rFonts w:ascii="Times New Roman" w:hAnsi="Times New Roman"/>
          <w:sz w:val="22"/>
        </w:rPr>
        <w:t xml:space="preserve">. Rio de Janeiro: IBGE, 2026. Disponível em:</w:t>
      </w:r>
      <w:r>
        <w:rPr>
          <w:rFonts w:ascii="Times New Roman" w:hAnsi="Times New Roman"/>
          <w:sz w:val="22"/>
        </w:rPr>
        <w:t xml:space="preserve"> </w:t>
      </w:r>
      <w:hyperlink r:id="rId51">
        <w:r>
          <w:rPr>
            <w:rStyle w:val="Hyperlink"/>
          </w:rPr>
          <w:t xml:space="preserve">https://www.ibge.gov.br/estatisticas/sociais/trabalho/22827-censo-demografico-2022.html</w:t>
        </w:r>
      </w:hyperlink>
      <w:r>
        <w:rPr>
          <w:rFonts w:ascii="Times New Roman" w:hAnsi="Times New Roman"/>
          <w:sz w:val="22"/>
        </w:rPr>
        <w:t xml:space="preserve">. Acesso em: 14 ago. 2026.</w:t>
      </w:r>
    </w:p>
    <w:p>
      <w:pPr>
        <w:pStyle w:val="BodyText"/>
        <w:spacing w:line="240" w:lineRule="auto" w:before="0" w:after="160"/>
        <w:ind w:firstLine="0"/>
        <w:jc w:val="left"/>
      </w:pPr>
      <w:r>
        <w:rPr>
          <w:rFonts w:ascii="Times New Roman" w:hAnsi="Times New Roman"/>
          <w:sz w:val="22"/>
        </w:rPr>
        <w:t xml:space="preserve">INSTITUIÇÃO FISCAL INDEPENDENTE (IFI).</w:t>
      </w:r>
      <w:r>
        <w:rPr>
          <w:rFonts w:ascii="Times New Roman" w:hAnsi="Times New Roman"/>
          <w:sz w:val="22"/>
        </w:rPr>
        <w:t xml:space="preserve"> </w:t>
      </w:r>
      <w:r>
        <w:rPr>
          <w:rFonts w:ascii="Times New Roman" w:hAnsi="Times New Roman"/>
          <w:i/>
          <w:iCs/>
          <w:sz w:val="22"/>
        </w:rPr>
        <w:t xml:space="preserve">Relatório de Acompanhamento Fiscal n.</w:t>
      </w:r>
      <w:r>
        <w:rPr>
          <w:rFonts w:ascii="Times New Roman" w:hAnsi="Times New Roman"/>
          <w:i/>
          <w:iCs/>
          <w:sz w:val="22"/>
          <w:vertAlign w:val="superscript"/>
        </w:rPr>
        <w:t xml:space="preserve">o</w:t>
      </w:r>
      <w:r>
        <w:rPr>
          <w:rFonts w:ascii="Times New Roman" w:hAnsi="Times New Roman"/>
          <w:i/>
          <w:iCs/>
          <w:sz w:val="22"/>
        </w:rPr>
        <w:t xml:space="preserve"> </w:t>
      </w:r>
      <w:r>
        <w:rPr>
          <w:rFonts w:ascii="Times New Roman" w:hAnsi="Times New Roman"/>
          <w:i/>
          <w:iCs/>
          <w:sz w:val="22"/>
        </w:rPr>
        <w:t xml:space="preserve">107</w:t>
      </w:r>
      <w:r>
        <w:rPr>
          <w:rFonts w:ascii="Times New Roman" w:hAnsi="Times New Roman"/>
          <w:sz w:val="22"/>
        </w:rPr>
        <w:t xml:space="preserve">. Brasília, DF: Senado Federal, dez. 2025. Disponível em:</w:t>
      </w:r>
      <w:r>
        <w:rPr>
          <w:rFonts w:ascii="Times New Roman" w:hAnsi="Times New Roman"/>
          <w:sz w:val="22"/>
        </w:rPr>
        <w:t xml:space="preserve"> </w:t>
      </w:r>
      <w:hyperlink r:id="rId52">
        <w:r>
          <w:rPr>
            <w:rStyle w:val="Hyperlink"/>
          </w:rPr>
          <w:t xml:space="preserve">https://www2.senado.leg.br/bdsf/bitstream/handle/id/816727/RAF107_DEZ2025.pdf</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OATES, Wallace E. An essay on fiscal federalism. </w:t>
      </w:r>
      <w:r>
        <w:rPr>
          <w:rFonts w:ascii="Times New Roman" w:hAnsi="Times New Roman"/>
          <w:i/>
          <w:iCs/>
          <w:sz w:val="22"/>
        </w:rPr>
        <w:t xml:space="preserve">Journal of Economic Literature</w:t>
      </w:r>
      <w:r>
        <w:rPr>
          <w:rFonts w:ascii="Times New Roman" w:hAnsi="Times New Roman"/>
          <w:sz w:val="22"/>
        </w:rPr>
        <w:t xml:space="preserve">, v. 37, n. 3, p. 1120-1149, set. 1999. DOI: 10.1257/jel.37.3.1120. Disponível em: </w:t>
      </w:r>
      <w:hyperlink r:id="rId11">
        <w:r>
          <w:rPr>
            <w:rStyle w:val="Hyperlink"/>
          </w:rPr>
          <w:t xml:space="preserve">https://www.aeaweb.org/articles?id=10.1257/jel.37.3.1120</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OECD. </w:t>
      </w:r>
      <w:r>
        <w:rPr>
          <w:rFonts w:ascii="Times New Roman" w:hAnsi="Times New Roman"/>
          <w:i/>
          <w:iCs/>
          <w:sz w:val="22"/>
        </w:rPr>
        <w:t xml:space="preserve">International VAT/GST Guidelines</w:t>
      </w:r>
      <w:r>
        <w:rPr>
          <w:rFonts w:ascii="Times New Roman" w:hAnsi="Times New Roman"/>
          <w:sz w:val="22"/>
        </w:rPr>
        <w:t xml:space="preserve">. Paris: OECD Publishing, 2017. DOI: 10.1787/9789264271401-en. Disponível em: </w:t>
      </w:r>
      <w:hyperlink r:id="rId14">
        <w:r>
          <w:rPr>
            <w:rStyle w:val="Hyperlink"/>
          </w:rPr>
          <w:t xml:space="preserve">https://www.oecd.org/en/publications/international-vat-gst-guidelines_9789264271401-en.html</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ORAIR, Rodrigo Octávio; GOBETTI, Sérgio Wulff. Reforma tributária e federalismo fiscal: uma análise das propostas de criação de um novo imposto sobre o valor adicionado para o Brasil. </w:t>
      </w:r>
      <w:r>
        <w:rPr>
          <w:rFonts w:ascii="Times New Roman" w:hAnsi="Times New Roman"/>
          <w:i/>
          <w:iCs/>
          <w:sz w:val="22"/>
        </w:rPr>
        <w:t xml:space="preserve">Cadernos de Finanças Públicas</w:t>
      </w:r>
      <w:r>
        <w:rPr>
          <w:rFonts w:ascii="Times New Roman" w:hAnsi="Times New Roman"/>
          <w:sz w:val="22"/>
        </w:rPr>
        <w:t xml:space="preserve">, Brasília, v. 21, n. 1, p. 1-51, 2021. DOI: 10.55532/1806-8944.2021.131. Disponível em: </w:t>
      </w:r>
      <w:hyperlink r:id="rId15">
        <w:r>
          <w:rPr>
            <w:rStyle w:val="Hyperlink"/>
          </w:rPr>
          <w:t xml:space="preserve">https://publicacoes.tesouro.gov.br/index.php/cadernos/article/view/131</w:t>
        </w:r>
      </w:hyperlink>
      <w:r>
        <w:rPr>
          <w:rFonts w:ascii="Times New Roman" w:hAnsi="Times New Roman"/>
          <w:sz w:val="22"/>
        </w:rPr>
        <w:t xml:space="preserve">. Acesso em: 8 out. 2026.</w:t>
      </w:r>
    </w:p>
    <w:p>
      <w:pPr>
        <w:pStyle w:val="BodyText"/>
        <w:spacing w:line="240" w:lineRule="auto" w:before="0" w:after="160"/>
        <w:ind w:firstLine="0"/>
        <w:jc w:val="left"/>
      </w:pPr>
      <w:r>
        <w:rPr>
          <w:rFonts w:ascii="Times New Roman" w:hAnsi="Times New Roman"/>
          <w:sz w:val="22"/>
        </w:rPr>
        <w:t xml:space="preserve">PARANÁ. Governo do Estado.</w:t>
      </w:r>
      <w:r>
        <w:rPr>
          <w:rFonts w:ascii="Times New Roman" w:hAnsi="Times New Roman"/>
          <w:sz w:val="22"/>
        </w:rPr>
        <w:t xml:space="preserve"> </w:t>
      </w:r>
      <w:r>
        <w:rPr>
          <w:rFonts w:ascii="Times New Roman" w:hAnsi="Times New Roman"/>
          <w:i/>
          <w:iCs/>
          <w:sz w:val="22"/>
        </w:rPr>
        <w:t xml:space="preserve">Portal da Transparência: repasses do Governo Estadual aos municípios</w:t>
      </w:r>
      <w:r>
        <w:rPr>
          <w:rFonts w:ascii="Times New Roman" w:hAnsi="Times New Roman"/>
          <w:sz w:val="22"/>
        </w:rPr>
        <w:t xml:space="preserve">. Curitiba: Governo do Estado do Paraná, 2026. Disponível em:</w:t>
      </w:r>
      <w:r>
        <w:rPr>
          <w:rFonts w:ascii="Times New Roman" w:hAnsi="Times New Roman"/>
          <w:sz w:val="22"/>
        </w:rPr>
        <w:t xml:space="preserve"> </w:t>
      </w:r>
      <w:hyperlink r:id="rId54">
        <w:r>
          <w:rPr>
            <w:rStyle w:val="Hyperlink"/>
          </w:rPr>
          <w:t xml:space="preserve">https://www.transparencia.pr.gov.br/</w:t>
        </w:r>
      </w:hyperlink>
      <w:r>
        <w:rPr>
          <w:rFonts w:ascii="Times New Roman" w:hAnsi="Times New Roman"/>
          <w:sz w:val="22"/>
        </w:rPr>
        <w:t xml:space="preserve">. Acesso em: 30 set. 2026.</w:t>
      </w:r>
    </w:p>
    <w:p>
      <w:pPr>
        <w:pStyle w:val="BodyText"/>
        <w:spacing w:line="240" w:lineRule="auto" w:before="0" w:after="160"/>
        <w:ind w:firstLine="0"/>
        <w:jc w:val="left"/>
      </w:pPr>
      <w:r>
        <w:rPr>
          <w:rFonts w:ascii="Times New Roman" w:hAnsi="Times New Roman"/>
          <w:sz w:val="22"/>
        </w:rPr>
        <w:t xml:space="preserve">PRADO, Sérgio.</w:t>
      </w:r>
      <w:r>
        <w:rPr>
          <w:rFonts w:ascii="Times New Roman" w:hAnsi="Times New Roman"/>
          <w:sz w:val="22"/>
        </w:rPr>
        <w:t xml:space="preserve"> </w:t>
      </w:r>
      <w:r>
        <w:rPr>
          <w:rFonts w:ascii="Times New Roman" w:hAnsi="Times New Roman"/>
          <w:i/>
          <w:iCs/>
          <w:sz w:val="22"/>
        </w:rPr>
        <w:t xml:space="preserve">A dimensão federativa da reforma tributária: uma síntese didática e vários pontos críticos</w:t>
      </w:r>
      <w:r>
        <w:rPr>
          <w:rFonts w:ascii="Times New Roman" w:hAnsi="Times New Roman"/>
          <w:sz w:val="22"/>
        </w:rPr>
        <w:t xml:space="preserve">. Redação final. [S. l.]: [s. n.], jun. 2025. Disponível em:</w:t>
      </w:r>
      <w:r>
        <w:rPr>
          <w:rFonts w:ascii="Times New Roman" w:hAnsi="Times New Roman"/>
          <w:sz w:val="22"/>
        </w:rPr>
        <w:t xml:space="preserve"> </w:t>
      </w:r>
      <w:hyperlink r:id="rId55">
        <w:r>
          <w:rPr>
            <w:rStyle w:val="Hyperlink"/>
          </w:rPr>
          <w:t xml:space="preserve">https://www.joserobertoafonso.com.br/wp-content/uploads/2025/08/A_DIMENSAO_FEDERATIVA_DA_REFORMA_TRIBUTARIA.pdf</w:t>
        </w:r>
      </w:hyperlink>
      <w:r>
        <w:rPr>
          <w:rFonts w:ascii="Times New Roman" w:hAnsi="Times New Roman"/>
          <w:sz w:val="22"/>
        </w:rPr>
        <w:t xml:space="preserve">. Acesso em: 10 jun. 2026.</w:t>
      </w:r>
    </w:p>
    <w:p>
      <w:pPr>
        <w:pStyle w:val="BodyText"/>
        <w:spacing w:line="240" w:lineRule="auto" w:before="0" w:after="160"/>
        <w:ind w:firstLine="0"/>
        <w:jc w:val="left"/>
      </w:pPr>
      <w:r>
        <w:rPr>
          <w:rFonts w:ascii="Times New Roman" w:hAnsi="Times New Roman"/>
          <w:sz w:val="22"/>
        </w:rPr>
        <w:t xml:space="preserve">SECRETARIA DO TESOURO NACIONAL (STN).</w:t>
      </w:r>
      <w:r>
        <w:rPr>
          <w:rFonts w:ascii="Times New Roman" w:hAnsi="Times New Roman"/>
          <w:sz w:val="22"/>
        </w:rPr>
        <w:t xml:space="preserve"> </w:t>
      </w:r>
      <w:r>
        <w:rPr>
          <w:rFonts w:ascii="Times New Roman" w:hAnsi="Times New Roman"/>
          <w:i/>
          <w:iCs/>
          <w:sz w:val="22"/>
        </w:rPr>
        <w:t xml:space="preserve">Siconfi: Sistema de Informações Contábeis e Fiscais do Setor Público Brasileiro</w:t>
      </w:r>
      <w:r>
        <w:rPr>
          <w:rFonts w:ascii="Times New Roman" w:hAnsi="Times New Roman"/>
          <w:sz w:val="22"/>
        </w:rPr>
        <w:t xml:space="preserve">. Declaração de Contas Anuais, </w:t>
      </w:r>
      <w:r>
        <w:rPr>
          <w:rFonts w:ascii="Times New Roman" w:hAnsi="Times New Roman"/>
          <w:sz w:val="22"/>
        </w:rPr>
        <w:t>Anexo I-C, 2019 a 2025, e Relatório Resumido da Execução Orçamentária (RREO), 2026.</w:t>
      </w:r>
      <w:r>
        <w:rPr>
          <w:rFonts w:ascii="Times New Roman" w:hAnsi="Times New Roman"/>
          <w:sz w:val="22"/>
        </w:rPr>
        <w:t xml:space="preserve"> Brasília, DF: STN, 2026. Disponível em:</w:t>
      </w:r>
      <w:r>
        <w:rPr>
          <w:rFonts w:ascii="Times New Roman" w:hAnsi="Times New Roman"/>
          <w:sz w:val="22"/>
        </w:rPr>
        <w:t xml:space="preserve"> </w:t>
      </w:r>
      <w:hyperlink r:id="rId56">
        <w:r>
          <w:rPr>
            <w:rStyle w:val="Hyperlink"/>
          </w:rPr>
          <w:t xml:space="preserve">https://siconfi.tesouro.gov.br/</w:t>
        </w:r>
      </w:hyperlink>
      <w:r>
        <w:rPr>
          <w:rFonts w:ascii="Times New Roman" w:hAnsi="Times New Roman"/>
          <w:sz w:val="22"/>
        </w:rPr>
        <w:t xml:space="preserve">. Acesso em: 8 ago. 2026.</w:t>
      </w:r>
    </w:p>
    <w:p>
      <w:pPr>
        <w:pStyle w:val="BodyText"/>
        <w:spacing w:line="240" w:lineRule="auto" w:before="0" w:after="160"/>
        <w:ind w:firstLine="0"/>
        <w:jc w:val="left"/>
      </w:pPr>
      <w:r>
        <w:rPr>
          <w:rFonts w:ascii="Times New Roman" w:hAnsi="Times New Roman"/>
          <w:sz w:val="22"/>
        </w:rPr>
        <w:t xml:space="preserve">TRIBUNAL DE CONTAS DO ESTADO DO PARANÁ (TCE-PR).</w:t>
      </w:r>
      <w:r>
        <w:rPr>
          <w:rFonts w:ascii="Times New Roman" w:hAnsi="Times New Roman"/>
          <w:sz w:val="22"/>
        </w:rPr>
        <w:t xml:space="preserve"> </w:t>
      </w:r>
      <w:r>
        <w:rPr>
          <w:rFonts w:ascii="Times New Roman" w:hAnsi="Times New Roman"/>
          <w:i/>
          <w:iCs/>
          <w:sz w:val="22"/>
        </w:rPr>
        <w:t xml:space="preserve">Portal de Informação para Todos (PIT): relatório de receitas e repasses; Sistema de Informações Municipais: Acompanhamento Mensal (SIM-AM)</w:t>
      </w:r>
      <w:r>
        <w:rPr>
          <w:rFonts w:ascii="Times New Roman" w:hAnsi="Times New Roman"/>
          <w:sz w:val="22"/>
        </w:rPr>
        <w:t xml:space="preserve">. Curitiba: TCE-PR, 2026. Disponível em:</w:t>
      </w:r>
      <w:r>
        <w:rPr>
          <w:rFonts w:ascii="Times New Roman" w:hAnsi="Times New Roman"/>
          <w:sz w:val="22"/>
        </w:rPr>
        <w:t xml:space="preserve"> </w:t>
      </w:r>
      <w:hyperlink r:id="rId57">
        <w:r>
          <w:rPr>
            <w:rStyle w:val="Hyperlink"/>
          </w:rPr>
          <w:t xml:space="preserve">https://pit.tce.pr.gov.br/Arquivos/Repasses-Receitas.html</w:t>
        </w:r>
      </w:hyperlink>
      <w:r>
        <w:rPr>
          <w:rFonts w:ascii="Times New Roman" w:hAnsi="Times New Roman"/>
          <w:sz w:val="22"/>
        </w:rPr>
        <w:t xml:space="preserve">. Acesso em: 30 set. 2026.</w:t>
      </w:r>
    </w:p>
    <w:bookmarkEnd w:id="58"/>
    <w:bookmarkStart w:id="71" w:name="X5d2fd5eb702254664b89843c7b0355101eeb182"/>
    <w:p>
      <w:pPr>
        <w:pStyle w:val="Heading1"/>
        <w:pageBreakBefore/>
      </w:pPr>
      <w:r>
        <w:t xml:space="preserve">Anexo A: Validação externa e memórias de cálculo</w:t>
      </w:r>
    </w:p>
    <w:p>
      <w:pPr>
        <w:pStyle w:val="FirstParagraph"/>
      </w:pPr>
      <w:r>
        <w:t>Este anexo reúne sete conjuntos de resultados complementares. O primeiro confronta diretamente as projeções estaduais deste estudo com as apresentadas pelo Ipea ao Confaz, tanto na base de 2025 quanto em 2033. O segundo apresenta a memória de cálculo do coeficiente de participação do governo estadual do Paraná na transição federativa. O terceiro apresenta a associação entre os coeficientes de repartição e a variação da receita estadual em 2033. O quarto destrincha, como exemplo, o cálculo da receita estadual do Paraná em 2033. O quinto compara Curitiba com as demais capitais brasileiras no mesmo ano. O sexto reúne os símbolos e as definições utilizados no modelo de projeção, e o sétimo apresenta a sensibilidade do resultado de 2033 ao ano-base do contrafactual e ao coeficiente de destino.</w:t>
      </w:r>
    </w:p>
    <w:bookmarkStart w:id="59" w:name="tab:anexo_validacao"/>
    <w:p>
      <w:pPr>
        <w:pStyle w:val="TableCaption"/>
      </w:pPr>
      <w:r>
        <w:rPr>
          <w:b/>
          <w:bCs/>
        </w:rPr>
        <w:t xml:space="preserve">Tabela A.1:</w:t>
      </w:r>
      <w:r>
        <w:t xml:space="preserve"> Validação externa das projeções estaduais: este estudo e Ipea, base de 2025 e projeção de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0" w:lastRow="0" w:firstColumn="0" w:lastColumn="0" w:noHBand="0" w:noVBand="0" w:val="0000"/>
        <w:tblCaption w:val="Tabela A.1: Validação externa das projeções estaduais: este estudo e Ipea, base de 2025 e projeção de 2033"/>
      </w:tblPr>
      <w:tblGrid>
        <w:gridCol w:w="590"/>
        <w:gridCol w:w="1696"/>
        <w:gridCol w:w="1327"/>
        <w:gridCol w:w="958"/>
        <w:gridCol w:w="1106"/>
        <w:gridCol w:w="1327"/>
        <w:gridCol w:w="958"/>
        <w:gridCol w:w="1106"/>
      </w:tblGrid>
      <w:tr>
        <w:trPr>
          <w:cantSplit/>
          <w:tblHeader/>
        </w:trPr>
        <w:tc>
          <w:tcPr>
            <w:tcW w:type="dxa" w:w="590"/>
            <w:tcBorders>
              <w:top w:val="single" w:sz="12" w:space="0" w:color="000000"/>
              <w:bottom w:val="single" w:sz="6" w:space="0" w:color="000000"/>
            </w:tcBorders>
          </w:tcPr>
          <w:p>
            <w:pPr>
              <w:pStyle w:val="Compact"/>
              <w:spacing w:line="240" w:lineRule="auto" w:before="20" w:after="20"/>
              <w:ind w:firstLine="0"/>
              <w:jc w:val="center"/>
            </w:pPr>
          </w:p>
        </w:tc>
        <w:tc>
          <w:tcPr>
            <w:tcW w:type="dxa" w:w="1696"/>
            <w:tcBorders>
              <w:top w:val="single" w:sz="12" w:space="0" w:color="000000"/>
              <w:bottom w:val="single" w:sz="6" w:space="0" w:color="000000"/>
            </w:tcBorders>
          </w:tcPr>
          <w:p>
            <w:pPr>
              <w:pStyle w:val="Compact"/>
              <w:spacing w:line="240" w:lineRule="auto" w:before="20" w:after="20"/>
              <w:ind w:firstLine="0"/>
              <w:jc w:val="center"/>
            </w:pPr>
          </w:p>
        </w:tc>
        <w:tc>
          <w:tcPr>
            <w:tcW w:type="dxa" w:w="3392"/>
            <w:gridSpan w:val="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Base 2025</w:t>
            </w:r>
          </w:p>
        </w:tc>
        <w:tc>
          <w:tcPr>
            <w:tcW w:type="dxa" w:w="3392"/>
            <w:gridSpan w:val="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Projeção 2033</w:t>
            </w:r>
          </w:p>
        </w:tc>
      </w:tr>
      <w:tr>
        <w:trPr>
          <w:cantSplit/>
        </w:trPr>
        <w:tc>
          <w:tcPr>
            <w:tcW w:type="dxa" w:w="590"/>
          </w:tcPr>
          <w:p>
            <w:pPr>
              <w:pStyle w:val="Compact"/>
              <w:spacing w:line="240" w:lineRule="auto" w:before="20" w:after="20"/>
              <w:ind w:firstLine="0"/>
              <w:jc w:val="left"/>
            </w:pPr>
            <w:r>
              <w:rPr>
                <w:rFonts w:ascii="Times New Roman" w:hAnsi="Times New Roman"/>
                <w:b/>
                <w:bCs/>
                <w:sz w:val="16"/>
              </w:rPr>
              <w:t xml:space="preserve">UF</w:t>
            </w:r>
          </w:p>
        </w:tc>
        <w:tc>
          <w:tcPr>
            <w:tcW w:type="dxa" w:w="1696"/>
          </w:tcPr>
          <w:p>
            <w:pPr>
              <w:pStyle w:val="Compact"/>
              <w:spacing w:line="240" w:lineRule="auto" w:before="20" w:after="20"/>
              <w:ind w:firstLine="0"/>
              <w:jc w:val="left"/>
            </w:pPr>
            <w:r>
              <w:rPr>
                <w:rFonts w:ascii="Times New Roman" w:hAnsi="Times New Roman"/>
                <w:b/>
                <w:bCs/>
                <w:sz w:val="16"/>
              </w:rPr>
              <w:t xml:space="preserve">Estado</w:t>
            </w:r>
          </w:p>
        </w:tc>
        <w:tc>
          <w:tcPr>
            <w:tcW w:type="dxa" w:w="1327"/>
          </w:tcPr>
          <w:p>
            <w:pPr>
              <w:pStyle w:val="Compact"/>
              <w:spacing w:line="240" w:lineRule="auto" w:before="20" w:after="20"/>
              <w:ind w:firstLine="0"/>
              <w:jc w:val="right"/>
            </w:pPr>
            <w:r>
              <w:rPr>
                <w:rFonts w:ascii="Times New Roman" w:hAnsi="Times New Roman"/>
                <w:b/>
                <w:bCs/>
                <w:sz w:val="16"/>
              </w:rPr>
              <w:t xml:space="preserve">Este estudo</w:t>
            </w:r>
            <w:r>
              <w:rPr>
                <w:rFonts w:ascii="Times New Roman" w:hAnsi="Times New Roman"/>
                <w:sz w:val="16"/>
              </w:rPr>
              <w:br/>
            </w:r>
            <w:r>
              <w:rPr>
                <w:rFonts w:ascii="Times New Roman" w:hAnsi="Times New Roman"/>
                <w:b/>
                <w:bCs/>
                <w:sz w:val="16"/>
              </w:rPr>
              <w:t xml:space="preserve">R$ bi</w:t>
            </w:r>
          </w:p>
        </w:tc>
        <w:tc>
          <w:tcPr>
            <w:tcW w:type="dxa" w:w="958"/>
          </w:tcPr>
          <w:p>
            <w:pPr>
              <w:pStyle w:val="Compact"/>
              <w:spacing w:line="240" w:lineRule="auto" w:before="20" w:after="20"/>
              <w:ind w:firstLine="0"/>
              <w:jc w:val="right"/>
            </w:pPr>
            <w:r>
              <w:rPr>
                <w:rFonts w:ascii="Times New Roman" w:hAnsi="Times New Roman"/>
                <w:b/>
                <w:bCs/>
                <w:sz w:val="16"/>
              </w:rPr>
              <w:t xml:space="preserve">Ipea</w:t>
            </w:r>
            <w:r>
              <w:rPr>
                <w:rFonts w:ascii="Times New Roman" w:hAnsi="Times New Roman"/>
                <w:sz w:val="16"/>
              </w:rPr>
              <w:br/>
            </w:r>
            <w:r>
              <w:rPr>
                <w:rFonts w:ascii="Times New Roman" w:hAnsi="Times New Roman"/>
                <w:b/>
                <w:bCs/>
                <w:sz w:val="16"/>
              </w:rPr>
              <w:t xml:space="preserve">R$ bi</w:t>
            </w:r>
          </w:p>
        </w:tc>
        <w:tc>
          <w:tcPr>
            <w:tcW w:type="dxa" w:w="1106"/>
          </w:tcPr>
          <w:p>
            <w:pPr>
              <w:pStyle w:val="Compact"/>
              <w:spacing w:line="240" w:lineRule="auto" w:before="20" w:after="20"/>
              <w:ind w:firstLine="0"/>
              <w:jc w:val="right"/>
            </w:pPr>
            <m:oMath>
              <m:r>
                <m:rPr>
                  <m:sty m:val="p"/>
                </m:rPr>
                <m:t>Δ</m:t>
              </m:r>
            </m:oMath>
            <w:r>
              <w:rPr>
                <w:rFonts w:ascii="Times New Roman" w:hAnsi="Times New Roman"/>
                <w:b/>
                <w:bCs/>
                <w:sz w:val="16"/>
              </w:rPr>
              <w:t xml:space="preserve"> </w:t>
            </w:r>
            <w:r>
              <w:rPr>
                <w:rFonts w:ascii="Times New Roman" w:hAnsi="Times New Roman"/>
                <w:b/>
                <w:bCs/>
                <w:sz w:val="16"/>
              </w:rPr>
              <w:t xml:space="preserve">base</w:t>
            </w:r>
            <w:r>
              <w:rPr>
                <w:rFonts w:ascii="Times New Roman" w:hAnsi="Times New Roman"/>
                <w:sz w:val="16"/>
              </w:rPr>
              <w:br/>
            </w:r>
            <w:r>
              <w:rPr>
                <w:rFonts w:ascii="Times New Roman" w:hAnsi="Times New Roman"/>
                <w:b/>
                <w:bCs/>
                <w:sz w:val="16"/>
              </w:rPr>
              <w:t xml:space="preserve">(%)</w:t>
            </w:r>
          </w:p>
        </w:tc>
        <w:tc>
          <w:tcPr>
            <w:tcW w:type="dxa" w:w="1327"/>
          </w:tcPr>
          <w:p>
            <w:pPr>
              <w:pStyle w:val="Compact"/>
              <w:spacing w:line="240" w:lineRule="auto" w:before="20" w:after="20"/>
              <w:ind w:firstLine="0"/>
              <w:jc w:val="right"/>
            </w:pPr>
            <w:r>
              <w:rPr>
                <w:rFonts w:ascii="Times New Roman" w:hAnsi="Times New Roman"/>
                <w:b/>
                <w:bCs/>
                <w:sz w:val="16"/>
              </w:rPr>
              <w:t xml:space="preserve">Este estudo</w:t>
            </w:r>
            <w:r>
              <w:rPr>
                <w:rFonts w:ascii="Times New Roman" w:hAnsi="Times New Roman"/>
                <w:sz w:val="16"/>
              </w:rPr>
              <w:br/>
            </w:r>
            <w:r>
              <w:rPr>
                <w:rFonts w:ascii="Times New Roman" w:hAnsi="Times New Roman"/>
                <w:b/>
                <w:bCs/>
                <w:sz w:val="16"/>
              </w:rPr>
              <w:t xml:space="preserve">R$ bi</w:t>
            </w:r>
          </w:p>
        </w:tc>
        <w:tc>
          <w:tcPr>
            <w:tcW w:type="dxa" w:w="958"/>
          </w:tcPr>
          <w:p>
            <w:pPr>
              <w:pStyle w:val="Compact"/>
              <w:spacing w:line="240" w:lineRule="auto" w:before="20" w:after="20"/>
              <w:ind w:firstLine="0"/>
              <w:jc w:val="right"/>
            </w:pPr>
            <w:r>
              <w:rPr>
                <w:rFonts w:ascii="Times New Roman" w:hAnsi="Times New Roman"/>
                <w:b/>
                <w:bCs/>
                <w:sz w:val="16"/>
              </w:rPr>
              <w:t xml:space="preserve">Ipea</w:t>
            </w:r>
            <w:r>
              <w:rPr>
                <w:rFonts w:ascii="Times New Roman" w:hAnsi="Times New Roman"/>
                <w:sz w:val="16"/>
              </w:rPr>
              <w:br/>
            </w:r>
            <w:r>
              <w:rPr>
                <w:rFonts w:ascii="Times New Roman" w:hAnsi="Times New Roman"/>
                <w:b/>
                <w:bCs/>
                <w:sz w:val="16"/>
              </w:rPr>
              <w:t xml:space="preserve">R$ bi</w:t>
            </w:r>
          </w:p>
        </w:tc>
        <w:tc>
          <w:tcPr>
            <w:tcW w:type="dxa" w:w="1106"/>
          </w:tcPr>
          <w:p>
            <w:pPr>
              <w:pStyle w:val="Compact"/>
              <w:spacing w:line="240" w:lineRule="auto" w:before="20" w:after="20"/>
              <w:ind w:firstLine="0"/>
              <w:jc w:val="right"/>
            </w:pPr>
            <m:oMath>
              <m:r>
                <m:rPr>
                  <m:sty m:val="p"/>
                </m:rPr>
                <m:t>Δ</m:t>
              </m:r>
            </m:oMath>
            <w:r>
              <w:rPr>
                <w:rFonts w:ascii="Times New Roman" w:hAnsi="Times New Roman"/>
                <w:b/>
                <w:bCs/>
                <w:sz w:val="16"/>
              </w:rPr>
              <w:t xml:space="preserve"> </w:t>
            </w:r>
            <w:r>
              <w:rPr>
                <w:rFonts w:ascii="Times New Roman" w:hAnsi="Times New Roman"/>
                <w:b/>
                <w:bCs/>
                <w:sz w:val="16"/>
              </w:rPr>
              <w:t xml:space="preserve">2033</w:t>
            </w:r>
            <w:r>
              <w:rPr>
                <w:rFonts w:ascii="Times New Roman" w:hAnsi="Times New Roman"/>
                <w:sz w:val="16"/>
              </w:rPr>
              <w:br/>
            </w:r>
            <w:r>
              <w:rPr>
                <w:rFonts w:ascii="Times New Roman" w:hAnsi="Times New Roman"/>
                <w:b/>
                <w:bCs/>
                <w:sz w:val="16"/>
              </w:rPr>
              <w:t xml:space="preserve">(%)</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AM</w:t>
            </w:r>
          </w:p>
        </w:tc>
        <w:tc>
          <w:tcPr>
            <w:tcW w:type="dxa" w:w="1696"/>
          </w:tcPr>
          <w:p>
            <w:pPr>
              <w:pStyle w:val="Compact"/>
              <w:spacing w:line="240" w:lineRule="auto" w:before="20" w:after="20"/>
              <w:ind w:firstLine="0"/>
              <w:jc w:val="left"/>
            </w:pPr>
            <w:r>
              <w:rPr>
                <w:rFonts w:ascii="Times New Roman" w:hAnsi="Times New Roman"/>
                <w:sz w:val="16"/>
              </w:rPr>
              <w:t xml:space="preserve">Amazonas</w:t>
            </w:r>
          </w:p>
        </w:tc>
        <w:tc>
          <w:tcPr>
            <w:tcW w:type="dxa" w:w="1327"/>
          </w:tcPr>
          <w:p>
            <w:pPr>
              <w:pStyle w:val="Compact"/>
              <w:spacing w:line="240" w:lineRule="auto" w:before="20" w:after="20"/>
              <w:ind w:firstLine="0"/>
              <w:jc w:val="right"/>
            </w:pPr>
            <w:r>
              <w:rPr>
                <w:rFonts w:ascii="Times New Roman" w:hAnsi="Times New Roman"/>
                <w:sz w:val="16"/>
              </w:rPr>
              <w:t>15,9</w:t>
            </w:r>
          </w:p>
        </w:tc>
        <w:tc>
          <w:tcPr>
            <w:tcW w:type="dxa" w:w="958"/>
          </w:tcPr>
          <w:p>
            <w:pPr>
              <w:pStyle w:val="Compact"/>
              <w:spacing w:line="240" w:lineRule="auto" w:before="20" w:after="20"/>
              <w:ind w:firstLine="0"/>
              <w:jc w:val="right"/>
            </w:pPr>
            <w:r>
              <w:rPr>
                <w:rFonts w:ascii="Times New Roman" w:hAnsi="Times New Roman"/>
                <w:sz w:val="16"/>
              </w:rPr>
              <w:t xml:space="preserve">16,2</w:t>
            </w:r>
          </w:p>
        </w:tc>
        <w:tc>
          <w:tcPr>
            <w:tcW w:type="dxa" w:w="1106"/>
          </w:tcPr>
          <w:p>
            <w:pPr>
              <w:pStyle w:val="Compact"/>
              <w:spacing w:line="240" w:lineRule="auto" w:before="20" w:after="20"/>
              <w:ind w:firstLine="0"/>
              <w:jc w:val="right"/>
            </w:pPr>
            <w:r>
              <w:rPr>
                <w:rFonts w:ascii="Times New Roman" w:hAnsi="Times New Roman"/>
                <w:sz w:val="16"/>
              </w:rPr>
              <w:t>+2,4%</w:t>
            </w:r>
          </w:p>
        </w:tc>
        <w:tc>
          <w:tcPr>
            <w:tcW w:type="dxa" w:w="1327"/>
          </w:tcPr>
          <w:p>
            <w:pPr>
              <w:pStyle w:val="Compact"/>
              <w:spacing w:line="240" w:lineRule="auto" w:before="20" w:after="20"/>
              <w:ind w:firstLine="0"/>
              <w:jc w:val="right"/>
            </w:pPr>
            <w:r>
              <w:rPr>
                <w:rFonts w:ascii="Times New Roman" w:hAnsi="Times New Roman"/>
                <w:sz w:val="16"/>
              </w:rPr>
              <w:t>20,3</w:t>
            </w:r>
          </w:p>
        </w:tc>
        <w:tc>
          <w:tcPr>
            <w:tcW w:type="dxa" w:w="958"/>
          </w:tcPr>
          <w:p>
            <w:pPr>
              <w:pStyle w:val="Compact"/>
              <w:spacing w:line="240" w:lineRule="auto" w:before="20" w:after="20"/>
              <w:ind w:firstLine="0"/>
              <w:jc w:val="right"/>
            </w:pPr>
            <w:r>
              <w:rPr>
                <w:rFonts w:ascii="Times New Roman" w:hAnsi="Times New Roman"/>
                <w:sz w:val="16"/>
              </w:rPr>
              <w:t xml:space="preserve">18,9</w:t>
            </w:r>
          </w:p>
        </w:tc>
        <w:tc>
          <w:tcPr>
            <w:tcW w:type="dxa" w:w="1106"/>
          </w:tcPr>
          <w:p>
            <w:pPr>
              <w:pStyle w:val="Compact"/>
              <w:spacing w:line="240" w:lineRule="auto" w:before="20" w:after="20"/>
              <w:ind w:firstLine="0"/>
              <w:jc w:val="right"/>
            </w:pPr>
            <w:r>
              <w:rPr>
                <w:rFonts w:ascii="Times New Roman" w:hAnsi="Times New Roman"/>
                <w:sz w:val="16"/>
              </w:rPr>
              <w:t>−7,2%</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GO</w:t>
            </w:r>
          </w:p>
        </w:tc>
        <w:tc>
          <w:tcPr>
            <w:tcW w:type="dxa" w:w="1696"/>
          </w:tcPr>
          <w:p>
            <w:pPr>
              <w:pStyle w:val="Compact"/>
              <w:spacing w:line="240" w:lineRule="auto" w:before="20" w:after="20"/>
              <w:ind w:firstLine="0"/>
              <w:jc w:val="left"/>
            </w:pPr>
            <w:r>
              <w:rPr>
                <w:rFonts w:ascii="Times New Roman" w:hAnsi="Times New Roman"/>
                <w:sz w:val="16"/>
              </w:rPr>
              <w:t xml:space="preserve">Goiás</w:t>
            </w:r>
          </w:p>
        </w:tc>
        <w:tc>
          <w:tcPr>
            <w:tcW w:type="dxa" w:w="1327"/>
          </w:tcPr>
          <w:p>
            <w:pPr>
              <w:pStyle w:val="Compact"/>
              <w:spacing w:line="240" w:lineRule="auto" w:before="20" w:after="20"/>
              <w:ind w:firstLine="0"/>
              <w:jc w:val="right"/>
            </w:pPr>
            <w:r>
              <w:rPr>
                <w:rFonts w:ascii="Times New Roman" w:hAnsi="Times New Roman"/>
                <w:sz w:val="16"/>
              </w:rPr>
              <w:t xml:space="preserve">23,0</w:t>
            </w:r>
          </w:p>
        </w:tc>
        <w:tc>
          <w:tcPr>
            <w:tcW w:type="dxa" w:w="958"/>
          </w:tcPr>
          <w:p>
            <w:pPr>
              <w:pStyle w:val="Compact"/>
              <w:spacing w:line="240" w:lineRule="auto" w:before="20" w:after="20"/>
              <w:ind w:firstLine="0"/>
              <w:jc w:val="right"/>
            </w:pPr>
            <w:r>
              <w:rPr>
                <w:rFonts w:ascii="Times New Roman" w:hAnsi="Times New Roman"/>
                <w:sz w:val="16"/>
              </w:rPr>
              <w:t xml:space="preserve">25,2</w:t>
            </w:r>
          </w:p>
        </w:tc>
        <w:tc>
          <w:tcPr>
            <w:tcW w:type="dxa" w:w="1106"/>
          </w:tcPr>
          <w:p>
            <w:pPr>
              <w:pStyle w:val="Compact"/>
              <w:spacing w:line="240" w:lineRule="auto" w:before="20" w:after="20"/>
              <w:ind w:firstLine="0"/>
              <w:jc w:val="right"/>
            </w:pPr>
            <w:r>
              <w:rPr>
                <w:rFonts w:ascii="Times New Roman" w:hAnsi="Times New Roman"/>
                <w:sz w:val="16"/>
              </w:rPr>
              <w:t xml:space="preserve">+9,5%</w:t>
            </w:r>
          </w:p>
        </w:tc>
        <w:tc>
          <w:tcPr>
            <w:tcW w:type="dxa" w:w="1327"/>
          </w:tcPr>
          <w:p>
            <w:pPr>
              <w:pStyle w:val="Compact"/>
              <w:spacing w:line="240" w:lineRule="auto" w:before="20" w:after="20"/>
              <w:ind w:firstLine="0"/>
              <w:jc w:val="right"/>
            </w:pPr>
            <w:r>
              <w:rPr>
                <w:rFonts w:ascii="Times New Roman" w:hAnsi="Times New Roman"/>
                <w:sz w:val="16"/>
              </w:rPr>
              <w:t>27,6</w:t>
            </w:r>
          </w:p>
        </w:tc>
        <w:tc>
          <w:tcPr>
            <w:tcW w:type="dxa" w:w="958"/>
          </w:tcPr>
          <w:p>
            <w:pPr>
              <w:pStyle w:val="Compact"/>
              <w:spacing w:line="240" w:lineRule="auto" w:before="20" w:after="20"/>
              <w:ind w:firstLine="0"/>
              <w:jc w:val="right"/>
            </w:pPr>
            <w:r>
              <w:rPr>
                <w:rFonts w:ascii="Times New Roman" w:hAnsi="Times New Roman"/>
                <w:sz w:val="16"/>
              </w:rPr>
              <w:t xml:space="preserve">29,5</w:t>
            </w:r>
          </w:p>
        </w:tc>
        <w:tc>
          <w:tcPr>
            <w:tcW w:type="dxa" w:w="1106"/>
          </w:tcPr>
          <w:p>
            <w:pPr>
              <w:pStyle w:val="Compact"/>
              <w:spacing w:line="240" w:lineRule="auto" w:before="20" w:after="20"/>
              <w:ind w:firstLine="0"/>
              <w:jc w:val="right"/>
            </w:pPr>
            <w:r>
              <w:rPr>
                <w:rFonts w:ascii="Times New Roman" w:hAnsi="Times New Roman"/>
                <w:sz w:val="16"/>
              </w:rPr>
              <w:t>+7,1%</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RN</w:t>
            </w:r>
          </w:p>
        </w:tc>
        <w:tc>
          <w:tcPr>
            <w:tcW w:type="dxa" w:w="1696"/>
          </w:tcPr>
          <w:p>
            <w:pPr>
              <w:pStyle w:val="Compact"/>
              <w:spacing w:line="240" w:lineRule="auto" w:before="20" w:after="20"/>
              <w:ind w:firstLine="0"/>
              <w:jc w:val="left"/>
            </w:pPr>
            <w:r>
              <w:rPr>
                <w:rFonts w:ascii="Times New Roman" w:hAnsi="Times New Roman"/>
                <w:sz w:val="16"/>
              </w:rPr>
              <w:t xml:space="preserve">Rio Grande do Norte</w:t>
            </w:r>
          </w:p>
        </w:tc>
        <w:tc>
          <w:tcPr>
            <w:tcW w:type="dxa" w:w="1327"/>
          </w:tcPr>
          <w:p>
            <w:pPr>
              <w:pStyle w:val="Compact"/>
              <w:spacing w:line="240" w:lineRule="auto" w:before="20" w:after="20"/>
              <w:ind w:firstLine="0"/>
              <w:jc w:val="right"/>
            </w:pPr>
            <w:r>
              <w:rPr>
                <w:rFonts w:ascii="Times New Roman" w:hAnsi="Times New Roman"/>
                <w:sz w:val="16"/>
              </w:rPr>
              <w:t xml:space="preserve">7,1</w:t>
            </w:r>
          </w:p>
        </w:tc>
        <w:tc>
          <w:tcPr>
            <w:tcW w:type="dxa" w:w="958"/>
          </w:tcPr>
          <w:p>
            <w:pPr>
              <w:pStyle w:val="Compact"/>
              <w:spacing w:line="240" w:lineRule="auto" w:before="20" w:after="20"/>
              <w:ind w:firstLine="0"/>
              <w:jc w:val="right"/>
            </w:pPr>
            <w:r>
              <w:rPr>
                <w:rFonts w:ascii="Times New Roman" w:hAnsi="Times New Roman"/>
                <w:sz w:val="16"/>
              </w:rPr>
              <w:t xml:space="preserve">7,2</w:t>
            </w:r>
          </w:p>
        </w:tc>
        <w:tc>
          <w:tcPr>
            <w:tcW w:type="dxa" w:w="1106"/>
          </w:tcPr>
          <w:p>
            <w:pPr>
              <w:pStyle w:val="Compact"/>
              <w:spacing w:line="240" w:lineRule="auto" w:before="20" w:after="20"/>
              <w:ind w:firstLine="0"/>
              <w:jc w:val="right"/>
            </w:pPr>
            <w:r>
              <w:rPr>
                <w:rFonts w:ascii="Times New Roman" w:hAnsi="Times New Roman"/>
                <w:sz w:val="16"/>
              </w:rPr>
              <w:t xml:space="preserve">+1,0%</w:t>
            </w:r>
          </w:p>
        </w:tc>
        <w:tc>
          <w:tcPr>
            <w:tcW w:type="dxa" w:w="1327"/>
          </w:tcPr>
          <w:p>
            <w:pPr>
              <w:pStyle w:val="Compact"/>
              <w:spacing w:line="240" w:lineRule="auto" w:before="20" w:after="20"/>
              <w:ind w:firstLine="0"/>
              <w:jc w:val="right"/>
            </w:pPr>
            <w:r>
              <w:rPr>
                <w:rFonts w:ascii="Times New Roman" w:hAnsi="Times New Roman"/>
                <w:sz w:val="16"/>
              </w:rPr>
              <w:t xml:space="preserve">8,6</w:t>
            </w:r>
          </w:p>
        </w:tc>
        <w:tc>
          <w:tcPr>
            <w:tcW w:type="dxa" w:w="958"/>
          </w:tcPr>
          <w:p>
            <w:pPr>
              <w:pStyle w:val="Compact"/>
              <w:spacing w:line="240" w:lineRule="auto" w:before="20" w:after="20"/>
              <w:ind w:firstLine="0"/>
              <w:jc w:val="right"/>
            </w:pPr>
            <w:r>
              <w:rPr>
                <w:rFonts w:ascii="Times New Roman" w:hAnsi="Times New Roman"/>
                <w:sz w:val="16"/>
              </w:rPr>
              <w:t xml:space="preserve">8,6</w:t>
            </w:r>
          </w:p>
        </w:tc>
        <w:tc>
          <w:tcPr>
            <w:tcW w:type="dxa" w:w="1106"/>
          </w:tcPr>
          <w:p>
            <w:pPr>
              <w:pStyle w:val="Compact"/>
              <w:spacing w:line="240" w:lineRule="auto" w:before="20" w:after="20"/>
              <w:ind w:firstLine="0"/>
              <w:jc w:val="right"/>
            </w:pPr>
            <w:r>
              <w:rPr>
                <w:rFonts w:ascii="Times New Roman" w:hAnsi="Times New Roman"/>
                <w:sz w:val="16"/>
              </w:rPr>
              <w:t>−0,1%</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MT</w:t>
            </w:r>
          </w:p>
        </w:tc>
        <w:tc>
          <w:tcPr>
            <w:tcW w:type="dxa" w:w="1696"/>
          </w:tcPr>
          <w:p>
            <w:pPr>
              <w:pStyle w:val="Compact"/>
              <w:spacing w:line="240" w:lineRule="auto" w:before="20" w:after="20"/>
              <w:ind w:firstLine="0"/>
              <w:jc w:val="left"/>
            </w:pPr>
            <w:r>
              <w:rPr>
                <w:rFonts w:ascii="Times New Roman" w:hAnsi="Times New Roman"/>
                <w:sz w:val="16"/>
              </w:rPr>
              <w:t xml:space="preserve">Mato Grosso</w:t>
            </w:r>
          </w:p>
        </w:tc>
        <w:tc>
          <w:tcPr>
            <w:tcW w:type="dxa" w:w="1327"/>
          </w:tcPr>
          <w:p>
            <w:pPr>
              <w:pStyle w:val="Compact"/>
              <w:spacing w:line="240" w:lineRule="auto" w:before="20" w:after="20"/>
              <w:ind w:firstLine="0"/>
              <w:jc w:val="right"/>
            </w:pPr>
            <w:r>
              <w:rPr>
                <w:rFonts w:ascii="Times New Roman" w:hAnsi="Times New Roman"/>
                <w:sz w:val="16"/>
              </w:rPr>
              <w:t xml:space="preserve">19,5</w:t>
            </w:r>
          </w:p>
        </w:tc>
        <w:tc>
          <w:tcPr>
            <w:tcW w:type="dxa" w:w="958"/>
          </w:tcPr>
          <w:p>
            <w:pPr>
              <w:pStyle w:val="Compact"/>
              <w:spacing w:line="240" w:lineRule="auto" w:before="20" w:after="20"/>
              <w:ind w:firstLine="0"/>
              <w:jc w:val="right"/>
            </w:pPr>
            <w:r>
              <w:rPr>
                <w:rFonts w:ascii="Times New Roman" w:hAnsi="Times New Roman"/>
                <w:sz w:val="16"/>
              </w:rPr>
              <w:t xml:space="preserve">19,7</w:t>
            </w:r>
          </w:p>
        </w:tc>
        <w:tc>
          <w:tcPr>
            <w:tcW w:type="dxa" w:w="1106"/>
          </w:tcPr>
          <w:p>
            <w:pPr>
              <w:pStyle w:val="Compact"/>
              <w:spacing w:line="240" w:lineRule="auto" w:before="20" w:after="20"/>
              <w:ind w:firstLine="0"/>
              <w:jc w:val="right"/>
            </w:pPr>
            <w:r>
              <w:rPr>
                <w:rFonts w:ascii="Times New Roman" w:hAnsi="Times New Roman"/>
                <w:sz w:val="16"/>
              </w:rPr>
              <w:t xml:space="preserve">+1,0%</w:t>
            </w:r>
          </w:p>
        </w:tc>
        <w:tc>
          <w:tcPr>
            <w:tcW w:type="dxa" w:w="1327"/>
          </w:tcPr>
          <w:p>
            <w:pPr>
              <w:pStyle w:val="Compact"/>
              <w:spacing w:line="240" w:lineRule="auto" w:before="20" w:after="20"/>
              <w:ind w:firstLine="0"/>
              <w:jc w:val="right"/>
            </w:pPr>
            <w:r>
              <w:rPr>
                <w:rFonts w:ascii="Times New Roman" w:hAnsi="Times New Roman"/>
                <w:sz w:val="16"/>
              </w:rPr>
              <w:t>20,8</w:t>
            </w:r>
          </w:p>
        </w:tc>
        <w:tc>
          <w:tcPr>
            <w:tcW w:type="dxa" w:w="958"/>
          </w:tcPr>
          <w:p>
            <w:pPr>
              <w:pStyle w:val="Compact"/>
              <w:spacing w:line="240" w:lineRule="auto" w:before="20" w:after="20"/>
              <w:ind w:firstLine="0"/>
              <w:jc w:val="right"/>
            </w:pPr>
            <w:r>
              <w:rPr>
                <w:rFonts w:ascii="Times New Roman" w:hAnsi="Times New Roman"/>
                <w:sz w:val="16"/>
              </w:rPr>
              <w:t xml:space="preserve">21,1</w:t>
            </w:r>
          </w:p>
        </w:tc>
        <w:tc>
          <w:tcPr>
            <w:tcW w:type="dxa" w:w="1106"/>
          </w:tcPr>
          <w:p>
            <w:pPr>
              <w:pStyle w:val="Compact"/>
              <w:spacing w:line="240" w:lineRule="auto" w:before="20" w:after="20"/>
              <w:ind w:firstLine="0"/>
              <w:jc w:val="right"/>
            </w:pPr>
            <w:r>
              <w:rPr>
                <w:rFonts w:ascii="Times New Roman" w:hAnsi="Times New Roman"/>
                <w:sz w:val="16"/>
              </w:rPr>
              <w:t>+1,3%</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BA</w:t>
            </w:r>
          </w:p>
        </w:tc>
        <w:tc>
          <w:tcPr>
            <w:tcW w:type="dxa" w:w="1696"/>
          </w:tcPr>
          <w:p>
            <w:pPr>
              <w:pStyle w:val="Compact"/>
              <w:spacing w:line="240" w:lineRule="auto" w:before="20" w:after="20"/>
              <w:ind w:firstLine="0"/>
              <w:jc w:val="left"/>
            </w:pPr>
            <w:r>
              <w:rPr>
                <w:rFonts w:ascii="Times New Roman" w:hAnsi="Times New Roman"/>
                <w:sz w:val="16"/>
              </w:rPr>
              <w:t xml:space="preserve">Bahia</w:t>
            </w:r>
          </w:p>
        </w:tc>
        <w:tc>
          <w:tcPr>
            <w:tcW w:type="dxa" w:w="1327"/>
          </w:tcPr>
          <w:p>
            <w:pPr>
              <w:pStyle w:val="Compact"/>
              <w:spacing w:line="240" w:lineRule="auto" w:before="20" w:after="20"/>
              <w:ind w:firstLine="0"/>
              <w:jc w:val="right"/>
            </w:pPr>
            <w:r>
              <w:rPr>
                <w:rFonts w:ascii="Times New Roman" w:hAnsi="Times New Roman"/>
                <w:sz w:val="16"/>
              </w:rPr>
              <w:t xml:space="preserve">31,6</w:t>
            </w:r>
          </w:p>
        </w:tc>
        <w:tc>
          <w:tcPr>
            <w:tcW w:type="dxa" w:w="958"/>
          </w:tcPr>
          <w:p>
            <w:pPr>
              <w:pStyle w:val="Compact"/>
              <w:spacing w:line="240" w:lineRule="auto" w:before="20" w:after="20"/>
              <w:ind w:firstLine="0"/>
              <w:jc w:val="right"/>
            </w:pPr>
            <w:r>
              <w:rPr>
                <w:rFonts w:ascii="Times New Roman" w:hAnsi="Times New Roman"/>
                <w:sz w:val="16"/>
              </w:rPr>
              <w:t xml:space="preserve">31,4</w:t>
            </w:r>
          </w:p>
        </w:tc>
        <w:tc>
          <w:tcPr>
            <w:tcW w:type="dxa" w:w="1106"/>
          </w:tcPr>
          <w:p>
            <w:pPr>
              <w:pStyle w:val="Compact"/>
              <w:spacing w:line="240" w:lineRule="auto" w:before="20" w:after="20"/>
              <w:ind w:firstLine="0"/>
              <w:jc w:val="right"/>
            </w:pPr>
            <w:r>
              <w:rPr>
                <w:rFonts w:ascii="Times New Roman" w:hAnsi="Times New Roman"/>
                <w:sz w:val="16"/>
              </w:rPr>
              <w:t xml:space="preserve">−0,8%</w:t>
            </w:r>
          </w:p>
        </w:tc>
        <w:tc>
          <w:tcPr>
            <w:tcW w:type="dxa" w:w="1327"/>
          </w:tcPr>
          <w:p>
            <w:pPr>
              <w:pStyle w:val="Compact"/>
              <w:spacing w:line="240" w:lineRule="auto" w:before="20" w:after="20"/>
              <w:ind w:firstLine="0"/>
              <w:jc w:val="right"/>
            </w:pPr>
            <w:r>
              <w:rPr>
                <w:rFonts w:ascii="Times New Roman" w:hAnsi="Times New Roman"/>
                <w:sz w:val="16"/>
              </w:rPr>
              <w:t>37,5</w:t>
            </w:r>
          </w:p>
        </w:tc>
        <w:tc>
          <w:tcPr>
            <w:tcW w:type="dxa" w:w="958"/>
          </w:tcPr>
          <w:p>
            <w:pPr>
              <w:pStyle w:val="Compact"/>
              <w:spacing w:line="240" w:lineRule="auto" w:before="20" w:after="20"/>
              <w:ind w:firstLine="0"/>
              <w:jc w:val="right"/>
            </w:pPr>
            <w:r>
              <w:rPr>
                <w:rFonts w:ascii="Times New Roman" w:hAnsi="Times New Roman"/>
                <w:sz w:val="16"/>
              </w:rPr>
              <w:t xml:space="preserve">37,5</w:t>
            </w:r>
          </w:p>
        </w:tc>
        <w:tc>
          <w:tcPr>
            <w:tcW w:type="dxa" w:w="1106"/>
          </w:tcPr>
          <w:p>
            <w:pPr>
              <w:pStyle w:val="Compact"/>
              <w:spacing w:line="240" w:lineRule="auto" w:before="20" w:after="20"/>
              <w:ind w:firstLine="0"/>
              <w:jc w:val="right"/>
            </w:pPr>
            <w:r>
              <w:rPr>
                <w:rFonts w:ascii="Times New Roman" w:hAnsi="Times New Roman"/>
                <w:sz w:val="16"/>
              </w:rPr>
              <w:t>+0,1%</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RJ</w:t>
            </w:r>
          </w:p>
        </w:tc>
        <w:tc>
          <w:tcPr>
            <w:tcW w:type="dxa" w:w="1696"/>
          </w:tcPr>
          <w:p>
            <w:pPr>
              <w:pStyle w:val="Compact"/>
              <w:spacing w:line="240" w:lineRule="auto" w:before="20" w:after="20"/>
              <w:ind w:firstLine="0"/>
              <w:jc w:val="left"/>
            </w:pPr>
            <w:r>
              <w:rPr>
                <w:rFonts w:ascii="Times New Roman" w:hAnsi="Times New Roman"/>
                <w:sz w:val="16"/>
              </w:rPr>
              <w:t xml:space="preserve">Rio de Janeiro</w:t>
            </w:r>
          </w:p>
        </w:tc>
        <w:tc>
          <w:tcPr>
            <w:tcW w:type="dxa" w:w="1327"/>
          </w:tcPr>
          <w:p>
            <w:pPr>
              <w:pStyle w:val="Compact"/>
              <w:spacing w:line="240" w:lineRule="auto" w:before="20" w:after="20"/>
              <w:ind w:firstLine="0"/>
              <w:jc w:val="right"/>
            </w:pPr>
            <w:r>
              <w:rPr>
                <w:rFonts w:ascii="Times New Roman" w:hAnsi="Times New Roman"/>
                <w:sz w:val="16"/>
              </w:rPr>
              <w:t xml:space="preserve">48,5</w:t>
            </w:r>
          </w:p>
        </w:tc>
        <w:tc>
          <w:tcPr>
            <w:tcW w:type="dxa" w:w="958"/>
          </w:tcPr>
          <w:p>
            <w:pPr>
              <w:pStyle w:val="Compact"/>
              <w:spacing w:line="240" w:lineRule="auto" w:before="20" w:after="20"/>
              <w:ind w:firstLine="0"/>
              <w:jc w:val="right"/>
            </w:pPr>
            <w:r>
              <w:rPr>
                <w:rFonts w:ascii="Times New Roman" w:hAnsi="Times New Roman"/>
                <w:sz w:val="16"/>
              </w:rPr>
              <w:t xml:space="preserve">48,2</w:t>
            </w:r>
          </w:p>
        </w:tc>
        <w:tc>
          <w:tcPr>
            <w:tcW w:type="dxa" w:w="1106"/>
          </w:tcPr>
          <w:p>
            <w:pPr>
              <w:pStyle w:val="Compact"/>
              <w:spacing w:line="240" w:lineRule="auto" w:before="20" w:after="20"/>
              <w:ind w:firstLine="0"/>
              <w:jc w:val="right"/>
            </w:pPr>
            <w:r>
              <w:rPr>
                <w:rFonts w:ascii="Times New Roman" w:hAnsi="Times New Roman"/>
                <w:sz w:val="16"/>
              </w:rPr>
              <w:t xml:space="preserve">−0,6%</w:t>
            </w:r>
          </w:p>
        </w:tc>
        <w:tc>
          <w:tcPr>
            <w:tcW w:type="dxa" w:w="1327"/>
          </w:tcPr>
          <w:p>
            <w:pPr>
              <w:pStyle w:val="Compact"/>
              <w:spacing w:line="240" w:lineRule="auto" w:before="20" w:after="20"/>
              <w:ind w:firstLine="0"/>
              <w:jc w:val="right"/>
            </w:pPr>
            <w:r>
              <w:rPr>
                <w:rFonts w:ascii="Times New Roman" w:hAnsi="Times New Roman"/>
                <w:sz w:val="16"/>
              </w:rPr>
              <w:t>60,6</w:t>
            </w:r>
          </w:p>
        </w:tc>
        <w:tc>
          <w:tcPr>
            <w:tcW w:type="dxa" w:w="958"/>
          </w:tcPr>
          <w:p>
            <w:pPr>
              <w:pStyle w:val="Compact"/>
              <w:spacing w:line="240" w:lineRule="auto" w:before="20" w:after="20"/>
              <w:ind w:firstLine="0"/>
              <w:jc w:val="right"/>
            </w:pPr>
            <w:r>
              <w:rPr>
                <w:rFonts w:ascii="Times New Roman" w:hAnsi="Times New Roman"/>
                <w:sz w:val="16"/>
              </w:rPr>
              <w:t xml:space="preserve">60,4</w:t>
            </w:r>
          </w:p>
        </w:tc>
        <w:tc>
          <w:tcPr>
            <w:tcW w:type="dxa" w:w="1106"/>
          </w:tcPr>
          <w:p>
            <w:pPr>
              <w:pStyle w:val="Compact"/>
              <w:spacing w:line="240" w:lineRule="auto" w:before="20" w:after="20"/>
              <w:ind w:firstLine="0"/>
              <w:jc w:val="right"/>
            </w:pPr>
            <w:r>
              <w:rPr>
                <w:rFonts w:ascii="Times New Roman" w:hAnsi="Times New Roman"/>
                <w:sz w:val="16"/>
              </w:rPr>
              <w:t>−0,3%</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AL</w:t>
            </w:r>
          </w:p>
        </w:tc>
        <w:tc>
          <w:tcPr>
            <w:tcW w:type="dxa" w:w="1696"/>
          </w:tcPr>
          <w:p>
            <w:pPr>
              <w:pStyle w:val="Compact"/>
              <w:spacing w:line="240" w:lineRule="auto" w:before="20" w:after="20"/>
              <w:ind w:firstLine="0"/>
              <w:jc w:val="left"/>
            </w:pPr>
            <w:r>
              <w:rPr>
                <w:rFonts w:ascii="Times New Roman" w:hAnsi="Times New Roman"/>
                <w:sz w:val="16"/>
              </w:rPr>
              <w:t xml:space="preserve">Alagoas</w:t>
            </w:r>
          </w:p>
        </w:tc>
        <w:tc>
          <w:tcPr>
            <w:tcW w:type="dxa" w:w="1327"/>
          </w:tcPr>
          <w:p>
            <w:pPr>
              <w:pStyle w:val="Compact"/>
              <w:spacing w:line="240" w:lineRule="auto" w:before="20" w:after="20"/>
              <w:ind w:firstLine="0"/>
              <w:jc w:val="right"/>
            </w:pPr>
            <w:r>
              <w:rPr>
                <w:rFonts w:ascii="Times New Roman" w:hAnsi="Times New Roman"/>
                <w:sz w:val="16"/>
              </w:rPr>
              <w:t xml:space="preserve">6,9</w:t>
            </w:r>
          </w:p>
        </w:tc>
        <w:tc>
          <w:tcPr>
            <w:tcW w:type="dxa" w:w="958"/>
          </w:tcPr>
          <w:p>
            <w:pPr>
              <w:pStyle w:val="Compact"/>
              <w:spacing w:line="240" w:lineRule="auto" w:before="20" w:after="20"/>
              <w:ind w:firstLine="0"/>
              <w:jc w:val="right"/>
            </w:pPr>
            <w:r>
              <w:rPr>
                <w:rFonts w:ascii="Times New Roman" w:hAnsi="Times New Roman"/>
                <w:sz w:val="16"/>
              </w:rPr>
              <w:t xml:space="preserve">6,9</w:t>
            </w:r>
          </w:p>
        </w:tc>
        <w:tc>
          <w:tcPr>
            <w:tcW w:type="dxa" w:w="1106"/>
          </w:tcPr>
          <w:p>
            <w:pPr>
              <w:pStyle w:val="Compact"/>
              <w:spacing w:line="240" w:lineRule="auto" w:before="20" w:after="20"/>
              <w:ind w:firstLine="0"/>
              <w:jc w:val="right"/>
            </w:pPr>
            <w:r>
              <w:rPr>
                <w:rFonts w:ascii="Times New Roman" w:hAnsi="Times New Roman"/>
                <w:sz w:val="16"/>
              </w:rPr>
              <w:t xml:space="preserve">+0,4%</w:t>
            </w:r>
          </w:p>
        </w:tc>
        <w:tc>
          <w:tcPr>
            <w:tcW w:type="dxa" w:w="1327"/>
          </w:tcPr>
          <w:p>
            <w:pPr>
              <w:pStyle w:val="Compact"/>
              <w:spacing w:line="240" w:lineRule="auto" w:before="20" w:after="20"/>
              <w:ind w:firstLine="0"/>
              <w:jc w:val="right"/>
            </w:pPr>
            <w:r>
              <w:rPr>
                <w:rFonts w:ascii="Times New Roman" w:hAnsi="Times New Roman"/>
                <w:sz w:val="16"/>
              </w:rPr>
              <w:t>7,5</w:t>
            </w:r>
          </w:p>
        </w:tc>
        <w:tc>
          <w:tcPr>
            <w:tcW w:type="dxa" w:w="958"/>
          </w:tcPr>
          <w:p>
            <w:pPr>
              <w:pStyle w:val="Compact"/>
              <w:spacing w:line="240" w:lineRule="auto" w:before="20" w:after="20"/>
              <w:ind w:firstLine="0"/>
              <w:jc w:val="right"/>
            </w:pPr>
            <w:r>
              <w:rPr>
                <w:rFonts w:ascii="Times New Roman" w:hAnsi="Times New Roman"/>
                <w:sz w:val="16"/>
              </w:rPr>
              <w:t xml:space="preserve">7,7</w:t>
            </w:r>
          </w:p>
        </w:tc>
        <w:tc>
          <w:tcPr>
            <w:tcW w:type="dxa" w:w="1106"/>
          </w:tcPr>
          <w:p>
            <w:pPr>
              <w:pStyle w:val="Compact"/>
              <w:spacing w:line="240" w:lineRule="auto" w:before="20" w:after="20"/>
              <w:ind w:firstLine="0"/>
              <w:jc w:val="right"/>
            </w:pPr>
            <w:r>
              <w:rPr>
                <w:rFonts w:ascii="Times New Roman" w:hAnsi="Times New Roman"/>
                <w:sz w:val="16"/>
              </w:rPr>
              <w:t>+2,0%</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PA</w:t>
            </w:r>
          </w:p>
        </w:tc>
        <w:tc>
          <w:tcPr>
            <w:tcW w:type="dxa" w:w="1696"/>
          </w:tcPr>
          <w:p>
            <w:pPr>
              <w:pStyle w:val="Compact"/>
              <w:spacing w:line="240" w:lineRule="auto" w:before="20" w:after="20"/>
              <w:ind w:firstLine="0"/>
              <w:jc w:val="left"/>
            </w:pPr>
            <w:r>
              <w:rPr>
                <w:rFonts w:ascii="Times New Roman" w:hAnsi="Times New Roman"/>
                <w:sz w:val="16"/>
              </w:rPr>
              <w:t xml:space="preserve">Pará</w:t>
            </w:r>
          </w:p>
        </w:tc>
        <w:tc>
          <w:tcPr>
            <w:tcW w:type="dxa" w:w="1327"/>
          </w:tcPr>
          <w:p>
            <w:pPr>
              <w:pStyle w:val="Compact"/>
              <w:spacing w:line="240" w:lineRule="auto" w:before="20" w:after="20"/>
              <w:ind w:firstLine="0"/>
              <w:jc w:val="right"/>
            </w:pPr>
            <w:r>
              <w:rPr>
                <w:rFonts w:ascii="Times New Roman" w:hAnsi="Times New Roman"/>
                <w:sz w:val="16"/>
              </w:rPr>
              <w:t xml:space="preserve">18,8</w:t>
            </w:r>
          </w:p>
        </w:tc>
        <w:tc>
          <w:tcPr>
            <w:tcW w:type="dxa" w:w="958"/>
          </w:tcPr>
          <w:p>
            <w:pPr>
              <w:pStyle w:val="Compact"/>
              <w:spacing w:line="240" w:lineRule="auto" w:before="20" w:after="20"/>
              <w:ind w:firstLine="0"/>
              <w:jc w:val="right"/>
            </w:pPr>
            <w:r>
              <w:rPr>
                <w:rFonts w:ascii="Times New Roman" w:hAnsi="Times New Roman"/>
                <w:sz w:val="16"/>
              </w:rPr>
              <w:t xml:space="preserve">18,8</w:t>
            </w:r>
          </w:p>
        </w:tc>
        <w:tc>
          <w:tcPr>
            <w:tcW w:type="dxa" w:w="1106"/>
          </w:tcPr>
          <w:p>
            <w:pPr>
              <w:pStyle w:val="Compact"/>
              <w:spacing w:line="240" w:lineRule="auto" w:before="20" w:after="20"/>
              <w:ind w:firstLine="0"/>
              <w:jc w:val="right"/>
            </w:pPr>
            <w:r>
              <w:rPr>
                <w:rFonts w:ascii="Times New Roman" w:hAnsi="Times New Roman"/>
                <w:sz w:val="16"/>
              </w:rPr>
              <w:t xml:space="preserve">+0,3%</w:t>
            </w:r>
          </w:p>
        </w:tc>
        <w:tc>
          <w:tcPr>
            <w:tcW w:type="dxa" w:w="1327"/>
          </w:tcPr>
          <w:p>
            <w:pPr>
              <w:pStyle w:val="Compact"/>
              <w:spacing w:line="240" w:lineRule="auto" w:before="20" w:after="20"/>
              <w:ind w:firstLine="0"/>
              <w:jc w:val="right"/>
            </w:pPr>
            <w:r>
              <w:rPr>
                <w:rFonts w:ascii="Times New Roman" w:hAnsi="Times New Roman"/>
                <w:sz w:val="16"/>
              </w:rPr>
              <w:t>21,1</w:t>
            </w:r>
          </w:p>
        </w:tc>
        <w:tc>
          <w:tcPr>
            <w:tcW w:type="dxa" w:w="958"/>
          </w:tcPr>
          <w:p>
            <w:pPr>
              <w:pStyle w:val="Compact"/>
              <w:spacing w:line="240" w:lineRule="auto" w:before="20" w:after="20"/>
              <w:ind w:firstLine="0"/>
              <w:jc w:val="right"/>
            </w:pPr>
            <w:r>
              <w:rPr>
                <w:rFonts w:ascii="Times New Roman" w:hAnsi="Times New Roman"/>
                <w:sz w:val="16"/>
              </w:rPr>
              <w:t xml:space="preserve">21,5</w:t>
            </w:r>
          </w:p>
        </w:tc>
        <w:tc>
          <w:tcPr>
            <w:tcW w:type="dxa" w:w="1106"/>
          </w:tcPr>
          <w:p>
            <w:pPr>
              <w:pStyle w:val="Compact"/>
              <w:spacing w:line="240" w:lineRule="auto" w:before="20" w:after="20"/>
              <w:ind w:firstLine="0"/>
              <w:jc w:val="right"/>
            </w:pPr>
            <w:r>
              <w:rPr>
                <w:rFonts w:ascii="Times New Roman" w:hAnsi="Times New Roman"/>
                <w:sz w:val="16"/>
              </w:rPr>
              <w:t>+2,0%</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AP</w:t>
            </w:r>
          </w:p>
        </w:tc>
        <w:tc>
          <w:tcPr>
            <w:tcW w:type="dxa" w:w="1696"/>
          </w:tcPr>
          <w:p>
            <w:pPr>
              <w:pStyle w:val="Compact"/>
              <w:spacing w:line="240" w:lineRule="auto" w:before="20" w:after="20"/>
              <w:ind w:firstLine="0"/>
              <w:jc w:val="left"/>
            </w:pPr>
            <w:r>
              <w:rPr>
                <w:rFonts w:ascii="Times New Roman" w:hAnsi="Times New Roman"/>
                <w:sz w:val="16"/>
              </w:rPr>
              <w:t xml:space="preserve">Amapá</w:t>
            </w:r>
          </w:p>
        </w:tc>
        <w:tc>
          <w:tcPr>
            <w:tcW w:type="dxa" w:w="1327"/>
          </w:tcPr>
          <w:p>
            <w:pPr>
              <w:pStyle w:val="Compact"/>
              <w:spacing w:line="240" w:lineRule="auto" w:before="20" w:after="20"/>
              <w:ind w:firstLine="0"/>
              <w:jc w:val="right"/>
            </w:pPr>
            <w:r>
              <w:rPr>
                <w:rFonts w:ascii="Times New Roman" w:hAnsi="Times New Roman"/>
                <w:sz w:val="16"/>
              </w:rPr>
              <w:t xml:space="preserve">1,3</w:t>
            </w:r>
          </w:p>
        </w:tc>
        <w:tc>
          <w:tcPr>
            <w:tcW w:type="dxa" w:w="958"/>
          </w:tcPr>
          <w:p>
            <w:pPr>
              <w:pStyle w:val="Compact"/>
              <w:spacing w:line="240" w:lineRule="auto" w:before="20" w:after="20"/>
              <w:ind w:firstLine="0"/>
              <w:jc w:val="right"/>
            </w:pPr>
            <w:r>
              <w:rPr>
                <w:rFonts w:ascii="Times New Roman" w:hAnsi="Times New Roman"/>
                <w:sz w:val="16"/>
              </w:rPr>
              <w:t xml:space="preserve">1,3</w:t>
            </w:r>
          </w:p>
        </w:tc>
        <w:tc>
          <w:tcPr>
            <w:tcW w:type="dxa" w:w="1106"/>
          </w:tcPr>
          <w:p>
            <w:pPr>
              <w:pStyle w:val="Compact"/>
              <w:spacing w:line="240" w:lineRule="auto" w:before="20" w:after="20"/>
              <w:ind w:firstLine="0"/>
              <w:jc w:val="right"/>
            </w:pPr>
            <w:r>
              <w:rPr>
                <w:rFonts w:ascii="Times New Roman" w:hAnsi="Times New Roman"/>
                <w:sz w:val="16"/>
              </w:rPr>
              <w:t xml:space="preserve">−0,3%</w:t>
            </w:r>
          </w:p>
        </w:tc>
        <w:tc>
          <w:tcPr>
            <w:tcW w:type="dxa" w:w="1327"/>
          </w:tcPr>
          <w:p>
            <w:pPr>
              <w:pStyle w:val="Compact"/>
              <w:spacing w:line="240" w:lineRule="auto" w:before="20" w:after="20"/>
              <w:ind w:firstLine="0"/>
              <w:jc w:val="right"/>
            </w:pPr>
            <w:r>
              <w:rPr>
                <w:rFonts w:ascii="Times New Roman" w:hAnsi="Times New Roman"/>
                <w:sz w:val="16"/>
              </w:rPr>
              <w:t>1,6</w:t>
            </w:r>
          </w:p>
        </w:tc>
        <w:tc>
          <w:tcPr>
            <w:tcW w:type="dxa" w:w="958"/>
          </w:tcPr>
          <w:p>
            <w:pPr>
              <w:pStyle w:val="Compact"/>
              <w:spacing w:line="240" w:lineRule="auto" w:before="20" w:after="20"/>
              <w:ind w:firstLine="0"/>
              <w:jc w:val="right"/>
            </w:pPr>
            <w:r>
              <w:rPr>
                <w:rFonts w:ascii="Times New Roman" w:hAnsi="Times New Roman"/>
                <w:sz w:val="16"/>
              </w:rPr>
              <w:t xml:space="preserve">1,6</w:t>
            </w:r>
          </w:p>
        </w:tc>
        <w:tc>
          <w:tcPr>
            <w:tcW w:type="dxa" w:w="1106"/>
          </w:tcPr>
          <w:p>
            <w:pPr>
              <w:pStyle w:val="Compact"/>
              <w:spacing w:line="240" w:lineRule="auto" w:before="20" w:after="20"/>
              <w:ind w:firstLine="0"/>
              <w:jc w:val="right"/>
            </w:pPr>
            <w:r>
              <w:rPr>
                <w:rFonts w:ascii="Times New Roman" w:hAnsi="Times New Roman"/>
                <w:sz w:val="16"/>
              </w:rPr>
              <w:t>−0,2%</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ES</w:t>
            </w:r>
          </w:p>
        </w:tc>
        <w:tc>
          <w:tcPr>
            <w:tcW w:type="dxa" w:w="1696"/>
          </w:tcPr>
          <w:p>
            <w:pPr>
              <w:pStyle w:val="Compact"/>
              <w:spacing w:line="240" w:lineRule="auto" w:before="20" w:after="20"/>
              <w:ind w:firstLine="0"/>
              <w:jc w:val="left"/>
            </w:pPr>
            <w:r>
              <w:rPr>
                <w:rFonts w:ascii="Times New Roman" w:hAnsi="Times New Roman"/>
                <w:sz w:val="16"/>
              </w:rPr>
              <w:t xml:space="preserve">Espírito Santo</w:t>
            </w:r>
          </w:p>
        </w:tc>
        <w:tc>
          <w:tcPr>
            <w:tcW w:type="dxa" w:w="1327"/>
          </w:tcPr>
          <w:p>
            <w:pPr>
              <w:pStyle w:val="Compact"/>
              <w:spacing w:line="240" w:lineRule="auto" w:before="20" w:after="20"/>
              <w:ind w:firstLine="0"/>
              <w:jc w:val="right"/>
            </w:pPr>
            <w:r>
              <w:rPr>
                <w:rFonts w:ascii="Times New Roman" w:hAnsi="Times New Roman"/>
                <w:sz w:val="16"/>
              </w:rPr>
              <w:t xml:space="preserve">17,0</w:t>
            </w:r>
          </w:p>
        </w:tc>
        <w:tc>
          <w:tcPr>
            <w:tcW w:type="dxa" w:w="958"/>
          </w:tcPr>
          <w:p>
            <w:pPr>
              <w:pStyle w:val="Compact"/>
              <w:spacing w:line="240" w:lineRule="auto" w:before="20" w:after="20"/>
              <w:ind w:firstLine="0"/>
              <w:jc w:val="right"/>
            </w:pPr>
            <w:r>
              <w:rPr>
                <w:rFonts w:ascii="Times New Roman" w:hAnsi="Times New Roman"/>
                <w:sz w:val="16"/>
              </w:rPr>
              <w:t xml:space="preserve">16,9</w:t>
            </w:r>
          </w:p>
        </w:tc>
        <w:tc>
          <w:tcPr>
            <w:tcW w:type="dxa" w:w="1106"/>
          </w:tcPr>
          <w:p>
            <w:pPr>
              <w:pStyle w:val="Compact"/>
              <w:spacing w:line="240" w:lineRule="auto" w:before="20" w:after="20"/>
              <w:ind w:firstLine="0"/>
              <w:jc w:val="right"/>
            </w:pPr>
            <w:r>
              <w:rPr>
                <w:rFonts w:ascii="Times New Roman" w:hAnsi="Times New Roman"/>
                <w:sz w:val="16"/>
              </w:rPr>
              <w:t xml:space="preserve">−0,3%</w:t>
            </w:r>
          </w:p>
        </w:tc>
        <w:tc>
          <w:tcPr>
            <w:tcW w:type="dxa" w:w="1327"/>
          </w:tcPr>
          <w:p>
            <w:pPr>
              <w:pStyle w:val="Compact"/>
              <w:spacing w:line="240" w:lineRule="auto" w:before="20" w:after="20"/>
              <w:ind w:firstLine="0"/>
              <w:jc w:val="right"/>
            </w:pPr>
            <w:r>
              <w:rPr>
                <w:rFonts w:ascii="Times New Roman" w:hAnsi="Times New Roman"/>
                <w:sz w:val="16"/>
              </w:rPr>
              <w:t>18,4</w:t>
            </w:r>
          </w:p>
        </w:tc>
        <w:tc>
          <w:tcPr>
            <w:tcW w:type="dxa" w:w="958"/>
          </w:tcPr>
          <w:p>
            <w:pPr>
              <w:pStyle w:val="Compact"/>
              <w:spacing w:line="240" w:lineRule="auto" w:before="20" w:after="20"/>
              <w:ind w:firstLine="0"/>
              <w:jc w:val="right"/>
            </w:pPr>
            <w:r>
              <w:rPr>
                <w:rFonts w:ascii="Times New Roman" w:hAnsi="Times New Roman"/>
                <w:sz w:val="16"/>
              </w:rPr>
              <w:t xml:space="preserve">18,5</w:t>
            </w:r>
          </w:p>
        </w:tc>
        <w:tc>
          <w:tcPr>
            <w:tcW w:type="dxa" w:w="1106"/>
          </w:tcPr>
          <w:p>
            <w:pPr>
              <w:pStyle w:val="Compact"/>
              <w:spacing w:line="240" w:lineRule="auto" w:before="20" w:after="20"/>
              <w:ind w:firstLine="0"/>
              <w:jc w:val="right"/>
            </w:pPr>
            <w:r>
              <w:rPr>
                <w:rFonts w:ascii="Times New Roman" w:hAnsi="Times New Roman"/>
                <w:sz w:val="16"/>
              </w:rPr>
              <w:t>+0,2%</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SP</w:t>
            </w:r>
          </w:p>
        </w:tc>
        <w:tc>
          <w:tcPr>
            <w:tcW w:type="dxa" w:w="1696"/>
          </w:tcPr>
          <w:p>
            <w:pPr>
              <w:pStyle w:val="Compact"/>
              <w:spacing w:line="240" w:lineRule="auto" w:before="20" w:after="20"/>
              <w:ind w:firstLine="0"/>
              <w:jc w:val="left"/>
            </w:pPr>
            <w:r>
              <w:rPr>
                <w:rFonts w:ascii="Times New Roman" w:hAnsi="Times New Roman"/>
                <w:sz w:val="16"/>
              </w:rPr>
              <w:t xml:space="preserve">São Paulo</w:t>
            </w:r>
          </w:p>
        </w:tc>
        <w:tc>
          <w:tcPr>
            <w:tcW w:type="dxa" w:w="1327"/>
          </w:tcPr>
          <w:p>
            <w:pPr>
              <w:pStyle w:val="Compact"/>
              <w:spacing w:line="240" w:lineRule="auto" w:before="20" w:after="20"/>
              <w:ind w:firstLine="0"/>
              <w:jc w:val="right"/>
            </w:pPr>
            <w:r>
              <w:rPr>
                <w:rFonts w:ascii="Times New Roman" w:hAnsi="Times New Roman"/>
                <w:sz w:val="16"/>
              </w:rPr>
              <w:t xml:space="preserve">178,8</w:t>
            </w:r>
          </w:p>
        </w:tc>
        <w:tc>
          <w:tcPr>
            <w:tcW w:type="dxa" w:w="958"/>
          </w:tcPr>
          <w:p>
            <w:pPr>
              <w:pStyle w:val="Compact"/>
              <w:spacing w:line="240" w:lineRule="auto" w:before="20" w:after="20"/>
              <w:ind w:firstLine="0"/>
              <w:jc w:val="right"/>
            </w:pPr>
            <w:r>
              <w:rPr>
                <w:rFonts w:ascii="Times New Roman" w:hAnsi="Times New Roman"/>
                <w:sz w:val="16"/>
              </w:rPr>
              <w:t xml:space="preserve">179,3</w:t>
            </w:r>
          </w:p>
        </w:tc>
        <w:tc>
          <w:tcPr>
            <w:tcW w:type="dxa" w:w="1106"/>
          </w:tcPr>
          <w:p>
            <w:pPr>
              <w:pStyle w:val="Compact"/>
              <w:spacing w:line="240" w:lineRule="auto" w:before="20" w:after="20"/>
              <w:ind w:firstLine="0"/>
              <w:jc w:val="right"/>
            </w:pPr>
            <w:r>
              <w:rPr>
                <w:rFonts w:ascii="Times New Roman" w:hAnsi="Times New Roman"/>
                <w:sz w:val="16"/>
              </w:rPr>
              <w:t xml:space="preserve">+0,3%</w:t>
            </w:r>
          </w:p>
        </w:tc>
        <w:tc>
          <w:tcPr>
            <w:tcW w:type="dxa" w:w="1327"/>
          </w:tcPr>
          <w:p>
            <w:pPr>
              <w:pStyle w:val="Compact"/>
              <w:spacing w:line="240" w:lineRule="auto" w:before="20" w:after="20"/>
              <w:ind w:firstLine="0"/>
              <w:jc w:val="right"/>
            </w:pPr>
            <w:r>
              <w:rPr>
                <w:rFonts w:ascii="Times New Roman" w:hAnsi="Times New Roman"/>
                <w:sz w:val="16"/>
              </w:rPr>
              <w:t>217,0</w:t>
            </w:r>
          </w:p>
        </w:tc>
        <w:tc>
          <w:tcPr>
            <w:tcW w:type="dxa" w:w="958"/>
          </w:tcPr>
          <w:p>
            <w:pPr>
              <w:pStyle w:val="Compact"/>
              <w:spacing w:line="240" w:lineRule="auto" w:before="20" w:after="20"/>
              <w:ind w:firstLine="0"/>
              <w:jc w:val="right"/>
            </w:pPr>
            <w:r>
              <w:rPr>
                <w:rFonts w:ascii="Times New Roman" w:hAnsi="Times New Roman"/>
                <w:sz w:val="16"/>
              </w:rPr>
              <w:t xml:space="preserve">217,7</w:t>
            </w:r>
          </w:p>
        </w:tc>
        <w:tc>
          <w:tcPr>
            <w:tcW w:type="dxa" w:w="1106"/>
          </w:tcPr>
          <w:p>
            <w:pPr>
              <w:pStyle w:val="Compact"/>
              <w:spacing w:line="240" w:lineRule="auto" w:before="20" w:after="20"/>
              <w:ind w:firstLine="0"/>
              <w:jc w:val="right"/>
            </w:pPr>
            <w:r>
              <w:rPr>
                <w:rFonts w:ascii="Times New Roman" w:hAnsi="Times New Roman"/>
                <w:sz w:val="16"/>
              </w:rPr>
              <w:t>+0,3%</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SC</w:t>
            </w:r>
          </w:p>
        </w:tc>
        <w:tc>
          <w:tcPr>
            <w:tcW w:type="dxa" w:w="1696"/>
          </w:tcPr>
          <w:p>
            <w:pPr>
              <w:pStyle w:val="Compact"/>
              <w:spacing w:line="240" w:lineRule="auto" w:before="20" w:after="20"/>
              <w:ind w:firstLine="0"/>
              <w:jc w:val="left"/>
            </w:pPr>
            <w:r>
              <w:rPr>
                <w:rFonts w:ascii="Times New Roman" w:hAnsi="Times New Roman"/>
                <w:sz w:val="16"/>
              </w:rPr>
              <w:t xml:space="preserve">Santa Catarina</w:t>
            </w:r>
          </w:p>
        </w:tc>
        <w:tc>
          <w:tcPr>
            <w:tcW w:type="dxa" w:w="1327"/>
          </w:tcPr>
          <w:p>
            <w:pPr>
              <w:pStyle w:val="Compact"/>
              <w:spacing w:line="240" w:lineRule="auto" w:before="20" w:after="20"/>
              <w:ind w:firstLine="0"/>
              <w:jc w:val="right"/>
            </w:pPr>
            <w:r>
              <w:rPr>
                <w:rFonts w:ascii="Times New Roman" w:hAnsi="Times New Roman"/>
                <w:sz w:val="16"/>
              </w:rPr>
              <w:t xml:space="preserve">33,8</w:t>
            </w:r>
          </w:p>
        </w:tc>
        <w:tc>
          <w:tcPr>
            <w:tcW w:type="dxa" w:w="958"/>
          </w:tcPr>
          <w:p>
            <w:pPr>
              <w:pStyle w:val="Compact"/>
              <w:spacing w:line="240" w:lineRule="auto" w:before="20" w:after="20"/>
              <w:ind w:firstLine="0"/>
              <w:jc w:val="right"/>
            </w:pPr>
            <w:r>
              <w:rPr>
                <w:rFonts w:ascii="Times New Roman" w:hAnsi="Times New Roman"/>
                <w:sz w:val="16"/>
              </w:rPr>
              <w:t xml:space="preserve">33,7</w:t>
            </w:r>
          </w:p>
        </w:tc>
        <w:tc>
          <w:tcPr>
            <w:tcW w:type="dxa" w:w="1106"/>
          </w:tcPr>
          <w:p>
            <w:pPr>
              <w:pStyle w:val="Compact"/>
              <w:spacing w:line="240" w:lineRule="auto" w:before="20" w:after="20"/>
              <w:ind w:firstLine="0"/>
              <w:jc w:val="right"/>
            </w:pPr>
            <w:r>
              <w:rPr>
                <w:rFonts w:ascii="Times New Roman" w:hAnsi="Times New Roman"/>
                <w:sz w:val="16"/>
              </w:rPr>
              <w:t xml:space="preserve">−0,2%</w:t>
            </w:r>
          </w:p>
        </w:tc>
        <w:tc>
          <w:tcPr>
            <w:tcW w:type="dxa" w:w="1327"/>
          </w:tcPr>
          <w:p>
            <w:pPr>
              <w:pStyle w:val="Compact"/>
              <w:spacing w:line="240" w:lineRule="auto" w:before="20" w:after="20"/>
              <w:ind w:firstLine="0"/>
              <w:jc w:val="right"/>
            </w:pPr>
            <w:r>
              <w:rPr>
                <w:rFonts w:ascii="Times New Roman" w:hAnsi="Times New Roman"/>
                <w:sz w:val="16"/>
              </w:rPr>
              <w:t>37,6</w:t>
            </w:r>
          </w:p>
        </w:tc>
        <w:tc>
          <w:tcPr>
            <w:tcW w:type="dxa" w:w="958"/>
          </w:tcPr>
          <w:p>
            <w:pPr>
              <w:pStyle w:val="Compact"/>
              <w:spacing w:line="240" w:lineRule="auto" w:before="20" w:after="20"/>
              <w:ind w:firstLine="0"/>
              <w:jc w:val="right"/>
            </w:pPr>
            <w:r>
              <w:rPr>
                <w:rFonts w:ascii="Times New Roman" w:hAnsi="Times New Roman"/>
                <w:sz w:val="16"/>
              </w:rPr>
              <w:t xml:space="preserve">38,2</w:t>
            </w:r>
          </w:p>
        </w:tc>
        <w:tc>
          <w:tcPr>
            <w:tcW w:type="dxa" w:w="1106"/>
          </w:tcPr>
          <w:p>
            <w:pPr>
              <w:pStyle w:val="Compact"/>
              <w:spacing w:line="240" w:lineRule="auto" w:before="20" w:after="20"/>
              <w:ind w:firstLine="0"/>
              <w:jc w:val="right"/>
            </w:pPr>
            <w:r>
              <w:rPr>
                <w:rFonts w:ascii="Times New Roman" w:hAnsi="Times New Roman"/>
                <w:sz w:val="16"/>
              </w:rPr>
              <w:t>+1,6%</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RO</w:t>
            </w:r>
          </w:p>
        </w:tc>
        <w:tc>
          <w:tcPr>
            <w:tcW w:type="dxa" w:w="1696"/>
          </w:tcPr>
          <w:p>
            <w:pPr>
              <w:pStyle w:val="Compact"/>
              <w:spacing w:line="240" w:lineRule="auto" w:before="20" w:after="20"/>
              <w:ind w:firstLine="0"/>
              <w:jc w:val="left"/>
            </w:pPr>
            <w:r>
              <w:rPr>
                <w:rFonts w:ascii="Times New Roman" w:hAnsi="Times New Roman"/>
                <w:sz w:val="16"/>
              </w:rPr>
              <w:t xml:space="preserve">Rondônia</w:t>
            </w:r>
          </w:p>
        </w:tc>
        <w:tc>
          <w:tcPr>
            <w:tcW w:type="dxa" w:w="1327"/>
          </w:tcPr>
          <w:p>
            <w:pPr>
              <w:pStyle w:val="Compact"/>
              <w:spacing w:line="240" w:lineRule="auto" w:before="20" w:after="20"/>
              <w:ind w:firstLine="0"/>
              <w:jc w:val="right"/>
            </w:pPr>
            <w:r>
              <w:rPr>
                <w:rFonts w:ascii="Times New Roman" w:hAnsi="Times New Roman"/>
                <w:sz w:val="16"/>
              </w:rPr>
              <w:t xml:space="preserve">6,1</w:t>
            </w:r>
          </w:p>
        </w:tc>
        <w:tc>
          <w:tcPr>
            <w:tcW w:type="dxa" w:w="958"/>
          </w:tcPr>
          <w:p>
            <w:pPr>
              <w:pStyle w:val="Compact"/>
              <w:spacing w:line="240" w:lineRule="auto" w:before="20" w:after="20"/>
              <w:ind w:firstLine="0"/>
              <w:jc w:val="right"/>
            </w:pPr>
            <w:r>
              <w:rPr>
                <w:rFonts w:ascii="Times New Roman" w:hAnsi="Times New Roman"/>
                <w:sz w:val="16"/>
              </w:rPr>
              <w:t xml:space="preserve">6,1</w:t>
            </w:r>
          </w:p>
        </w:tc>
        <w:tc>
          <w:tcPr>
            <w:tcW w:type="dxa" w:w="1106"/>
          </w:tcPr>
          <w:p>
            <w:pPr>
              <w:pStyle w:val="Compact"/>
              <w:spacing w:line="240" w:lineRule="auto" w:before="20" w:after="20"/>
              <w:ind w:firstLine="0"/>
              <w:jc w:val="right"/>
            </w:pPr>
            <w:r>
              <w:rPr>
                <w:rFonts w:ascii="Times New Roman" w:hAnsi="Times New Roman"/>
                <w:sz w:val="16"/>
              </w:rPr>
              <w:t xml:space="preserve">+0,2%</w:t>
            </w:r>
          </w:p>
        </w:tc>
        <w:tc>
          <w:tcPr>
            <w:tcW w:type="dxa" w:w="1327"/>
          </w:tcPr>
          <w:p>
            <w:pPr>
              <w:pStyle w:val="Compact"/>
              <w:spacing w:line="240" w:lineRule="auto" w:before="20" w:after="20"/>
              <w:ind w:firstLine="0"/>
              <w:jc w:val="right"/>
            </w:pPr>
            <w:r>
              <w:rPr>
                <w:rFonts w:ascii="Times New Roman" w:hAnsi="Times New Roman"/>
                <w:sz w:val="16"/>
              </w:rPr>
              <w:t>6,7</w:t>
            </w:r>
          </w:p>
        </w:tc>
        <w:tc>
          <w:tcPr>
            <w:tcW w:type="dxa" w:w="958"/>
          </w:tcPr>
          <w:p>
            <w:pPr>
              <w:pStyle w:val="Compact"/>
              <w:spacing w:line="240" w:lineRule="auto" w:before="20" w:after="20"/>
              <w:ind w:firstLine="0"/>
              <w:jc w:val="right"/>
            </w:pPr>
            <w:r>
              <w:rPr>
                <w:rFonts w:ascii="Times New Roman" w:hAnsi="Times New Roman"/>
                <w:sz w:val="16"/>
              </w:rPr>
              <w:t xml:space="preserve">6,7</w:t>
            </w:r>
          </w:p>
        </w:tc>
        <w:tc>
          <w:tcPr>
            <w:tcW w:type="dxa" w:w="1106"/>
          </w:tcPr>
          <w:p>
            <w:pPr>
              <w:pStyle w:val="Compact"/>
              <w:spacing w:line="240" w:lineRule="auto" w:before="20" w:after="20"/>
              <w:ind w:firstLine="0"/>
              <w:jc w:val="right"/>
            </w:pPr>
            <w:r>
              <w:rPr>
                <w:rFonts w:ascii="Times New Roman" w:hAnsi="Times New Roman"/>
                <w:sz w:val="16"/>
              </w:rPr>
              <w:t>+0,4%</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RS</w:t>
            </w:r>
          </w:p>
        </w:tc>
        <w:tc>
          <w:tcPr>
            <w:tcW w:type="dxa" w:w="1696"/>
          </w:tcPr>
          <w:p>
            <w:pPr>
              <w:pStyle w:val="Compact"/>
              <w:spacing w:line="240" w:lineRule="auto" w:before="20" w:after="20"/>
              <w:ind w:firstLine="0"/>
              <w:jc w:val="left"/>
            </w:pPr>
            <w:r>
              <w:rPr>
                <w:rFonts w:ascii="Times New Roman" w:hAnsi="Times New Roman"/>
                <w:sz w:val="16"/>
              </w:rPr>
              <w:t xml:space="preserve">Rio Grande do Sul</w:t>
            </w:r>
          </w:p>
        </w:tc>
        <w:tc>
          <w:tcPr>
            <w:tcW w:type="dxa" w:w="1327"/>
          </w:tcPr>
          <w:p>
            <w:pPr>
              <w:pStyle w:val="Compact"/>
              <w:spacing w:line="240" w:lineRule="auto" w:before="20" w:after="20"/>
              <w:ind w:firstLine="0"/>
              <w:jc w:val="right"/>
            </w:pPr>
            <w:r>
              <w:rPr>
                <w:rFonts w:ascii="Times New Roman" w:hAnsi="Times New Roman"/>
                <w:sz w:val="16"/>
              </w:rPr>
              <w:t xml:space="preserve">40,5</w:t>
            </w:r>
          </w:p>
        </w:tc>
        <w:tc>
          <w:tcPr>
            <w:tcW w:type="dxa" w:w="958"/>
          </w:tcPr>
          <w:p>
            <w:pPr>
              <w:pStyle w:val="Compact"/>
              <w:spacing w:line="240" w:lineRule="auto" w:before="20" w:after="20"/>
              <w:ind w:firstLine="0"/>
              <w:jc w:val="right"/>
            </w:pPr>
            <w:r>
              <w:rPr>
                <w:rFonts w:ascii="Times New Roman" w:hAnsi="Times New Roman"/>
                <w:sz w:val="16"/>
              </w:rPr>
              <w:t xml:space="preserve">40,6</w:t>
            </w:r>
          </w:p>
        </w:tc>
        <w:tc>
          <w:tcPr>
            <w:tcW w:type="dxa" w:w="1106"/>
          </w:tcPr>
          <w:p>
            <w:pPr>
              <w:pStyle w:val="Compact"/>
              <w:spacing w:line="240" w:lineRule="auto" w:before="20" w:after="20"/>
              <w:ind w:firstLine="0"/>
              <w:jc w:val="right"/>
            </w:pPr>
            <w:r>
              <w:rPr>
                <w:rFonts w:ascii="Times New Roman" w:hAnsi="Times New Roman"/>
                <w:sz w:val="16"/>
              </w:rPr>
              <w:t xml:space="preserve">+0,2%</w:t>
            </w:r>
          </w:p>
        </w:tc>
        <w:tc>
          <w:tcPr>
            <w:tcW w:type="dxa" w:w="1327"/>
          </w:tcPr>
          <w:p>
            <w:pPr>
              <w:pStyle w:val="Compact"/>
              <w:spacing w:line="240" w:lineRule="auto" w:before="20" w:after="20"/>
              <w:ind w:firstLine="0"/>
              <w:jc w:val="right"/>
            </w:pPr>
            <w:r>
              <w:rPr>
                <w:rFonts w:ascii="Times New Roman" w:hAnsi="Times New Roman"/>
                <w:sz w:val="16"/>
              </w:rPr>
              <w:t>50,5</w:t>
            </w:r>
          </w:p>
        </w:tc>
        <w:tc>
          <w:tcPr>
            <w:tcW w:type="dxa" w:w="958"/>
          </w:tcPr>
          <w:p>
            <w:pPr>
              <w:pStyle w:val="Compact"/>
              <w:spacing w:line="240" w:lineRule="auto" w:before="20" w:after="20"/>
              <w:ind w:firstLine="0"/>
              <w:jc w:val="right"/>
            </w:pPr>
            <w:r>
              <w:rPr>
                <w:rFonts w:ascii="Times New Roman" w:hAnsi="Times New Roman"/>
                <w:sz w:val="16"/>
              </w:rPr>
              <w:t xml:space="preserve">51,1</w:t>
            </w:r>
          </w:p>
        </w:tc>
        <w:tc>
          <w:tcPr>
            <w:tcW w:type="dxa" w:w="1106"/>
          </w:tcPr>
          <w:p>
            <w:pPr>
              <w:pStyle w:val="Compact"/>
              <w:spacing w:line="240" w:lineRule="auto" w:before="20" w:after="20"/>
              <w:ind w:firstLine="0"/>
              <w:jc w:val="right"/>
            </w:pPr>
            <w:r>
              <w:rPr>
                <w:rFonts w:ascii="Times New Roman" w:hAnsi="Times New Roman"/>
                <w:sz w:val="16"/>
              </w:rPr>
              <w:t>+1,3%</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PE</w:t>
            </w:r>
          </w:p>
        </w:tc>
        <w:tc>
          <w:tcPr>
            <w:tcW w:type="dxa" w:w="1696"/>
          </w:tcPr>
          <w:p>
            <w:pPr>
              <w:pStyle w:val="Compact"/>
              <w:spacing w:line="240" w:lineRule="auto" w:before="20" w:after="20"/>
              <w:ind w:firstLine="0"/>
              <w:jc w:val="left"/>
            </w:pPr>
            <w:r>
              <w:rPr>
                <w:rFonts w:ascii="Times New Roman" w:hAnsi="Times New Roman"/>
                <w:sz w:val="16"/>
              </w:rPr>
              <w:t xml:space="preserve">Pernambuco</w:t>
            </w:r>
          </w:p>
        </w:tc>
        <w:tc>
          <w:tcPr>
            <w:tcW w:type="dxa" w:w="1327"/>
          </w:tcPr>
          <w:p>
            <w:pPr>
              <w:pStyle w:val="Compact"/>
              <w:spacing w:line="240" w:lineRule="auto" w:before="20" w:after="20"/>
              <w:ind w:firstLine="0"/>
              <w:jc w:val="right"/>
            </w:pPr>
            <w:r>
              <w:rPr>
                <w:rFonts w:ascii="Times New Roman" w:hAnsi="Times New Roman"/>
                <w:sz w:val="16"/>
              </w:rPr>
              <w:t xml:space="preserve">20,8</w:t>
            </w:r>
          </w:p>
        </w:tc>
        <w:tc>
          <w:tcPr>
            <w:tcW w:type="dxa" w:w="958"/>
          </w:tcPr>
          <w:p>
            <w:pPr>
              <w:pStyle w:val="Compact"/>
              <w:spacing w:line="240" w:lineRule="auto" w:before="20" w:after="20"/>
              <w:ind w:firstLine="0"/>
              <w:jc w:val="right"/>
            </w:pPr>
            <w:r>
              <w:rPr>
                <w:rFonts w:ascii="Times New Roman" w:hAnsi="Times New Roman"/>
                <w:sz w:val="16"/>
              </w:rPr>
              <w:t xml:space="preserve">20,9</w:t>
            </w:r>
          </w:p>
        </w:tc>
        <w:tc>
          <w:tcPr>
            <w:tcW w:type="dxa" w:w="1106"/>
          </w:tcPr>
          <w:p>
            <w:pPr>
              <w:pStyle w:val="Compact"/>
              <w:spacing w:line="240" w:lineRule="auto" w:before="20" w:after="20"/>
              <w:ind w:firstLine="0"/>
              <w:jc w:val="right"/>
            </w:pPr>
            <w:r>
              <w:rPr>
                <w:rFonts w:ascii="Times New Roman" w:hAnsi="Times New Roman"/>
                <w:sz w:val="16"/>
              </w:rPr>
              <w:t xml:space="preserve">+0,2%</w:t>
            </w:r>
          </w:p>
        </w:tc>
        <w:tc>
          <w:tcPr>
            <w:tcW w:type="dxa" w:w="1327"/>
          </w:tcPr>
          <w:p>
            <w:pPr>
              <w:pStyle w:val="Compact"/>
              <w:spacing w:line="240" w:lineRule="auto" w:before="20" w:after="20"/>
              <w:ind w:firstLine="0"/>
              <w:jc w:val="right"/>
            </w:pPr>
            <w:r>
              <w:rPr>
                <w:rFonts w:ascii="Times New Roman" w:hAnsi="Times New Roman"/>
                <w:sz w:val="16"/>
              </w:rPr>
              <w:t>24,8</w:t>
            </w:r>
          </w:p>
        </w:tc>
        <w:tc>
          <w:tcPr>
            <w:tcW w:type="dxa" w:w="958"/>
          </w:tcPr>
          <w:p>
            <w:pPr>
              <w:pStyle w:val="Compact"/>
              <w:spacing w:line="240" w:lineRule="auto" w:before="20" w:after="20"/>
              <w:ind w:firstLine="0"/>
              <w:jc w:val="right"/>
            </w:pPr>
            <w:r>
              <w:rPr>
                <w:rFonts w:ascii="Times New Roman" w:hAnsi="Times New Roman"/>
                <w:sz w:val="16"/>
              </w:rPr>
              <w:t xml:space="preserve">24,7</w:t>
            </w:r>
          </w:p>
        </w:tc>
        <w:tc>
          <w:tcPr>
            <w:tcW w:type="dxa" w:w="1106"/>
          </w:tcPr>
          <w:p>
            <w:pPr>
              <w:pStyle w:val="Compact"/>
              <w:spacing w:line="240" w:lineRule="auto" w:before="20" w:after="20"/>
              <w:ind w:firstLine="0"/>
              <w:jc w:val="right"/>
            </w:pPr>
            <w:r>
              <w:rPr>
                <w:rFonts w:ascii="Times New Roman" w:hAnsi="Times New Roman"/>
                <w:sz w:val="16"/>
              </w:rPr>
              <w:t>−0,3%</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PI</w:t>
            </w:r>
          </w:p>
        </w:tc>
        <w:tc>
          <w:tcPr>
            <w:tcW w:type="dxa" w:w="1696"/>
          </w:tcPr>
          <w:p>
            <w:pPr>
              <w:pStyle w:val="Compact"/>
              <w:spacing w:line="240" w:lineRule="auto" w:before="20" w:after="20"/>
              <w:ind w:firstLine="0"/>
              <w:jc w:val="left"/>
            </w:pPr>
            <w:r>
              <w:rPr>
                <w:rFonts w:ascii="Times New Roman" w:hAnsi="Times New Roman"/>
                <w:sz w:val="16"/>
              </w:rPr>
              <w:t xml:space="preserve">Piauí</w:t>
            </w:r>
          </w:p>
        </w:tc>
        <w:tc>
          <w:tcPr>
            <w:tcW w:type="dxa" w:w="1327"/>
          </w:tcPr>
          <w:p>
            <w:pPr>
              <w:pStyle w:val="Compact"/>
              <w:spacing w:line="240" w:lineRule="auto" w:before="20" w:after="20"/>
              <w:ind w:firstLine="0"/>
              <w:jc w:val="right"/>
            </w:pPr>
            <w:r>
              <w:rPr>
                <w:rFonts w:ascii="Times New Roman" w:hAnsi="Times New Roman"/>
                <w:sz w:val="16"/>
              </w:rPr>
              <w:t xml:space="preserve">6,4</w:t>
            </w:r>
          </w:p>
        </w:tc>
        <w:tc>
          <w:tcPr>
            <w:tcW w:type="dxa" w:w="958"/>
          </w:tcPr>
          <w:p>
            <w:pPr>
              <w:pStyle w:val="Compact"/>
              <w:spacing w:line="240" w:lineRule="auto" w:before="20" w:after="20"/>
              <w:ind w:firstLine="0"/>
              <w:jc w:val="right"/>
            </w:pPr>
            <w:r>
              <w:rPr>
                <w:rFonts w:ascii="Times New Roman" w:hAnsi="Times New Roman"/>
                <w:sz w:val="16"/>
              </w:rPr>
              <w:t xml:space="preserve">6,4</w:t>
            </w:r>
          </w:p>
        </w:tc>
        <w:tc>
          <w:tcPr>
            <w:tcW w:type="dxa" w:w="1106"/>
          </w:tcPr>
          <w:p>
            <w:pPr>
              <w:pStyle w:val="Compact"/>
              <w:spacing w:line="240" w:lineRule="auto" w:before="20" w:after="20"/>
              <w:ind w:firstLine="0"/>
              <w:jc w:val="right"/>
            </w:pPr>
            <w:r>
              <w:rPr>
                <w:rFonts w:ascii="Times New Roman" w:hAnsi="Times New Roman"/>
                <w:sz w:val="16"/>
              </w:rPr>
              <w:t xml:space="preserve">+0,1%</w:t>
            </w:r>
          </w:p>
        </w:tc>
        <w:tc>
          <w:tcPr>
            <w:tcW w:type="dxa" w:w="1327"/>
          </w:tcPr>
          <w:p>
            <w:pPr>
              <w:pStyle w:val="Compact"/>
              <w:spacing w:line="240" w:lineRule="auto" w:before="20" w:after="20"/>
              <w:ind w:firstLine="0"/>
              <w:jc w:val="right"/>
            </w:pPr>
            <w:r>
              <w:rPr>
                <w:rFonts w:ascii="Times New Roman" w:hAnsi="Times New Roman"/>
                <w:sz w:val="16"/>
              </w:rPr>
              <w:t>7,3</w:t>
            </w:r>
          </w:p>
        </w:tc>
        <w:tc>
          <w:tcPr>
            <w:tcW w:type="dxa" w:w="958"/>
          </w:tcPr>
          <w:p>
            <w:pPr>
              <w:pStyle w:val="Compact"/>
              <w:spacing w:line="240" w:lineRule="auto" w:before="20" w:after="20"/>
              <w:ind w:firstLine="0"/>
              <w:jc w:val="right"/>
            </w:pPr>
            <w:r>
              <w:rPr>
                <w:rFonts w:ascii="Times New Roman" w:hAnsi="Times New Roman"/>
                <w:sz w:val="16"/>
              </w:rPr>
              <w:t xml:space="preserve">7,3</w:t>
            </w:r>
          </w:p>
        </w:tc>
        <w:tc>
          <w:tcPr>
            <w:tcW w:type="dxa" w:w="1106"/>
          </w:tcPr>
          <w:p>
            <w:pPr>
              <w:pStyle w:val="Compact"/>
              <w:spacing w:line="240" w:lineRule="auto" w:before="20" w:after="20"/>
              <w:ind w:firstLine="0"/>
              <w:jc w:val="right"/>
            </w:pPr>
            <w:r>
              <w:rPr>
                <w:rFonts w:ascii="Times New Roman" w:hAnsi="Times New Roman"/>
                <w:sz w:val="16"/>
              </w:rPr>
              <w:t>−0,1%</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PB</w:t>
            </w:r>
          </w:p>
        </w:tc>
        <w:tc>
          <w:tcPr>
            <w:tcW w:type="dxa" w:w="1696"/>
          </w:tcPr>
          <w:p>
            <w:pPr>
              <w:pStyle w:val="Compact"/>
              <w:spacing w:line="240" w:lineRule="auto" w:before="20" w:after="20"/>
              <w:ind w:firstLine="0"/>
              <w:jc w:val="left"/>
            </w:pPr>
            <w:r>
              <w:rPr>
                <w:rFonts w:ascii="Times New Roman" w:hAnsi="Times New Roman"/>
                <w:sz w:val="16"/>
              </w:rPr>
              <w:t xml:space="preserve">Paraíba</w:t>
            </w:r>
          </w:p>
        </w:tc>
        <w:tc>
          <w:tcPr>
            <w:tcW w:type="dxa" w:w="1327"/>
          </w:tcPr>
          <w:p>
            <w:pPr>
              <w:pStyle w:val="Compact"/>
              <w:spacing w:line="240" w:lineRule="auto" w:before="20" w:after="20"/>
              <w:ind w:firstLine="0"/>
              <w:jc w:val="right"/>
            </w:pPr>
            <w:r>
              <w:rPr>
                <w:rFonts w:ascii="Times New Roman" w:hAnsi="Times New Roman"/>
                <w:sz w:val="16"/>
              </w:rPr>
              <w:t xml:space="preserve">8,0</w:t>
            </w:r>
          </w:p>
        </w:tc>
        <w:tc>
          <w:tcPr>
            <w:tcW w:type="dxa" w:w="958"/>
          </w:tcPr>
          <w:p>
            <w:pPr>
              <w:pStyle w:val="Compact"/>
              <w:spacing w:line="240" w:lineRule="auto" w:before="20" w:after="20"/>
              <w:ind w:firstLine="0"/>
              <w:jc w:val="right"/>
            </w:pPr>
            <w:r>
              <w:rPr>
                <w:rFonts w:ascii="Times New Roman" w:hAnsi="Times New Roman"/>
                <w:sz w:val="16"/>
              </w:rPr>
              <w:t xml:space="preserve">8,0</w:t>
            </w:r>
          </w:p>
        </w:tc>
        <w:tc>
          <w:tcPr>
            <w:tcW w:type="dxa" w:w="1106"/>
          </w:tcPr>
          <w:p>
            <w:pPr>
              <w:pStyle w:val="Compact"/>
              <w:spacing w:line="240" w:lineRule="auto" w:before="20" w:after="20"/>
              <w:ind w:firstLine="0"/>
              <w:jc w:val="right"/>
            </w:pPr>
            <w:r>
              <w:rPr>
                <w:rFonts w:ascii="Times New Roman" w:hAnsi="Times New Roman"/>
                <w:sz w:val="16"/>
              </w:rPr>
              <w:t xml:space="preserve">+0,1%</w:t>
            </w:r>
          </w:p>
        </w:tc>
        <w:tc>
          <w:tcPr>
            <w:tcW w:type="dxa" w:w="1327"/>
          </w:tcPr>
          <w:p>
            <w:pPr>
              <w:pStyle w:val="Compact"/>
              <w:spacing w:line="240" w:lineRule="auto" w:before="20" w:after="20"/>
              <w:ind w:firstLine="0"/>
              <w:jc w:val="right"/>
            </w:pPr>
            <w:r>
              <w:rPr>
                <w:rFonts w:ascii="Times New Roman" w:hAnsi="Times New Roman"/>
                <w:sz w:val="16"/>
              </w:rPr>
              <w:t>9,1</w:t>
            </w:r>
          </w:p>
        </w:tc>
        <w:tc>
          <w:tcPr>
            <w:tcW w:type="dxa" w:w="958"/>
          </w:tcPr>
          <w:p>
            <w:pPr>
              <w:pStyle w:val="Compact"/>
              <w:spacing w:line="240" w:lineRule="auto" w:before="20" w:after="20"/>
              <w:ind w:firstLine="0"/>
              <w:jc w:val="right"/>
            </w:pPr>
            <w:r>
              <w:rPr>
                <w:rFonts w:ascii="Times New Roman" w:hAnsi="Times New Roman"/>
                <w:sz w:val="16"/>
              </w:rPr>
              <w:t xml:space="preserve">9,1</w:t>
            </w:r>
          </w:p>
        </w:tc>
        <w:tc>
          <w:tcPr>
            <w:tcW w:type="dxa" w:w="1106"/>
          </w:tcPr>
          <w:p>
            <w:pPr>
              <w:pStyle w:val="Compact"/>
              <w:spacing w:line="240" w:lineRule="auto" w:before="20" w:after="20"/>
              <w:ind w:firstLine="0"/>
              <w:jc w:val="right"/>
            </w:pPr>
            <w:r>
              <w:rPr>
                <w:rFonts w:ascii="Times New Roman" w:hAnsi="Times New Roman"/>
                <w:sz w:val="16"/>
              </w:rPr>
              <w:t>+0,0%</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SE</w:t>
            </w:r>
          </w:p>
        </w:tc>
        <w:tc>
          <w:tcPr>
            <w:tcW w:type="dxa" w:w="1696"/>
          </w:tcPr>
          <w:p>
            <w:pPr>
              <w:pStyle w:val="Compact"/>
              <w:spacing w:line="240" w:lineRule="auto" w:before="20" w:after="20"/>
              <w:ind w:firstLine="0"/>
              <w:jc w:val="left"/>
            </w:pPr>
            <w:r>
              <w:rPr>
                <w:rFonts w:ascii="Times New Roman" w:hAnsi="Times New Roman"/>
                <w:sz w:val="16"/>
              </w:rPr>
              <w:t xml:space="preserve">Sergipe</w:t>
            </w:r>
          </w:p>
        </w:tc>
        <w:tc>
          <w:tcPr>
            <w:tcW w:type="dxa" w:w="1327"/>
          </w:tcPr>
          <w:p>
            <w:pPr>
              <w:pStyle w:val="Compact"/>
              <w:spacing w:line="240" w:lineRule="auto" w:before="20" w:after="20"/>
              <w:ind w:firstLine="0"/>
              <w:jc w:val="right"/>
            </w:pPr>
            <w:r>
              <w:rPr>
                <w:rFonts w:ascii="Times New Roman" w:hAnsi="Times New Roman"/>
                <w:sz w:val="16"/>
              </w:rPr>
              <w:t xml:space="preserve">4,6</w:t>
            </w:r>
          </w:p>
        </w:tc>
        <w:tc>
          <w:tcPr>
            <w:tcW w:type="dxa" w:w="958"/>
          </w:tcPr>
          <w:p>
            <w:pPr>
              <w:pStyle w:val="Compact"/>
              <w:spacing w:line="240" w:lineRule="auto" w:before="20" w:after="20"/>
              <w:ind w:firstLine="0"/>
              <w:jc w:val="right"/>
            </w:pPr>
            <w:r>
              <w:rPr>
                <w:rFonts w:ascii="Times New Roman" w:hAnsi="Times New Roman"/>
                <w:sz w:val="16"/>
              </w:rPr>
              <w:t xml:space="preserve">4,6</w:t>
            </w:r>
          </w:p>
        </w:tc>
        <w:tc>
          <w:tcPr>
            <w:tcW w:type="dxa" w:w="1106"/>
          </w:tcPr>
          <w:p>
            <w:pPr>
              <w:pStyle w:val="Compact"/>
              <w:spacing w:line="240" w:lineRule="auto" w:before="20" w:after="20"/>
              <w:ind w:firstLine="0"/>
              <w:jc w:val="right"/>
            </w:pPr>
            <w:r>
              <w:rPr>
                <w:rFonts w:ascii="Times New Roman" w:hAnsi="Times New Roman"/>
                <w:sz w:val="16"/>
              </w:rPr>
              <w:t xml:space="preserve">−0,1%</w:t>
            </w:r>
          </w:p>
        </w:tc>
        <w:tc>
          <w:tcPr>
            <w:tcW w:type="dxa" w:w="1327"/>
          </w:tcPr>
          <w:p>
            <w:pPr>
              <w:pStyle w:val="Compact"/>
              <w:spacing w:line="240" w:lineRule="auto" w:before="20" w:after="20"/>
              <w:ind w:firstLine="0"/>
              <w:jc w:val="right"/>
            </w:pPr>
            <w:r>
              <w:rPr>
                <w:rFonts w:ascii="Times New Roman" w:hAnsi="Times New Roman"/>
                <w:sz w:val="16"/>
              </w:rPr>
              <w:t xml:space="preserve">5,5</w:t>
            </w:r>
          </w:p>
        </w:tc>
        <w:tc>
          <w:tcPr>
            <w:tcW w:type="dxa" w:w="958"/>
          </w:tcPr>
          <w:p>
            <w:pPr>
              <w:pStyle w:val="Compact"/>
              <w:spacing w:line="240" w:lineRule="auto" w:before="20" w:after="20"/>
              <w:ind w:firstLine="0"/>
              <w:jc w:val="right"/>
            </w:pPr>
            <w:r>
              <w:rPr>
                <w:rFonts w:ascii="Times New Roman" w:hAnsi="Times New Roman"/>
                <w:sz w:val="16"/>
              </w:rPr>
              <w:t xml:space="preserve">5,4</w:t>
            </w:r>
          </w:p>
        </w:tc>
        <w:tc>
          <w:tcPr>
            <w:tcW w:type="dxa" w:w="1106"/>
          </w:tcPr>
          <w:p>
            <w:pPr>
              <w:pStyle w:val="Compact"/>
              <w:spacing w:line="240" w:lineRule="auto" w:before="20" w:after="20"/>
              <w:ind w:firstLine="0"/>
              <w:jc w:val="right"/>
            </w:pPr>
            <w:r>
              <w:rPr>
                <w:rFonts w:ascii="Times New Roman" w:hAnsi="Times New Roman"/>
                <w:sz w:val="16"/>
              </w:rPr>
              <w:t>−1,6%</w:t>
            </w:r>
          </w:p>
        </w:tc>
      </w:tr>
      <w:tr>
        <w:trPr>
          <w:cantSplit/>
        </w:trPr>
        <w:tc>
          <w:tcPr>
            <w:tcW w:type="dxa" w:w="590"/>
            <w:shd w:val="clear" w:color="auto" w:fill="E7E6E6"/>
          </w:tcPr>
          <w:p>
            <w:pPr>
              <w:pStyle w:val="Compact"/>
              <w:spacing w:line="240" w:lineRule="auto" w:before="20" w:after="20"/>
              <w:ind w:firstLine="0"/>
              <w:jc w:val="left"/>
            </w:pPr>
            <w:r>
              <w:rPr>
                <w:rFonts w:ascii="Times New Roman" w:hAnsi="Times New Roman"/>
                <w:sz w:val="16"/>
              </w:rPr>
            </w:r>
            <w:r>
              <w:rPr>
                <w:rFonts w:ascii="Times New Roman" w:hAnsi="Times New Roman"/>
                <w:b/>
                <w:bCs/>
                <w:sz w:val="16"/>
              </w:rPr>
              <w:t xml:space="preserve">PR</w:t>
            </w:r>
          </w:p>
        </w:tc>
        <w:tc>
          <w:tcPr>
            <w:tcW w:type="dxa" w:w="1696"/>
            <w:shd w:val="clear" w:color="auto" w:fill="E7E6E6"/>
          </w:tcPr>
          <w:p>
            <w:pPr>
              <w:pStyle w:val="Compact"/>
              <w:spacing w:line="240" w:lineRule="auto" w:before="20" w:after="20"/>
              <w:ind w:firstLine="0"/>
              <w:jc w:val="left"/>
            </w:pPr>
            <w:r>
              <w:rPr>
                <w:rFonts w:ascii="Times New Roman" w:hAnsi="Times New Roman"/>
                <w:b/>
                <w:bCs/>
                <w:sz w:val="16"/>
              </w:rPr>
              <w:t xml:space="preserve">Paraná</w:t>
            </w:r>
          </w:p>
        </w:tc>
        <w:tc>
          <w:tcPr>
            <w:tcW w:type="dxa" w:w="1327"/>
            <w:shd w:val="clear" w:color="auto" w:fill="E7E6E6"/>
          </w:tcPr>
          <w:p>
            <w:pPr>
              <w:pStyle w:val="Compact"/>
              <w:spacing w:line="240" w:lineRule="auto" w:before="20" w:after="20"/>
              <w:ind w:firstLine="0"/>
              <w:jc w:val="right"/>
            </w:pPr>
            <w:r>
              <w:rPr>
                <w:rFonts w:ascii="Times New Roman" w:hAnsi="Times New Roman"/>
                <w:b/>
                <w:bCs/>
                <w:sz w:val="16"/>
              </w:rPr>
              <w:t xml:space="preserve">40,1</w:t>
            </w:r>
          </w:p>
        </w:tc>
        <w:tc>
          <w:tcPr>
            <w:tcW w:type="dxa" w:w="958"/>
            <w:shd w:val="clear" w:color="auto" w:fill="E7E6E6"/>
          </w:tcPr>
          <w:p>
            <w:pPr>
              <w:pStyle w:val="Compact"/>
              <w:spacing w:line="240" w:lineRule="auto" w:before="20" w:after="20"/>
              <w:ind w:firstLine="0"/>
              <w:jc w:val="right"/>
            </w:pPr>
            <w:r>
              <w:rPr>
                <w:rFonts w:ascii="Times New Roman" w:hAnsi="Times New Roman"/>
                <w:b/>
                <w:bCs/>
                <w:sz w:val="16"/>
              </w:rPr>
              <w:t xml:space="preserve">40,2</w:t>
            </w:r>
          </w:p>
        </w:tc>
        <w:tc>
          <w:tcPr>
            <w:tcW w:type="dxa" w:w="1106"/>
            <w:shd w:val="clear" w:color="auto" w:fill="E7E6E6"/>
          </w:tcPr>
          <w:p>
            <w:pPr>
              <w:pStyle w:val="Compact"/>
              <w:spacing w:line="240" w:lineRule="auto" w:before="20" w:after="20"/>
              <w:ind w:firstLine="0"/>
              <w:jc w:val="right"/>
            </w:pPr>
            <w:r>
              <w:rPr>
                <w:rFonts w:ascii="Times New Roman" w:hAnsi="Times New Roman"/>
                <w:b/>
                <w:bCs/>
                <w:sz w:val="16"/>
              </w:rPr>
              <w:t xml:space="preserve">+0,1%</w:t>
            </w:r>
          </w:p>
        </w:tc>
        <w:tc>
          <w:tcPr>
            <w:tcW w:type="dxa" w:w="1327"/>
            <w:shd w:val="clear" w:color="auto" w:fill="E7E6E6"/>
          </w:tcPr>
          <w:p>
            <w:pPr>
              <w:pStyle w:val="Compact"/>
              <w:spacing w:line="240" w:lineRule="auto" w:before="20" w:after="20"/>
              <w:ind w:firstLine="0"/>
              <w:jc w:val="right"/>
            </w:pPr>
            <w:r>
              <w:rPr>
                <w:rFonts w:ascii="Times New Roman" w:hAnsi="Times New Roman"/>
                <w:b/>
                <w:bCs/>
                <w:sz w:val="16"/>
              </w:rPr>
              <w:t>47,5</w:t>
            </w:r>
          </w:p>
        </w:tc>
        <w:tc>
          <w:tcPr>
            <w:tcW w:type="dxa" w:w="958"/>
            <w:shd w:val="clear" w:color="auto" w:fill="E7E6E6"/>
          </w:tcPr>
          <w:p>
            <w:pPr>
              <w:pStyle w:val="Compact"/>
              <w:spacing w:line="240" w:lineRule="auto" w:before="20" w:after="20"/>
              <w:ind w:firstLine="0"/>
              <w:jc w:val="right"/>
            </w:pPr>
            <w:r>
              <w:rPr>
                <w:rFonts w:ascii="Times New Roman" w:hAnsi="Times New Roman"/>
                <w:b/>
                <w:bCs/>
                <w:sz w:val="16"/>
              </w:rPr>
              <w:t xml:space="preserve">48,1</w:t>
            </w:r>
          </w:p>
        </w:tc>
        <w:tc>
          <w:tcPr>
            <w:tcW w:type="dxa" w:w="1106"/>
            <w:shd w:val="clear" w:color="auto" w:fill="E7E6E6"/>
          </w:tcPr>
          <w:p>
            <w:pPr>
              <w:pStyle w:val="Compact"/>
              <w:spacing w:line="240" w:lineRule="auto" w:before="20" w:after="20"/>
              <w:ind w:firstLine="0"/>
              <w:jc w:val="right"/>
            </w:pPr>
            <w:r>
              <w:rPr>
                <w:rFonts w:ascii="Times New Roman" w:hAnsi="Times New Roman"/>
                <w:b/>
                <w:bCs/>
                <w:sz w:val="16"/>
              </w:rPr>
              <w:t>+1,2%</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MG</w:t>
            </w:r>
          </w:p>
        </w:tc>
        <w:tc>
          <w:tcPr>
            <w:tcW w:type="dxa" w:w="1696"/>
          </w:tcPr>
          <w:p>
            <w:pPr>
              <w:pStyle w:val="Compact"/>
              <w:spacing w:line="240" w:lineRule="auto" w:before="20" w:after="20"/>
              <w:ind w:firstLine="0"/>
              <w:jc w:val="left"/>
            </w:pPr>
            <w:r>
              <w:rPr>
                <w:rFonts w:ascii="Times New Roman" w:hAnsi="Times New Roman"/>
                <w:sz w:val="16"/>
              </w:rPr>
              <w:t xml:space="preserve">Minas Gerais</w:t>
            </w:r>
          </w:p>
        </w:tc>
        <w:tc>
          <w:tcPr>
            <w:tcW w:type="dxa" w:w="1327"/>
          </w:tcPr>
          <w:p>
            <w:pPr>
              <w:pStyle w:val="Compact"/>
              <w:spacing w:line="240" w:lineRule="auto" w:before="20" w:after="20"/>
              <w:ind w:firstLine="0"/>
              <w:jc w:val="right"/>
            </w:pPr>
            <w:r>
              <w:rPr>
                <w:rFonts w:ascii="Times New Roman" w:hAnsi="Times New Roman"/>
                <w:sz w:val="16"/>
              </w:rPr>
              <w:t xml:space="preserve">66,1</w:t>
            </w:r>
          </w:p>
        </w:tc>
        <w:tc>
          <w:tcPr>
            <w:tcW w:type="dxa" w:w="958"/>
          </w:tcPr>
          <w:p>
            <w:pPr>
              <w:pStyle w:val="Compact"/>
              <w:spacing w:line="240" w:lineRule="auto" w:before="20" w:after="20"/>
              <w:ind w:firstLine="0"/>
              <w:jc w:val="right"/>
            </w:pPr>
            <w:r>
              <w:rPr>
                <w:rFonts w:ascii="Times New Roman" w:hAnsi="Times New Roman"/>
                <w:sz w:val="16"/>
              </w:rPr>
              <w:t xml:space="preserve">66,1</w:t>
            </w:r>
          </w:p>
        </w:tc>
        <w:tc>
          <w:tcPr>
            <w:tcW w:type="dxa" w:w="1106"/>
          </w:tcPr>
          <w:p>
            <w:pPr>
              <w:pStyle w:val="Compact"/>
              <w:spacing w:line="240" w:lineRule="auto" w:before="20" w:after="20"/>
              <w:ind w:firstLine="0"/>
              <w:jc w:val="right"/>
            </w:pPr>
            <w:r>
              <w:rPr>
                <w:rFonts w:ascii="Times New Roman" w:hAnsi="Times New Roman"/>
                <w:sz w:val="16"/>
              </w:rPr>
              <w:t xml:space="preserve">+0,1%</w:t>
            </w:r>
          </w:p>
        </w:tc>
        <w:tc>
          <w:tcPr>
            <w:tcW w:type="dxa" w:w="1327"/>
          </w:tcPr>
          <w:p>
            <w:pPr>
              <w:pStyle w:val="Compact"/>
              <w:spacing w:line="240" w:lineRule="auto" w:before="20" w:after="20"/>
              <w:ind w:firstLine="0"/>
              <w:jc w:val="right"/>
            </w:pPr>
            <w:r>
              <w:rPr>
                <w:rFonts w:ascii="Times New Roman" w:hAnsi="Times New Roman"/>
                <w:sz w:val="16"/>
              </w:rPr>
              <w:t>77,8</w:t>
            </w:r>
          </w:p>
        </w:tc>
        <w:tc>
          <w:tcPr>
            <w:tcW w:type="dxa" w:w="958"/>
          </w:tcPr>
          <w:p>
            <w:pPr>
              <w:pStyle w:val="Compact"/>
              <w:spacing w:line="240" w:lineRule="auto" w:before="20" w:after="20"/>
              <w:ind w:firstLine="0"/>
              <w:jc w:val="right"/>
            </w:pPr>
            <w:r>
              <w:rPr>
                <w:rFonts w:ascii="Times New Roman" w:hAnsi="Times New Roman"/>
                <w:sz w:val="16"/>
              </w:rPr>
              <w:t xml:space="preserve">78,6</w:t>
            </w:r>
          </w:p>
        </w:tc>
        <w:tc>
          <w:tcPr>
            <w:tcW w:type="dxa" w:w="1106"/>
          </w:tcPr>
          <w:p>
            <w:pPr>
              <w:pStyle w:val="Compact"/>
              <w:spacing w:line="240" w:lineRule="auto" w:before="20" w:after="20"/>
              <w:ind w:firstLine="0"/>
              <w:jc w:val="right"/>
            </w:pPr>
            <w:r>
              <w:rPr>
                <w:rFonts w:ascii="Times New Roman" w:hAnsi="Times New Roman"/>
                <w:sz w:val="16"/>
              </w:rPr>
              <w:t>+1,0%</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AC</w:t>
            </w:r>
          </w:p>
        </w:tc>
        <w:tc>
          <w:tcPr>
            <w:tcW w:type="dxa" w:w="1696"/>
          </w:tcPr>
          <w:p>
            <w:pPr>
              <w:pStyle w:val="Compact"/>
              <w:spacing w:line="240" w:lineRule="auto" w:before="20" w:after="20"/>
              <w:ind w:firstLine="0"/>
              <w:jc w:val="left"/>
            </w:pPr>
            <w:r>
              <w:rPr>
                <w:rFonts w:ascii="Times New Roman" w:hAnsi="Times New Roman"/>
                <w:sz w:val="16"/>
              </w:rPr>
              <w:t xml:space="preserve">Acre</w:t>
            </w:r>
          </w:p>
        </w:tc>
        <w:tc>
          <w:tcPr>
            <w:tcW w:type="dxa" w:w="1327"/>
          </w:tcPr>
          <w:p>
            <w:pPr>
              <w:pStyle w:val="Compact"/>
              <w:spacing w:line="240" w:lineRule="auto" w:before="20" w:after="20"/>
              <w:ind w:firstLine="0"/>
              <w:jc w:val="right"/>
            </w:pPr>
            <w:r>
              <w:rPr>
                <w:rFonts w:ascii="Times New Roman" w:hAnsi="Times New Roman"/>
                <w:sz w:val="16"/>
              </w:rPr>
              <w:t xml:space="preserve">1,7</w:t>
            </w:r>
          </w:p>
        </w:tc>
        <w:tc>
          <w:tcPr>
            <w:tcW w:type="dxa" w:w="958"/>
          </w:tcPr>
          <w:p>
            <w:pPr>
              <w:pStyle w:val="Compact"/>
              <w:spacing w:line="240" w:lineRule="auto" w:before="20" w:after="20"/>
              <w:ind w:firstLine="0"/>
              <w:jc w:val="right"/>
            </w:pPr>
            <w:r>
              <w:rPr>
                <w:rFonts w:ascii="Times New Roman" w:hAnsi="Times New Roman"/>
                <w:sz w:val="16"/>
              </w:rPr>
              <w:t xml:space="preserve">1,7</w:t>
            </w:r>
          </w:p>
        </w:tc>
        <w:tc>
          <w:tcPr>
            <w:tcW w:type="dxa" w:w="1106"/>
          </w:tcPr>
          <w:p>
            <w:pPr>
              <w:pStyle w:val="Compact"/>
              <w:spacing w:line="240" w:lineRule="auto" w:before="20" w:after="20"/>
              <w:ind w:firstLine="0"/>
              <w:jc w:val="right"/>
            </w:pPr>
            <w:r>
              <w:rPr>
                <w:rFonts w:ascii="Times New Roman" w:hAnsi="Times New Roman"/>
                <w:sz w:val="16"/>
              </w:rPr>
              <w:t xml:space="preserve">−0,1%</w:t>
            </w:r>
          </w:p>
        </w:tc>
        <w:tc>
          <w:tcPr>
            <w:tcW w:type="dxa" w:w="1327"/>
          </w:tcPr>
          <w:p>
            <w:pPr>
              <w:pStyle w:val="Compact"/>
              <w:spacing w:line="240" w:lineRule="auto" w:before="20" w:after="20"/>
              <w:ind w:firstLine="0"/>
              <w:jc w:val="right"/>
            </w:pPr>
            <w:r>
              <w:rPr>
                <w:rFonts w:ascii="Times New Roman" w:hAnsi="Times New Roman"/>
                <w:sz w:val="16"/>
              </w:rPr>
              <w:t>2,1</w:t>
            </w:r>
          </w:p>
        </w:tc>
        <w:tc>
          <w:tcPr>
            <w:tcW w:type="dxa" w:w="958"/>
          </w:tcPr>
          <w:p>
            <w:pPr>
              <w:pStyle w:val="Compact"/>
              <w:spacing w:line="240" w:lineRule="auto" w:before="20" w:after="20"/>
              <w:ind w:firstLine="0"/>
              <w:jc w:val="right"/>
            </w:pPr>
            <w:r>
              <w:rPr>
                <w:rFonts w:ascii="Times New Roman" w:hAnsi="Times New Roman"/>
                <w:sz w:val="16"/>
              </w:rPr>
              <w:t xml:space="preserve">2,1</w:t>
            </w:r>
          </w:p>
        </w:tc>
        <w:tc>
          <w:tcPr>
            <w:tcW w:type="dxa" w:w="1106"/>
          </w:tcPr>
          <w:p>
            <w:pPr>
              <w:pStyle w:val="Compact"/>
              <w:spacing w:line="240" w:lineRule="auto" w:before="20" w:after="20"/>
              <w:ind w:firstLine="0"/>
              <w:jc w:val="right"/>
            </w:pPr>
            <w:r>
              <w:rPr>
                <w:rFonts w:ascii="Times New Roman" w:hAnsi="Times New Roman"/>
                <w:sz w:val="16"/>
              </w:rPr>
              <w:t>+0,0%</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RR</w:t>
            </w:r>
          </w:p>
        </w:tc>
        <w:tc>
          <w:tcPr>
            <w:tcW w:type="dxa" w:w="1696"/>
          </w:tcPr>
          <w:p>
            <w:pPr>
              <w:pStyle w:val="Compact"/>
              <w:spacing w:line="240" w:lineRule="auto" w:before="20" w:after="20"/>
              <w:ind w:firstLine="0"/>
              <w:jc w:val="left"/>
            </w:pPr>
            <w:r>
              <w:rPr>
                <w:rFonts w:ascii="Times New Roman" w:hAnsi="Times New Roman"/>
                <w:sz w:val="16"/>
              </w:rPr>
              <w:t xml:space="preserve">Roraima</w:t>
            </w:r>
          </w:p>
        </w:tc>
        <w:tc>
          <w:tcPr>
            <w:tcW w:type="dxa" w:w="1327"/>
          </w:tcPr>
          <w:p>
            <w:pPr>
              <w:pStyle w:val="Compact"/>
              <w:spacing w:line="240" w:lineRule="auto" w:before="20" w:after="20"/>
              <w:ind w:firstLine="0"/>
              <w:jc w:val="right"/>
            </w:pPr>
            <w:r>
              <w:rPr>
                <w:rFonts w:ascii="Times New Roman" w:hAnsi="Times New Roman"/>
                <w:sz w:val="16"/>
              </w:rPr>
              <w:t xml:space="preserve">1,6</w:t>
            </w:r>
          </w:p>
        </w:tc>
        <w:tc>
          <w:tcPr>
            <w:tcW w:type="dxa" w:w="958"/>
          </w:tcPr>
          <w:p>
            <w:pPr>
              <w:pStyle w:val="Compact"/>
              <w:spacing w:line="240" w:lineRule="auto" w:before="20" w:after="20"/>
              <w:ind w:firstLine="0"/>
              <w:jc w:val="right"/>
            </w:pPr>
            <w:r>
              <w:rPr>
                <w:rFonts w:ascii="Times New Roman" w:hAnsi="Times New Roman"/>
                <w:sz w:val="16"/>
              </w:rPr>
              <w:t xml:space="preserve">1,6</w:t>
            </w:r>
          </w:p>
        </w:tc>
        <w:tc>
          <w:tcPr>
            <w:tcW w:type="dxa" w:w="1106"/>
          </w:tcPr>
          <w:p>
            <w:pPr>
              <w:pStyle w:val="Compact"/>
              <w:spacing w:line="240" w:lineRule="auto" w:before="20" w:after="20"/>
              <w:ind w:firstLine="0"/>
              <w:jc w:val="right"/>
            </w:pPr>
            <w:r>
              <w:rPr>
                <w:rFonts w:ascii="Times New Roman" w:hAnsi="Times New Roman"/>
                <w:sz w:val="16"/>
              </w:rPr>
              <w:t xml:space="preserve">+0,0%</w:t>
            </w:r>
          </w:p>
        </w:tc>
        <w:tc>
          <w:tcPr>
            <w:tcW w:type="dxa" w:w="1327"/>
          </w:tcPr>
          <w:p>
            <w:pPr>
              <w:pStyle w:val="Compact"/>
              <w:spacing w:line="240" w:lineRule="auto" w:before="20" w:after="20"/>
              <w:ind w:firstLine="0"/>
              <w:jc w:val="right"/>
            </w:pPr>
            <w:r>
              <w:rPr>
                <w:rFonts w:ascii="Times New Roman" w:hAnsi="Times New Roman"/>
                <w:sz w:val="16"/>
              </w:rPr>
              <w:t xml:space="preserve">1,8</w:t>
            </w:r>
          </w:p>
        </w:tc>
        <w:tc>
          <w:tcPr>
            <w:tcW w:type="dxa" w:w="958"/>
          </w:tcPr>
          <w:p>
            <w:pPr>
              <w:pStyle w:val="Compact"/>
              <w:spacing w:line="240" w:lineRule="auto" w:before="20" w:after="20"/>
              <w:ind w:firstLine="0"/>
              <w:jc w:val="right"/>
            </w:pPr>
            <w:r>
              <w:rPr>
                <w:rFonts w:ascii="Times New Roman" w:hAnsi="Times New Roman"/>
                <w:sz w:val="16"/>
              </w:rPr>
              <w:t xml:space="preserve">1,9</w:t>
            </w:r>
          </w:p>
        </w:tc>
        <w:tc>
          <w:tcPr>
            <w:tcW w:type="dxa" w:w="1106"/>
          </w:tcPr>
          <w:p>
            <w:pPr>
              <w:pStyle w:val="Compact"/>
              <w:spacing w:line="240" w:lineRule="auto" w:before="20" w:after="20"/>
              <w:ind w:firstLine="0"/>
              <w:jc w:val="right"/>
            </w:pPr>
            <w:r>
              <w:rPr>
                <w:rFonts w:ascii="Times New Roman" w:hAnsi="Times New Roman"/>
                <w:sz w:val="16"/>
              </w:rPr>
              <w:t>+1,4%</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CE</w:t>
            </w:r>
          </w:p>
        </w:tc>
        <w:tc>
          <w:tcPr>
            <w:tcW w:type="dxa" w:w="1696"/>
          </w:tcPr>
          <w:p>
            <w:pPr>
              <w:pStyle w:val="Compact"/>
              <w:spacing w:line="240" w:lineRule="auto" w:before="20" w:after="20"/>
              <w:ind w:firstLine="0"/>
              <w:jc w:val="left"/>
            </w:pPr>
            <w:r>
              <w:rPr>
                <w:rFonts w:ascii="Times New Roman" w:hAnsi="Times New Roman"/>
                <w:sz w:val="16"/>
              </w:rPr>
              <w:t xml:space="preserve">Ceará</w:t>
            </w:r>
          </w:p>
        </w:tc>
        <w:tc>
          <w:tcPr>
            <w:tcW w:type="dxa" w:w="1327"/>
          </w:tcPr>
          <w:p>
            <w:pPr>
              <w:pStyle w:val="Compact"/>
              <w:spacing w:line="240" w:lineRule="auto" w:before="20" w:after="20"/>
              <w:ind w:firstLine="0"/>
              <w:jc w:val="right"/>
            </w:pPr>
            <w:r>
              <w:rPr>
                <w:rFonts w:ascii="Times New Roman" w:hAnsi="Times New Roman"/>
                <w:sz w:val="16"/>
              </w:rPr>
              <w:t xml:space="preserve">16,2</w:t>
            </w:r>
          </w:p>
        </w:tc>
        <w:tc>
          <w:tcPr>
            <w:tcW w:type="dxa" w:w="958"/>
          </w:tcPr>
          <w:p>
            <w:pPr>
              <w:pStyle w:val="Compact"/>
              <w:spacing w:line="240" w:lineRule="auto" w:before="20" w:after="20"/>
              <w:ind w:firstLine="0"/>
              <w:jc w:val="right"/>
            </w:pPr>
            <w:r>
              <w:rPr>
                <w:rFonts w:ascii="Times New Roman" w:hAnsi="Times New Roman"/>
                <w:sz w:val="16"/>
              </w:rPr>
              <w:t xml:space="preserve">16,2</w:t>
            </w:r>
          </w:p>
        </w:tc>
        <w:tc>
          <w:tcPr>
            <w:tcW w:type="dxa" w:w="1106"/>
          </w:tcPr>
          <w:p>
            <w:pPr>
              <w:pStyle w:val="Compact"/>
              <w:spacing w:line="240" w:lineRule="auto" w:before="20" w:after="20"/>
              <w:ind w:firstLine="0"/>
              <w:jc w:val="right"/>
            </w:pPr>
            <w:r>
              <w:rPr>
                <w:rFonts w:ascii="Times New Roman" w:hAnsi="Times New Roman"/>
                <w:sz w:val="16"/>
              </w:rPr>
              <w:t>+0,0%</w:t>
            </w:r>
          </w:p>
        </w:tc>
        <w:tc>
          <w:tcPr>
            <w:tcW w:type="dxa" w:w="1327"/>
          </w:tcPr>
          <w:p>
            <w:pPr>
              <w:pStyle w:val="Compact"/>
              <w:spacing w:line="240" w:lineRule="auto" w:before="20" w:after="20"/>
              <w:ind w:firstLine="0"/>
              <w:jc w:val="right"/>
            </w:pPr>
            <w:r>
              <w:rPr>
                <w:rFonts w:ascii="Times New Roman" w:hAnsi="Times New Roman"/>
                <w:sz w:val="16"/>
              </w:rPr>
              <w:t xml:space="preserve">19,5</w:t>
            </w:r>
          </w:p>
        </w:tc>
        <w:tc>
          <w:tcPr>
            <w:tcW w:type="dxa" w:w="958"/>
          </w:tcPr>
          <w:p>
            <w:pPr>
              <w:pStyle w:val="Compact"/>
              <w:spacing w:line="240" w:lineRule="auto" w:before="20" w:after="20"/>
              <w:ind w:firstLine="0"/>
              <w:jc w:val="right"/>
            </w:pPr>
            <w:r>
              <w:rPr>
                <w:rFonts w:ascii="Times New Roman" w:hAnsi="Times New Roman"/>
                <w:sz w:val="16"/>
              </w:rPr>
              <w:t xml:space="preserve">19,6</w:t>
            </w:r>
          </w:p>
        </w:tc>
        <w:tc>
          <w:tcPr>
            <w:tcW w:type="dxa" w:w="1106"/>
          </w:tcPr>
          <w:p>
            <w:pPr>
              <w:pStyle w:val="Compact"/>
              <w:spacing w:line="240" w:lineRule="auto" w:before="20" w:after="20"/>
              <w:ind w:firstLine="0"/>
              <w:jc w:val="right"/>
            </w:pPr>
            <w:r>
              <w:rPr>
                <w:rFonts w:ascii="Times New Roman" w:hAnsi="Times New Roman"/>
                <w:sz w:val="16"/>
              </w:rPr>
              <w:t>+0,6%</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MA</w:t>
            </w:r>
          </w:p>
        </w:tc>
        <w:tc>
          <w:tcPr>
            <w:tcW w:type="dxa" w:w="1696"/>
          </w:tcPr>
          <w:p>
            <w:pPr>
              <w:pStyle w:val="Compact"/>
              <w:spacing w:line="240" w:lineRule="auto" w:before="20" w:after="20"/>
              <w:ind w:firstLine="0"/>
              <w:jc w:val="left"/>
            </w:pPr>
            <w:r>
              <w:rPr>
                <w:rFonts w:ascii="Times New Roman" w:hAnsi="Times New Roman"/>
                <w:sz w:val="16"/>
              </w:rPr>
              <w:t xml:space="preserve">Maranhão</w:t>
            </w:r>
          </w:p>
        </w:tc>
        <w:tc>
          <w:tcPr>
            <w:tcW w:type="dxa" w:w="1327"/>
          </w:tcPr>
          <w:p>
            <w:pPr>
              <w:pStyle w:val="Compact"/>
              <w:spacing w:line="240" w:lineRule="auto" w:before="20" w:after="20"/>
              <w:ind w:firstLine="0"/>
              <w:jc w:val="right"/>
            </w:pPr>
            <w:r>
              <w:rPr>
                <w:rFonts w:ascii="Times New Roman" w:hAnsi="Times New Roman"/>
                <w:sz w:val="16"/>
              </w:rPr>
              <w:t xml:space="preserve">11,9</w:t>
            </w:r>
          </w:p>
        </w:tc>
        <w:tc>
          <w:tcPr>
            <w:tcW w:type="dxa" w:w="958"/>
          </w:tcPr>
          <w:p>
            <w:pPr>
              <w:pStyle w:val="Compact"/>
              <w:spacing w:line="240" w:lineRule="auto" w:before="20" w:after="20"/>
              <w:ind w:firstLine="0"/>
              <w:jc w:val="right"/>
            </w:pPr>
            <w:r>
              <w:rPr>
                <w:rFonts w:ascii="Times New Roman" w:hAnsi="Times New Roman"/>
                <w:sz w:val="16"/>
              </w:rPr>
              <w:t xml:space="preserve">11,9</w:t>
            </w:r>
          </w:p>
        </w:tc>
        <w:tc>
          <w:tcPr>
            <w:tcW w:type="dxa" w:w="1106"/>
          </w:tcPr>
          <w:p>
            <w:pPr>
              <w:pStyle w:val="Compact"/>
              <w:spacing w:line="240" w:lineRule="auto" w:before="20" w:after="20"/>
              <w:ind w:firstLine="0"/>
              <w:jc w:val="right"/>
            </w:pPr>
            <w:r>
              <w:rPr>
                <w:rFonts w:ascii="Times New Roman" w:hAnsi="Times New Roman"/>
                <w:sz w:val="16"/>
              </w:rPr>
              <w:t xml:space="preserve">+0,0%</w:t>
            </w:r>
          </w:p>
        </w:tc>
        <w:tc>
          <w:tcPr>
            <w:tcW w:type="dxa" w:w="1327"/>
          </w:tcPr>
          <w:p>
            <w:pPr>
              <w:pStyle w:val="Compact"/>
              <w:spacing w:line="240" w:lineRule="auto" w:before="20" w:after="20"/>
              <w:ind w:firstLine="0"/>
              <w:jc w:val="right"/>
            </w:pPr>
            <w:r>
              <w:rPr>
                <w:rFonts w:ascii="Times New Roman" w:hAnsi="Times New Roman"/>
                <w:sz w:val="16"/>
              </w:rPr>
              <w:t>13,1</w:t>
            </w:r>
          </w:p>
        </w:tc>
        <w:tc>
          <w:tcPr>
            <w:tcW w:type="dxa" w:w="958"/>
          </w:tcPr>
          <w:p>
            <w:pPr>
              <w:pStyle w:val="Compact"/>
              <w:spacing w:line="240" w:lineRule="auto" w:before="20" w:after="20"/>
              <w:ind w:firstLine="0"/>
              <w:jc w:val="right"/>
            </w:pPr>
            <w:r>
              <w:rPr>
                <w:rFonts w:ascii="Times New Roman" w:hAnsi="Times New Roman"/>
                <w:sz w:val="16"/>
              </w:rPr>
              <w:t xml:space="preserve">13,0</w:t>
            </w:r>
          </w:p>
        </w:tc>
        <w:tc>
          <w:tcPr>
            <w:tcW w:type="dxa" w:w="1106"/>
          </w:tcPr>
          <w:p>
            <w:pPr>
              <w:pStyle w:val="Compact"/>
              <w:spacing w:line="240" w:lineRule="auto" w:before="20" w:after="20"/>
              <w:ind w:firstLine="0"/>
              <w:jc w:val="right"/>
            </w:pPr>
            <w:r>
              <w:rPr>
                <w:rFonts w:ascii="Times New Roman" w:hAnsi="Times New Roman"/>
                <w:sz w:val="16"/>
              </w:rPr>
              <w:t>−0,9%</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TO</w:t>
            </w:r>
          </w:p>
        </w:tc>
        <w:tc>
          <w:tcPr>
            <w:tcW w:type="dxa" w:w="1696"/>
          </w:tcPr>
          <w:p>
            <w:pPr>
              <w:pStyle w:val="Compact"/>
              <w:spacing w:line="240" w:lineRule="auto" w:before="20" w:after="20"/>
              <w:ind w:firstLine="0"/>
              <w:jc w:val="left"/>
            </w:pPr>
            <w:r>
              <w:rPr>
                <w:rFonts w:ascii="Times New Roman" w:hAnsi="Times New Roman"/>
                <w:sz w:val="16"/>
              </w:rPr>
              <w:t xml:space="preserve">Tocantins</w:t>
            </w:r>
          </w:p>
        </w:tc>
        <w:tc>
          <w:tcPr>
            <w:tcW w:type="dxa" w:w="1327"/>
          </w:tcPr>
          <w:p>
            <w:pPr>
              <w:pStyle w:val="Compact"/>
              <w:spacing w:line="240" w:lineRule="auto" w:before="20" w:after="20"/>
              <w:ind w:firstLine="0"/>
              <w:jc w:val="right"/>
            </w:pPr>
            <w:r>
              <w:rPr>
                <w:rFonts w:ascii="Times New Roman" w:hAnsi="Times New Roman"/>
                <w:sz w:val="16"/>
              </w:rPr>
              <w:t xml:space="preserve">4,8</w:t>
            </w:r>
          </w:p>
        </w:tc>
        <w:tc>
          <w:tcPr>
            <w:tcW w:type="dxa" w:w="958"/>
          </w:tcPr>
          <w:p>
            <w:pPr>
              <w:pStyle w:val="Compact"/>
              <w:spacing w:line="240" w:lineRule="auto" w:before="20" w:after="20"/>
              <w:ind w:firstLine="0"/>
              <w:jc w:val="right"/>
            </w:pPr>
            <w:r>
              <w:rPr>
                <w:rFonts w:ascii="Times New Roman" w:hAnsi="Times New Roman"/>
                <w:sz w:val="16"/>
              </w:rPr>
              <w:t xml:space="preserve">4,8</w:t>
            </w:r>
          </w:p>
        </w:tc>
        <w:tc>
          <w:tcPr>
            <w:tcW w:type="dxa" w:w="1106"/>
          </w:tcPr>
          <w:p>
            <w:pPr>
              <w:pStyle w:val="Compact"/>
              <w:spacing w:line="240" w:lineRule="auto" w:before="20" w:after="20"/>
              <w:ind w:firstLine="0"/>
              <w:jc w:val="right"/>
            </w:pPr>
            <w:r>
              <w:rPr>
                <w:rFonts w:ascii="Times New Roman" w:hAnsi="Times New Roman"/>
                <w:sz w:val="16"/>
              </w:rPr>
              <w:t xml:space="preserve">+0,0%</w:t>
            </w:r>
          </w:p>
        </w:tc>
        <w:tc>
          <w:tcPr>
            <w:tcW w:type="dxa" w:w="1327"/>
          </w:tcPr>
          <w:p>
            <w:pPr>
              <w:pStyle w:val="Compact"/>
              <w:spacing w:line="240" w:lineRule="auto" w:before="20" w:after="20"/>
              <w:ind w:firstLine="0"/>
              <w:jc w:val="right"/>
            </w:pPr>
            <w:r>
              <w:rPr>
                <w:rFonts w:ascii="Times New Roman" w:hAnsi="Times New Roman"/>
                <w:sz w:val="16"/>
              </w:rPr>
              <w:t>5,1</w:t>
            </w:r>
          </w:p>
        </w:tc>
        <w:tc>
          <w:tcPr>
            <w:tcW w:type="dxa" w:w="958"/>
          </w:tcPr>
          <w:p>
            <w:pPr>
              <w:pStyle w:val="Compact"/>
              <w:spacing w:line="240" w:lineRule="auto" w:before="20" w:after="20"/>
              <w:ind w:firstLine="0"/>
              <w:jc w:val="right"/>
            </w:pPr>
            <w:r>
              <w:rPr>
                <w:rFonts w:ascii="Times New Roman" w:hAnsi="Times New Roman"/>
                <w:sz w:val="16"/>
              </w:rPr>
              <w:t xml:space="preserve">5,2</w:t>
            </w:r>
          </w:p>
        </w:tc>
        <w:tc>
          <w:tcPr>
            <w:tcW w:type="dxa" w:w="1106"/>
          </w:tcPr>
          <w:p>
            <w:pPr>
              <w:pStyle w:val="Compact"/>
              <w:spacing w:line="240" w:lineRule="auto" w:before="20" w:after="20"/>
              <w:ind w:firstLine="0"/>
              <w:jc w:val="right"/>
            </w:pPr>
            <w:r>
              <w:rPr>
                <w:rFonts w:ascii="Times New Roman" w:hAnsi="Times New Roman"/>
                <w:sz w:val="16"/>
              </w:rPr>
              <w:t>+2,2%</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DF</w:t>
            </w:r>
          </w:p>
        </w:tc>
        <w:tc>
          <w:tcPr>
            <w:tcW w:type="dxa" w:w="1696"/>
          </w:tcPr>
          <w:p>
            <w:pPr>
              <w:pStyle w:val="Compact"/>
              <w:spacing w:line="240" w:lineRule="auto" w:before="20" w:after="20"/>
              <w:ind w:firstLine="0"/>
              <w:jc w:val="left"/>
            </w:pPr>
            <w:r>
              <w:rPr>
                <w:rFonts w:ascii="Times New Roman" w:hAnsi="Times New Roman"/>
                <w:sz w:val="16"/>
              </w:rPr>
              <w:t xml:space="preserve">Distrito Federal</w:t>
            </w:r>
          </w:p>
        </w:tc>
        <w:tc>
          <w:tcPr>
            <w:tcW w:type="dxa" w:w="1327"/>
          </w:tcPr>
          <w:p>
            <w:pPr>
              <w:pStyle w:val="Compact"/>
              <w:spacing w:line="240" w:lineRule="auto" w:before="20" w:after="20"/>
              <w:ind w:firstLine="0"/>
              <w:jc w:val="right"/>
            </w:pPr>
            <w:r>
              <w:rPr>
                <w:rFonts w:ascii="Times New Roman" w:hAnsi="Times New Roman"/>
                <w:sz w:val="16"/>
              </w:rPr>
              <w:t xml:space="preserve">16,5</w:t>
            </w:r>
          </w:p>
        </w:tc>
        <w:tc>
          <w:tcPr>
            <w:tcW w:type="dxa" w:w="958"/>
          </w:tcPr>
          <w:p>
            <w:pPr>
              <w:pStyle w:val="Compact"/>
              <w:spacing w:line="240" w:lineRule="auto" w:before="20" w:after="20"/>
              <w:ind w:firstLine="0"/>
              <w:jc w:val="right"/>
            </w:pPr>
            <w:r>
              <w:rPr>
                <w:rFonts w:ascii="Times New Roman" w:hAnsi="Times New Roman"/>
                <w:sz w:val="16"/>
              </w:rPr>
              <w:t xml:space="preserve">16,5</w:t>
            </w:r>
          </w:p>
        </w:tc>
        <w:tc>
          <w:tcPr>
            <w:tcW w:type="dxa" w:w="1106"/>
          </w:tcPr>
          <w:p>
            <w:pPr>
              <w:pStyle w:val="Compact"/>
              <w:spacing w:line="240" w:lineRule="auto" w:before="20" w:after="20"/>
              <w:ind w:firstLine="0"/>
              <w:jc w:val="right"/>
            </w:pPr>
            <w:r>
              <w:rPr>
                <w:rFonts w:ascii="Times New Roman" w:hAnsi="Times New Roman"/>
                <w:sz w:val="16"/>
              </w:rPr>
              <w:t>+0,0%</w:t>
            </w:r>
          </w:p>
        </w:tc>
        <w:tc>
          <w:tcPr>
            <w:tcW w:type="dxa" w:w="1327"/>
          </w:tcPr>
          <w:p>
            <w:pPr>
              <w:pStyle w:val="Compact"/>
              <w:spacing w:line="240" w:lineRule="auto" w:before="20" w:after="20"/>
              <w:ind w:firstLine="0"/>
              <w:jc w:val="right"/>
            </w:pPr>
            <w:r>
              <w:rPr>
                <w:rFonts w:ascii="Times New Roman" w:hAnsi="Times New Roman"/>
                <w:sz w:val="16"/>
              </w:rPr>
              <w:t>20,5</w:t>
            </w:r>
          </w:p>
        </w:tc>
        <w:tc>
          <w:tcPr>
            <w:tcW w:type="dxa" w:w="958"/>
          </w:tcPr>
          <w:p>
            <w:pPr>
              <w:pStyle w:val="Compact"/>
              <w:spacing w:line="240" w:lineRule="auto" w:before="20" w:after="20"/>
              <w:ind w:firstLine="0"/>
              <w:jc w:val="right"/>
            </w:pPr>
            <w:r>
              <w:rPr>
                <w:rFonts w:ascii="Times New Roman" w:hAnsi="Times New Roman"/>
                <w:sz w:val="16"/>
              </w:rPr>
              <w:t xml:space="preserve">19,9</w:t>
            </w:r>
          </w:p>
        </w:tc>
        <w:tc>
          <w:tcPr>
            <w:tcW w:type="dxa" w:w="1106"/>
          </w:tcPr>
          <w:p>
            <w:pPr>
              <w:pStyle w:val="Compact"/>
              <w:spacing w:line="240" w:lineRule="auto" w:before="20" w:after="20"/>
              <w:ind w:firstLine="0"/>
              <w:jc w:val="right"/>
            </w:pPr>
            <w:r>
              <w:rPr>
                <w:rFonts w:ascii="Times New Roman" w:hAnsi="Times New Roman"/>
                <w:sz w:val="16"/>
              </w:rPr>
              <w:t>−2,7%</w:t>
            </w:r>
          </w:p>
        </w:tc>
      </w:tr>
      <w:tr>
        <w:trPr>
          <w:cantSplit/>
        </w:trPr>
        <w:tc>
          <w:tcPr>
            <w:tcW w:type="dxa" w:w="590"/>
          </w:tcPr>
          <w:p>
            <w:pPr>
              <w:pStyle w:val="Compact"/>
              <w:spacing w:line="240" w:lineRule="auto" w:before="20" w:after="20"/>
              <w:ind w:firstLine="0"/>
              <w:jc w:val="left"/>
            </w:pPr>
            <w:r>
              <w:rPr>
                <w:rFonts w:ascii="Times New Roman" w:hAnsi="Times New Roman"/>
                <w:sz w:val="16"/>
              </w:rPr>
              <w:t xml:space="preserve">MS</w:t>
            </w:r>
          </w:p>
        </w:tc>
        <w:tc>
          <w:tcPr>
            <w:tcW w:type="dxa" w:w="1696"/>
          </w:tcPr>
          <w:p>
            <w:pPr>
              <w:pStyle w:val="Compact"/>
              <w:spacing w:line="240" w:lineRule="auto" w:before="20" w:after="20"/>
              <w:ind w:firstLine="0"/>
              <w:jc w:val="left"/>
            </w:pPr>
            <w:r>
              <w:rPr>
                <w:rFonts w:ascii="Times New Roman" w:hAnsi="Times New Roman"/>
                <w:sz w:val="16"/>
              </w:rPr>
              <w:t xml:space="preserve">Mato Grosso do Sul</w:t>
            </w:r>
          </w:p>
        </w:tc>
        <w:tc>
          <w:tcPr>
            <w:tcW w:type="dxa" w:w="1327"/>
          </w:tcPr>
          <w:p>
            <w:pPr>
              <w:pStyle w:val="Compact"/>
              <w:spacing w:line="240" w:lineRule="auto" w:before="20" w:after="20"/>
              <w:ind w:firstLine="0"/>
              <w:jc w:val="right"/>
            </w:pPr>
            <w:r>
              <w:rPr>
                <w:rFonts w:ascii="Times New Roman" w:hAnsi="Times New Roman"/>
                <w:sz w:val="16"/>
              </w:rPr>
              <w:t xml:space="preserve">13,2</w:t>
            </w:r>
          </w:p>
        </w:tc>
        <w:tc>
          <w:tcPr>
            <w:tcW w:type="dxa" w:w="958"/>
          </w:tcPr>
          <w:p>
            <w:pPr>
              <w:pStyle w:val="Compact"/>
              <w:spacing w:line="240" w:lineRule="auto" w:before="20" w:after="20"/>
              <w:ind w:firstLine="0"/>
              <w:jc w:val="right"/>
            </w:pPr>
            <w:r>
              <w:rPr>
                <w:rFonts w:ascii="Times New Roman" w:hAnsi="Times New Roman"/>
                <w:sz w:val="16"/>
              </w:rPr>
              <w:t xml:space="preserve">13,2</w:t>
            </w:r>
          </w:p>
        </w:tc>
        <w:tc>
          <w:tcPr>
            <w:tcW w:type="dxa" w:w="1106"/>
          </w:tcPr>
          <w:p>
            <w:pPr>
              <w:pStyle w:val="Compact"/>
              <w:spacing w:line="240" w:lineRule="auto" w:before="20" w:after="20"/>
              <w:ind w:firstLine="0"/>
              <w:jc w:val="right"/>
            </w:pPr>
            <w:r>
              <w:rPr>
                <w:rFonts w:ascii="Times New Roman" w:hAnsi="Times New Roman"/>
                <w:sz w:val="16"/>
              </w:rPr>
              <w:t>+0,0%</w:t>
            </w:r>
          </w:p>
        </w:tc>
        <w:tc>
          <w:tcPr>
            <w:tcW w:type="dxa" w:w="1327"/>
          </w:tcPr>
          <w:p>
            <w:pPr>
              <w:pStyle w:val="Compact"/>
              <w:spacing w:line="240" w:lineRule="auto" w:before="20" w:after="20"/>
              <w:ind w:firstLine="0"/>
              <w:jc w:val="right"/>
            </w:pPr>
            <w:r>
              <w:rPr>
                <w:rFonts w:ascii="Times New Roman" w:hAnsi="Times New Roman"/>
                <w:sz w:val="16"/>
              </w:rPr>
              <w:t>15,0</w:t>
            </w:r>
          </w:p>
        </w:tc>
        <w:tc>
          <w:tcPr>
            <w:tcW w:type="dxa" w:w="958"/>
          </w:tcPr>
          <w:p>
            <w:pPr>
              <w:pStyle w:val="Compact"/>
              <w:spacing w:line="240" w:lineRule="auto" w:before="20" w:after="20"/>
              <w:ind w:firstLine="0"/>
              <w:jc w:val="right"/>
            </w:pPr>
            <w:r>
              <w:rPr>
                <w:rFonts w:ascii="Times New Roman" w:hAnsi="Times New Roman"/>
                <w:sz w:val="16"/>
              </w:rPr>
              <w:t xml:space="preserve">15,1</w:t>
            </w:r>
          </w:p>
        </w:tc>
        <w:tc>
          <w:tcPr>
            <w:tcW w:type="dxa" w:w="1106"/>
          </w:tcPr>
          <w:p>
            <w:pPr>
              <w:pStyle w:val="Compact"/>
              <w:spacing w:line="240" w:lineRule="auto" w:before="20" w:after="20"/>
              <w:ind w:firstLine="0"/>
              <w:jc w:val="right"/>
            </w:pPr>
            <w:r>
              <w:rPr>
                <w:rFonts w:ascii="Times New Roman" w:hAnsi="Times New Roman"/>
                <w:sz w:val="16"/>
              </w:rPr>
              <w:t>+0,6%</w:t>
            </w:r>
          </w:p>
        </w:tc>
      </w:tr>
    </w:tbl>
    <w:bookmarkEnd w:id="59"/>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m:oMath>
        <m:r>
          <m:rPr>
            <m:sty m:val="p"/>
          </m:rPr>
          <m:t>Δ</m:t>
        </m:r>
        <m:r>
          <m:rPr>
            <m:sty m:val="p"/>
          </m:rPr>
          <m:t>=</m:t>
        </m:r>
        <m:r>
          <m:rPr>
            <m:sty m:val="p"/>
          </m:rPr>
          <m:t>(</m:t>
        </m:r>
        <m:r>
          <m:rPr>
            <m:nor/>
            <m:sty m:val="p"/>
          </m:rPr>
          <m:t>Ipea</m:t>
        </m:r>
        <m:r>
          <m:rPr>
            <m:sty m:val="p"/>
          </m:rPr>
          <m:t>/</m:t>
        </m:r>
        <m:r>
          <m:rPr>
            <m:nor/>
            <m:sty m:val="p"/>
          </m:rPr>
          <m:t>este estudo</m:t>
        </m:r>
        <m:r>
          <m:rPr>
            <m:sty m:val="p"/>
          </m:rPr>
          <m:t>)</m:t>
        </m:r>
        <m:r>
          <m:rPr>
            <m:sty m:val="p"/>
          </m:rPr>
          <m:t>−</m:t>
        </m:r>
        <m:r>
          <m:t>1</m:t>
        </m:r>
      </m:oMath>
      <w:r>
        <w:rPr>
          <w:rFonts w:ascii="Times New Roman" w:hAnsi="Times New Roman"/>
          <w:sz w:val="18"/>
        </w:rPr>
        <w:t xml:space="preserve">. Valores em R$ bilhões, a preços de 2025. As diferenças percentuais reproduzem a comparação apresentada na fonte e podem não coincidir exatamente com as razões calculadas a partir dos valores arredondados exibidos na tabela. Esta validação confronta duas projeções completas e é distinta do exercício de sensibilidade descrito no texto, no qual apenas o coeficiente de destino é substituído e os demais parâmetros do modelo são mantidos fixos.</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 com base nas projeções deste estudo e na apresentação do Ipea/Gobetti ao Confaz, set./2026.</w:t>
      </w:r>
    </w:p>
    <w:bookmarkStart w:id="60" w:name="tab:anexo_cpt_pr"/>
    <w:p>
      <w:pPr>
        <w:pStyle w:val="TableCaption"/>
      </w:pPr>
      <w:r>
        <w:rPr>
          <w:b/>
          <w:bCs/>
        </w:rPr>
        <w:t xml:space="preserve">Tabela A.2:</w:t>
      </w:r>
      <w:r>
        <w:t xml:space="preserve"> Memória de cálculo do coeficiente de participação do governo estadual do Paraná</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A.2: Memória de cálculo do coeficiente de participação do governo estadual do Paraná"/>
      </w:tblPr>
      <w:tblGrid>
        <w:gridCol w:w="697"/>
        <w:gridCol w:w="1078"/>
        <w:gridCol w:w="1205"/>
        <w:gridCol w:w="1332"/>
        <w:gridCol w:w="824"/>
        <w:gridCol w:w="1459"/>
        <w:gridCol w:w="1015"/>
        <w:gridCol w:w="1459"/>
      </w:tblGrid>
      <w:tr>
        <w:trPr>
          <w:tblHeader w:val="on"/>
          <w:cantSplit/>
          <w:tblHeader/>
        </w:trPr>
        <w:tc>
          <w:tcPr>
            <w:tcW w:type="dxa" w:w="69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Ano</w:t>
            </w:r>
          </w:p>
        </w:tc>
        <w:tc>
          <w:tcPr>
            <w:tcW w:type="dxa" w:w="107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ICMS bruto</w:t>
            </w:r>
            <w:r>
              <w:rPr>
                <w:rFonts w:ascii="Times New Roman" w:hAnsi="Times New Roman"/>
                <w:b/>
                <w:sz w:val="16"/>
              </w:rPr>
              <w:br/>
            </w:r>
            <w:r>
              <w:rPr>
                <w:rFonts w:ascii="Times New Roman" w:hAnsi="Times New Roman"/>
                <w:b/>
                <w:bCs/>
                <w:sz w:val="16"/>
              </w:rPr>
              <w:t xml:space="preserve">R$ bi</w:t>
            </w:r>
          </w:p>
        </w:tc>
        <w:tc>
          <w:tcPr>
            <w:tcW w:type="dxa" w:w="120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Outras</w:t>
            </w:r>
            <w:r>
              <w:rPr>
                <w:rFonts w:ascii="Times New Roman" w:hAnsi="Times New Roman"/>
                <w:b/>
                <w:sz w:val="16"/>
              </w:rPr>
              <w:br/>
            </w:r>
            <w:r>
              <w:rPr>
                <w:rFonts w:ascii="Times New Roman" w:hAnsi="Times New Roman"/>
                <w:b/>
                <w:bCs/>
                <w:sz w:val="16"/>
              </w:rPr>
              <w:t xml:space="preserve">deduções</w:t>
            </w:r>
          </w:p>
        </w:tc>
        <w:tc>
          <w:tcPr>
            <w:tcW w:type="dxa" w:w="133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Cota</w:t>
            </w:r>
            <w:r>
              <w:rPr>
                <w:rFonts w:ascii="Times New Roman" w:hAnsi="Times New Roman"/>
                <w:b/>
                <w:sz w:val="16"/>
              </w:rPr>
              <w:br/>
            </w:r>
            <w:r>
              <w:rPr>
                <w:rFonts w:ascii="Times New Roman" w:hAnsi="Times New Roman"/>
                <w:b/>
                <w:bCs/>
                <w:sz w:val="16"/>
              </w:rPr>
              <w:t xml:space="preserve">municipal</w:t>
            </w:r>
          </w:p>
        </w:tc>
        <w:tc>
          <w:tcPr>
            <w:tcW w:type="dxa" w:w="82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FECOP</w:t>
            </w:r>
          </w:p>
        </w:tc>
        <w:tc>
          <w:tcPr>
            <w:tcW w:type="dxa" w:w="145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Receita de</w:t>
            </w:r>
            <w:r>
              <w:rPr>
                <w:rFonts w:ascii="Times New Roman" w:hAnsi="Times New Roman"/>
                <w:b/>
                <w:sz w:val="16"/>
              </w:rPr>
              <w:br/>
            </w:r>
            <w:r>
              <w:rPr>
                <w:rFonts w:ascii="Times New Roman" w:hAnsi="Times New Roman"/>
                <w:b/>
                <w:bCs/>
                <w:sz w:val="16"/>
              </w:rPr>
              <w:t xml:space="preserve">referência</w:t>
            </w:r>
          </w:p>
        </w:tc>
        <w:tc>
          <w:tcPr>
            <w:tcW w:type="dxa" w:w="101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Fator de</w:t>
            </w:r>
            <w:r>
              <w:rPr>
                <w:rFonts w:ascii="Times New Roman" w:hAnsi="Times New Roman"/>
                <w:b/>
                <w:sz w:val="16"/>
              </w:rPr>
              <w:br/>
            </w:r>
            <w:r>
              <w:rPr>
                <w:rFonts w:ascii="Times New Roman" w:hAnsi="Times New Roman"/>
                <w:b/>
                <w:bCs/>
                <w:sz w:val="16"/>
              </w:rPr>
              <w:t xml:space="preserve">ajuste</w:t>
            </w:r>
          </w:p>
        </w:tc>
        <w:tc>
          <w:tcPr>
            <w:tcW w:type="dxa" w:w="145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Referência</w:t>
            </w:r>
            <w:r>
              <w:rPr>
                <w:rFonts w:ascii="Times New Roman" w:hAnsi="Times New Roman"/>
                <w:b/>
                <w:sz w:val="16"/>
              </w:rPr>
              <w:br/>
            </w:r>
            <w:r>
              <w:rPr>
                <w:rFonts w:ascii="Times New Roman" w:hAnsi="Times New Roman"/>
                <w:b/>
                <w:bCs/>
                <w:sz w:val="16"/>
              </w:rPr>
              <w:t xml:space="preserve">R$ de 2025</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2019</w:t>
            </w:r>
          </w:p>
        </w:tc>
        <w:tc>
          <w:tcPr>
            <w:tcW w:type="dxa" w:w="1078"/>
          </w:tcPr>
          <w:p>
            <w:pPr>
              <w:pStyle w:val="Compact"/>
              <w:spacing w:line="240" w:lineRule="auto" w:before="20" w:after="20"/>
              <w:ind w:firstLine="0"/>
              <w:jc w:val="right"/>
            </w:pPr>
            <w:r>
              <w:rPr>
                <w:rFonts w:ascii="Times New Roman" w:hAnsi="Times New Roman"/>
                <w:sz w:val="16"/>
              </w:rPr>
              <w:t xml:space="preserve">31,20</w:t>
            </w:r>
          </w:p>
        </w:tc>
        <w:tc>
          <w:tcPr>
            <w:tcW w:type="dxa" w:w="1205"/>
          </w:tcPr>
          <w:p>
            <w:pPr>
              <w:pStyle w:val="Compact"/>
              <w:spacing w:line="240" w:lineRule="auto" w:before="20" w:after="20"/>
              <w:ind w:firstLine="0"/>
              <w:jc w:val="right"/>
            </w:pPr>
            <w:r>
              <w:rPr>
                <w:rFonts w:ascii="Times New Roman" w:hAnsi="Times New Roman"/>
                <w:sz w:val="16"/>
              </w:rPr>
              <w:t xml:space="preserve">0,30</w:t>
            </w:r>
          </w:p>
        </w:tc>
        <w:tc>
          <w:tcPr>
            <w:tcW w:type="dxa" w:w="1332"/>
          </w:tcPr>
          <w:p>
            <w:pPr>
              <w:pStyle w:val="Compact"/>
              <w:spacing w:line="240" w:lineRule="auto" w:before="20" w:after="20"/>
              <w:ind w:firstLine="0"/>
              <w:jc w:val="right"/>
            </w:pPr>
            <w:r>
              <w:rPr>
                <w:rFonts w:ascii="Times New Roman" w:hAnsi="Times New Roman"/>
                <w:sz w:val="16"/>
              </w:rPr>
              <w:t xml:space="preserve">7,80</w:t>
            </w:r>
          </w:p>
        </w:tc>
        <w:tc>
          <w:tcPr>
            <w:tcW w:type="dxa" w:w="824"/>
          </w:tcPr>
          <w:p>
            <w:pPr>
              <w:pStyle w:val="Compact"/>
              <w:spacing w:line="240" w:lineRule="auto" w:before="20" w:after="20"/>
              <w:ind w:firstLine="0"/>
              <w:jc w:val="right"/>
            </w:pPr>
            <w:r>
              <w:rPr>
                <w:rFonts w:ascii="Times New Roman" w:hAnsi="Times New Roman"/>
                <w:sz w:val="16"/>
              </w:rPr>
              <w:t xml:space="preserve">0,52</w:t>
            </w:r>
          </w:p>
        </w:tc>
        <w:tc>
          <w:tcPr>
            <w:tcW w:type="dxa" w:w="1459"/>
          </w:tcPr>
          <w:p>
            <w:pPr>
              <w:pStyle w:val="Compact"/>
              <w:spacing w:line="240" w:lineRule="auto" w:before="20" w:after="20"/>
              <w:ind w:firstLine="0"/>
              <w:jc w:val="right"/>
            </w:pPr>
            <w:r>
              <w:rPr>
                <w:rFonts w:ascii="Times New Roman" w:hAnsi="Times New Roman"/>
                <w:sz w:val="16"/>
              </w:rPr>
              <w:t xml:space="preserve">23,62</w:t>
            </w:r>
          </w:p>
        </w:tc>
        <w:tc>
          <w:tcPr>
            <w:tcW w:type="dxa" w:w="1015"/>
          </w:tcPr>
          <w:p>
            <w:pPr>
              <w:pStyle w:val="Compact"/>
              <w:spacing w:line="240" w:lineRule="auto" w:before="20" w:after="20"/>
              <w:ind w:firstLine="0"/>
              <w:jc w:val="right"/>
            </w:pPr>
            <w:r>
              <w:rPr>
                <w:rFonts w:ascii="Times New Roman" w:hAnsi="Times New Roman"/>
                <w:sz w:val="16"/>
              </w:rPr>
              <w:t xml:space="preserve">1,743</w:t>
            </w:r>
          </w:p>
        </w:tc>
        <w:tc>
          <w:tcPr>
            <w:tcW w:type="dxa" w:w="1459"/>
          </w:tcPr>
          <w:p>
            <w:pPr>
              <w:pStyle w:val="Compact"/>
              <w:spacing w:line="240" w:lineRule="auto" w:before="20" w:after="20"/>
              <w:ind w:firstLine="0"/>
              <w:jc w:val="right"/>
            </w:pPr>
            <w:r>
              <w:rPr>
                <w:rFonts w:ascii="Times New Roman" w:hAnsi="Times New Roman"/>
                <w:sz w:val="16"/>
              </w:rPr>
              <w:t>41,13</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2020</w:t>
            </w:r>
          </w:p>
        </w:tc>
        <w:tc>
          <w:tcPr>
            <w:tcW w:type="dxa" w:w="1078"/>
          </w:tcPr>
          <w:p>
            <w:pPr>
              <w:pStyle w:val="Compact"/>
              <w:spacing w:line="240" w:lineRule="auto" w:before="20" w:after="20"/>
              <w:ind w:firstLine="0"/>
              <w:jc w:val="right"/>
            </w:pPr>
            <w:r>
              <w:rPr>
                <w:rFonts w:ascii="Times New Roman" w:hAnsi="Times New Roman"/>
                <w:sz w:val="16"/>
              </w:rPr>
              <w:t xml:space="preserve">31,14</w:t>
            </w:r>
          </w:p>
        </w:tc>
        <w:tc>
          <w:tcPr>
            <w:tcW w:type="dxa" w:w="1205"/>
          </w:tcPr>
          <w:p>
            <w:pPr>
              <w:pStyle w:val="Compact"/>
              <w:spacing w:line="240" w:lineRule="auto" w:before="20" w:after="20"/>
              <w:ind w:firstLine="0"/>
              <w:jc w:val="right"/>
            </w:pPr>
            <w:r>
              <w:rPr>
                <w:rFonts w:ascii="Times New Roman" w:hAnsi="Times New Roman"/>
                <w:sz w:val="16"/>
              </w:rPr>
              <w:t xml:space="preserve">0,25</w:t>
            </w:r>
          </w:p>
        </w:tc>
        <w:tc>
          <w:tcPr>
            <w:tcW w:type="dxa" w:w="1332"/>
          </w:tcPr>
          <w:p>
            <w:pPr>
              <w:pStyle w:val="Compact"/>
              <w:spacing w:line="240" w:lineRule="auto" w:before="20" w:after="20"/>
              <w:ind w:firstLine="0"/>
              <w:jc w:val="right"/>
            </w:pPr>
            <w:r>
              <w:rPr>
                <w:rFonts w:ascii="Times New Roman" w:hAnsi="Times New Roman"/>
                <w:sz w:val="16"/>
              </w:rPr>
              <w:t xml:space="preserve">7,71</w:t>
            </w:r>
          </w:p>
        </w:tc>
        <w:tc>
          <w:tcPr>
            <w:tcW w:type="dxa" w:w="824"/>
          </w:tcPr>
          <w:p>
            <w:pPr>
              <w:pStyle w:val="Compact"/>
              <w:spacing w:line="240" w:lineRule="auto" w:before="20" w:after="20"/>
              <w:ind w:firstLine="0"/>
              <w:jc w:val="right"/>
            </w:pPr>
            <w:r>
              <w:rPr>
                <w:rFonts w:ascii="Times New Roman" w:hAnsi="Times New Roman"/>
                <w:sz w:val="16"/>
              </w:rPr>
              <w:t xml:space="preserve">0,50</w:t>
            </w:r>
          </w:p>
        </w:tc>
        <w:tc>
          <w:tcPr>
            <w:tcW w:type="dxa" w:w="1459"/>
          </w:tcPr>
          <w:p>
            <w:pPr>
              <w:pStyle w:val="Compact"/>
              <w:spacing w:line="240" w:lineRule="auto" w:before="20" w:after="20"/>
              <w:ind w:firstLine="0"/>
              <w:jc w:val="right"/>
            </w:pPr>
            <w:r>
              <w:rPr>
                <w:rFonts w:ascii="Times New Roman" w:hAnsi="Times New Roman"/>
                <w:sz w:val="16"/>
              </w:rPr>
              <w:t xml:space="preserve">23,68</w:t>
            </w:r>
          </w:p>
        </w:tc>
        <w:tc>
          <w:tcPr>
            <w:tcW w:type="dxa" w:w="1015"/>
          </w:tcPr>
          <w:p>
            <w:pPr>
              <w:pStyle w:val="Compact"/>
              <w:spacing w:line="240" w:lineRule="auto" w:before="20" w:after="20"/>
              <w:ind w:firstLine="0"/>
              <w:jc w:val="right"/>
            </w:pPr>
            <w:r>
              <w:rPr>
                <w:rFonts w:ascii="Times New Roman" w:hAnsi="Times New Roman"/>
                <w:sz w:val="16"/>
              </w:rPr>
              <w:t xml:space="preserve">1,706</w:t>
            </w:r>
          </w:p>
        </w:tc>
        <w:tc>
          <w:tcPr>
            <w:tcW w:type="dxa" w:w="1459"/>
          </w:tcPr>
          <w:p>
            <w:pPr>
              <w:pStyle w:val="Compact"/>
              <w:spacing w:line="240" w:lineRule="auto" w:before="20" w:after="20"/>
              <w:ind w:firstLine="0"/>
              <w:jc w:val="right"/>
            </w:pPr>
            <w:r>
              <w:rPr>
                <w:rFonts w:ascii="Times New Roman" w:hAnsi="Times New Roman"/>
                <w:sz w:val="16"/>
              </w:rPr>
              <w:t>40,38</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2021</w:t>
            </w:r>
          </w:p>
        </w:tc>
        <w:tc>
          <w:tcPr>
            <w:tcW w:type="dxa" w:w="1078"/>
          </w:tcPr>
          <w:p>
            <w:pPr>
              <w:pStyle w:val="Compact"/>
              <w:spacing w:line="240" w:lineRule="auto" w:before="20" w:after="20"/>
              <w:ind w:firstLine="0"/>
              <w:jc w:val="right"/>
            </w:pPr>
            <w:r>
              <w:rPr>
                <w:rFonts w:ascii="Times New Roman" w:hAnsi="Times New Roman"/>
                <w:sz w:val="16"/>
              </w:rPr>
              <w:t xml:space="preserve">38,48</w:t>
            </w:r>
          </w:p>
        </w:tc>
        <w:tc>
          <w:tcPr>
            <w:tcW w:type="dxa" w:w="1205"/>
          </w:tcPr>
          <w:p>
            <w:pPr>
              <w:pStyle w:val="Compact"/>
              <w:spacing w:line="240" w:lineRule="auto" w:before="20" w:after="20"/>
              <w:ind w:firstLine="0"/>
              <w:jc w:val="right"/>
            </w:pPr>
            <w:r>
              <w:rPr>
                <w:rFonts w:ascii="Times New Roman" w:hAnsi="Times New Roman"/>
                <w:sz w:val="16"/>
              </w:rPr>
              <w:t xml:space="preserve">0,22</w:t>
            </w:r>
          </w:p>
        </w:tc>
        <w:tc>
          <w:tcPr>
            <w:tcW w:type="dxa" w:w="1332"/>
          </w:tcPr>
          <w:p>
            <w:pPr>
              <w:pStyle w:val="Compact"/>
              <w:spacing w:line="240" w:lineRule="auto" w:before="20" w:after="20"/>
              <w:ind w:firstLine="0"/>
              <w:jc w:val="right"/>
            </w:pPr>
            <w:r>
              <w:rPr>
                <w:rFonts w:ascii="Times New Roman" w:hAnsi="Times New Roman"/>
                <w:sz w:val="16"/>
              </w:rPr>
              <w:t xml:space="preserve">9,56</w:t>
            </w:r>
          </w:p>
        </w:tc>
        <w:tc>
          <w:tcPr>
            <w:tcW w:type="dxa" w:w="824"/>
          </w:tcPr>
          <w:p>
            <w:pPr>
              <w:pStyle w:val="Compact"/>
              <w:spacing w:line="240" w:lineRule="auto" w:before="20" w:after="20"/>
              <w:ind w:firstLine="0"/>
              <w:jc w:val="right"/>
            </w:pPr>
            <w:r>
              <w:rPr>
                <w:rFonts w:ascii="Times New Roman" w:hAnsi="Times New Roman"/>
                <w:sz w:val="16"/>
              </w:rPr>
              <w:t xml:space="preserve">0,82</w:t>
            </w:r>
          </w:p>
        </w:tc>
        <w:tc>
          <w:tcPr>
            <w:tcW w:type="dxa" w:w="1459"/>
          </w:tcPr>
          <w:p>
            <w:pPr>
              <w:pStyle w:val="Compact"/>
              <w:spacing w:line="240" w:lineRule="auto" w:before="20" w:after="20"/>
              <w:ind w:firstLine="0"/>
              <w:jc w:val="right"/>
            </w:pPr>
            <w:r>
              <w:rPr>
                <w:rFonts w:ascii="Times New Roman" w:hAnsi="Times New Roman"/>
                <w:sz w:val="16"/>
              </w:rPr>
              <w:t xml:space="preserve">29,51</w:t>
            </w:r>
          </w:p>
        </w:tc>
        <w:tc>
          <w:tcPr>
            <w:tcW w:type="dxa" w:w="1015"/>
          </w:tcPr>
          <w:p>
            <w:pPr>
              <w:pStyle w:val="Compact"/>
              <w:spacing w:line="240" w:lineRule="auto" w:before="20" w:after="20"/>
              <w:ind w:firstLine="0"/>
              <w:jc w:val="right"/>
            </w:pPr>
            <w:r>
              <w:rPr>
                <w:rFonts w:ascii="Times New Roman" w:hAnsi="Times New Roman"/>
                <w:sz w:val="16"/>
              </w:rPr>
              <w:t xml:space="preserve">1,359</w:t>
            </w:r>
          </w:p>
        </w:tc>
        <w:tc>
          <w:tcPr>
            <w:tcW w:type="dxa" w:w="1459"/>
          </w:tcPr>
          <w:p>
            <w:pPr>
              <w:pStyle w:val="Compact"/>
              <w:spacing w:line="240" w:lineRule="auto" w:before="20" w:after="20"/>
              <w:ind w:firstLine="0"/>
              <w:jc w:val="right"/>
            </w:pPr>
            <w:r>
              <w:rPr>
                <w:rFonts w:ascii="Times New Roman" w:hAnsi="Times New Roman"/>
                <w:sz w:val="16"/>
              </w:rPr>
              <w:t>40,06</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2022</w:t>
            </w:r>
          </w:p>
        </w:tc>
        <w:tc>
          <w:tcPr>
            <w:tcW w:type="dxa" w:w="1078"/>
          </w:tcPr>
          <w:p>
            <w:pPr>
              <w:pStyle w:val="Compact"/>
              <w:spacing w:line="240" w:lineRule="auto" w:before="20" w:after="20"/>
              <w:ind w:firstLine="0"/>
              <w:jc w:val="right"/>
            </w:pPr>
            <w:r>
              <w:rPr>
                <w:rFonts w:ascii="Times New Roman" w:hAnsi="Times New Roman"/>
                <w:sz w:val="16"/>
              </w:rPr>
              <w:t xml:space="preserve">41,28</w:t>
            </w:r>
          </w:p>
        </w:tc>
        <w:tc>
          <w:tcPr>
            <w:tcW w:type="dxa" w:w="1205"/>
          </w:tcPr>
          <w:p>
            <w:pPr>
              <w:pStyle w:val="Compact"/>
              <w:spacing w:line="240" w:lineRule="auto" w:before="20" w:after="20"/>
              <w:ind w:firstLine="0"/>
              <w:jc w:val="right"/>
            </w:pPr>
            <w:r>
              <w:rPr>
                <w:rFonts w:ascii="Times New Roman" w:hAnsi="Times New Roman"/>
                <w:sz w:val="16"/>
              </w:rPr>
              <w:t xml:space="preserve">0,25</w:t>
            </w:r>
          </w:p>
        </w:tc>
        <w:tc>
          <w:tcPr>
            <w:tcW w:type="dxa" w:w="1332"/>
          </w:tcPr>
          <w:p>
            <w:pPr>
              <w:pStyle w:val="Compact"/>
              <w:spacing w:line="240" w:lineRule="auto" w:before="20" w:after="20"/>
              <w:ind w:firstLine="0"/>
              <w:jc w:val="right"/>
            </w:pPr>
            <w:r>
              <w:rPr>
                <w:rFonts w:ascii="Times New Roman" w:hAnsi="Times New Roman"/>
                <w:sz w:val="16"/>
              </w:rPr>
              <w:t xml:space="preserve">10,22</w:t>
            </w:r>
          </w:p>
        </w:tc>
        <w:tc>
          <w:tcPr>
            <w:tcW w:type="dxa" w:w="824"/>
          </w:tcPr>
          <w:p>
            <w:pPr>
              <w:pStyle w:val="Compact"/>
              <w:spacing w:line="240" w:lineRule="auto" w:before="20" w:after="20"/>
              <w:ind w:firstLine="0"/>
              <w:jc w:val="right"/>
            </w:pPr>
            <w:r>
              <w:rPr>
                <w:rFonts w:ascii="Times New Roman" w:hAnsi="Times New Roman"/>
                <w:sz w:val="16"/>
              </w:rPr>
              <w:t xml:space="preserve">1,21</w:t>
            </w:r>
          </w:p>
        </w:tc>
        <w:tc>
          <w:tcPr>
            <w:tcW w:type="dxa" w:w="1459"/>
          </w:tcPr>
          <w:p>
            <w:pPr>
              <w:pStyle w:val="Compact"/>
              <w:spacing w:line="240" w:lineRule="auto" w:before="20" w:after="20"/>
              <w:ind w:firstLine="0"/>
              <w:jc w:val="right"/>
            </w:pPr>
            <w:r>
              <w:rPr>
                <w:rFonts w:ascii="Times New Roman" w:hAnsi="Times New Roman"/>
                <w:sz w:val="16"/>
              </w:rPr>
              <w:t xml:space="preserve">32,02</w:t>
            </w:r>
          </w:p>
        </w:tc>
        <w:tc>
          <w:tcPr>
            <w:tcW w:type="dxa" w:w="1015"/>
          </w:tcPr>
          <w:p>
            <w:pPr>
              <w:pStyle w:val="Compact"/>
              <w:spacing w:line="240" w:lineRule="auto" w:before="20" w:after="20"/>
              <w:ind w:firstLine="0"/>
              <w:jc w:val="right"/>
            </w:pPr>
            <w:r>
              <w:rPr>
                <w:rFonts w:ascii="Times New Roman" w:hAnsi="Times New Roman"/>
                <w:sz w:val="16"/>
              </w:rPr>
              <w:t xml:space="preserve">1,271</w:t>
            </w:r>
          </w:p>
        </w:tc>
        <w:tc>
          <w:tcPr>
            <w:tcW w:type="dxa" w:w="1459"/>
          </w:tcPr>
          <w:p>
            <w:pPr>
              <w:pStyle w:val="Compact"/>
              <w:spacing w:line="240" w:lineRule="auto" w:before="20" w:after="20"/>
              <w:ind w:firstLine="0"/>
              <w:jc w:val="right"/>
            </w:pPr>
            <w:r>
              <w:rPr>
                <w:rFonts w:ascii="Times New Roman" w:hAnsi="Times New Roman"/>
                <w:sz w:val="16"/>
              </w:rPr>
              <w:t>40,69</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2023</w:t>
            </w:r>
          </w:p>
        </w:tc>
        <w:tc>
          <w:tcPr>
            <w:tcW w:type="dxa" w:w="1078"/>
          </w:tcPr>
          <w:p>
            <w:pPr>
              <w:pStyle w:val="Compact"/>
              <w:spacing w:line="240" w:lineRule="auto" w:before="20" w:after="20"/>
              <w:ind w:firstLine="0"/>
              <w:jc w:val="right"/>
            </w:pPr>
            <w:r>
              <w:rPr>
                <w:rFonts w:ascii="Times New Roman" w:hAnsi="Times New Roman"/>
                <w:sz w:val="16"/>
              </w:rPr>
              <w:t xml:space="preserve">44,08</w:t>
            </w:r>
          </w:p>
        </w:tc>
        <w:tc>
          <w:tcPr>
            <w:tcW w:type="dxa" w:w="1205"/>
          </w:tcPr>
          <w:p>
            <w:pPr>
              <w:pStyle w:val="Compact"/>
              <w:spacing w:line="240" w:lineRule="auto" w:before="20" w:after="20"/>
              <w:ind w:firstLine="0"/>
              <w:jc w:val="right"/>
            </w:pPr>
            <w:r>
              <w:rPr>
                <w:rFonts w:ascii="Times New Roman" w:hAnsi="Times New Roman"/>
                <w:sz w:val="16"/>
              </w:rPr>
              <w:t xml:space="preserve">0,26</w:t>
            </w:r>
          </w:p>
        </w:tc>
        <w:tc>
          <w:tcPr>
            <w:tcW w:type="dxa" w:w="1332"/>
          </w:tcPr>
          <w:p>
            <w:pPr>
              <w:pStyle w:val="Compact"/>
              <w:spacing w:line="240" w:lineRule="auto" w:before="20" w:after="20"/>
              <w:ind w:firstLine="0"/>
              <w:jc w:val="right"/>
            </w:pPr>
            <w:r>
              <w:rPr>
                <w:rFonts w:ascii="Times New Roman" w:hAnsi="Times New Roman"/>
                <w:sz w:val="16"/>
              </w:rPr>
              <w:t xml:space="preserve">11,34</w:t>
            </w:r>
          </w:p>
        </w:tc>
        <w:tc>
          <w:tcPr>
            <w:tcW w:type="dxa" w:w="824"/>
          </w:tcPr>
          <w:p>
            <w:pPr>
              <w:pStyle w:val="Compact"/>
              <w:spacing w:line="240" w:lineRule="auto" w:before="20" w:after="20"/>
              <w:ind w:firstLine="0"/>
              <w:jc w:val="right"/>
            </w:pPr>
            <w:r>
              <w:rPr>
                <w:rFonts w:ascii="Times New Roman" w:hAnsi="Times New Roman"/>
                <w:sz w:val="16"/>
              </w:rPr>
              <w:t xml:space="preserve">0,82</w:t>
            </w:r>
          </w:p>
        </w:tc>
        <w:tc>
          <w:tcPr>
            <w:tcW w:type="dxa" w:w="1459"/>
          </w:tcPr>
          <w:p>
            <w:pPr>
              <w:pStyle w:val="Compact"/>
              <w:spacing w:line="240" w:lineRule="auto" w:before="20" w:after="20"/>
              <w:ind w:firstLine="0"/>
              <w:jc w:val="right"/>
            </w:pPr>
            <w:r>
              <w:rPr>
                <w:rFonts w:ascii="Times New Roman" w:hAnsi="Times New Roman"/>
                <w:sz w:val="16"/>
              </w:rPr>
              <w:t xml:space="preserve">33,30</w:t>
            </w:r>
          </w:p>
        </w:tc>
        <w:tc>
          <w:tcPr>
            <w:tcW w:type="dxa" w:w="1015"/>
          </w:tcPr>
          <w:p>
            <w:pPr>
              <w:pStyle w:val="Compact"/>
              <w:spacing w:line="240" w:lineRule="auto" w:before="20" w:after="20"/>
              <w:ind w:firstLine="0"/>
              <w:jc w:val="right"/>
            </w:pPr>
            <w:r>
              <w:rPr>
                <w:rFonts w:ascii="Times New Roman" w:hAnsi="Times New Roman"/>
                <w:sz w:val="16"/>
              </w:rPr>
              <w:t xml:space="preserve">1,234</w:t>
            </w:r>
          </w:p>
        </w:tc>
        <w:tc>
          <w:tcPr>
            <w:tcW w:type="dxa" w:w="1459"/>
          </w:tcPr>
          <w:p>
            <w:pPr>
              <w:pStyle w:val="Compact"/>
              <w:spacing w:line="240" w:lineRule="auto" w:before="20" w:after="20"/>
              <w:ind w:firstLine="0"/>
              <w:jc w:val="right"/>
            </w:pPr>
            <w:r>
              <w:rPr>
                <w:rFonts w:ascii="Times New Roman" w:hAnsi="Times New Roman"/>
                <w:sz w:val="16"/>
              </w:rPr>
              <w:t xml:space="preserve">41,10</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2024</w:t>
            </w:r>
          </w:p>
        </w:tc>
        <w:tc>
          <w:tcPr>
            <w:tcW w:type="dxa" w:w="1078"/>
          </w:tcPr>
          <w:p>
            <w:pPr>
              <w:pStyle w:val="Compact"/>
              <w:spacing w:line="240" w:lineRule="auto" w:before="20" w:after="20"/>
              <w:ind w:firstLine="0"/>
              <w:jc w:val="right"/>
            </w:pPr>
            <w:r>
              <w:rPr>
                <w:rFonts w:ascii="Times New Roman" w:hAnsi="Times New Roman"/>
                <w:sz w:val="16"/>
              </w:rPr>
              <w:t xml:space="preserve">51,05</w:t>
            </w:r>
          </w:p>
        </w:tc>
        <w:tc>
          <w:tcPr>
            <w:tcW w:type="dxa" w:w="1205"/>
          </w:tcPr>
          <w:p>
            <w:pPr>
              <w:pStyle w:val="Compact"/>
              <w:spacing w:line="240" w:lineRule="auto" w:before="20" w:after="20"/>
              <w:ind w:firstLine="0"/>
              <w:jc w:val="right"/>
            </w:pPr>
            <w:r>
              <w:rPr>
                <w:rFonts w:ascii="Times New Roman" w:hAnsi="Times New Roman"/>
                <w:sz w:val="16"/>
              </w:rPr>
              <w:t xml:space="preserve">0,27</w:t>
            </w:r>
          </w:p>
        </w:tc>
        <w:tc>
          <w:tcPr>
            <w:tcW w:type="dxa" w:w="1332"/>
          </w:tcPr>
          <w:p>
            <w:pPr>
              <w:pStyle w:val="Compact"/>
              <w:spacing w:line="240" w:lineRule="auto" w:before="20" w:after="20"/>
              <w:ind w:firstLine="0"/>
              <w:jc w:val="right"/>
            </w:pPr>
            <w:r>
              <w:rPr>
                <w:rFonts w:ascii="Times New Roman" w:hAnsi="Times New Roman"/>
                <w:sz w:val="16"/>
              </w:rPr>
              <w:t xml:space="preserve">12,69</w:t>
            </w:r>
          </w:p>
        </w:tc>
        <w:tc>
          <w:tcPr>
            <w:tcW w:type="dxa" w:w="824"/>
          </w:tcPr>
          <w:p>
            <w:pPr>
              <w:pStyle w:val="Compact"/>
              <w:spacing w:line="240" w:lineRule="auto" w:before="20" w:after="20"/>
              <w:ind w:firstLine="0"/>
              <w:jc w:val="right"/>
            </w:pPr>
            <w:r>
              <w:rPr>
                <w:rFonts w:ascii="Times New Roman" w:hAnsi="Times New Roman"/>
                <w:sz w:val="16"/>
              </w:rPr>
              <w:t xml:space="preserve">0,91</w:t>
            </w:r>
          </w:p>
        </w:tc>
        <w:tc>
          <w:tcPr>
            <w:tcW w:type="dxa" w:w="1459"/>
          </w:tcPr>
          <w:p>
            <w:pPr>
              <w:pStyle w:val="Compact"/>
              <w:spacing w:line="240" w:lineRule="auto" w:before="20" w:after="20"/>
              <w:ind w:firstLine="0"/>
              <w:jc w:val="right"/>
            </w:pPr>
            <w:r>
              <w:rPr>
                <w:rFonts w:ascii="Times New Roman" w:hAnsi="Times New Roman"/>
                <w:sz w:val="16"/>
              </w:rPr>
              <w:t xml:space="preserve">38,99</w:t>
            </w:r>
          </w:p>
        </w:tc>
        <w:tc>
          <w:tcPr>
            <w:tcW w:type="dxa" w:w="1015"/>
          </w:tcPr>
          <w:p>
            <w:pPr>
              <w:pStyle w:val="Compact"/>
              <w:spacing w:line="240" w:lineRule="auto" w:before="20" w:after="20"/>
              <w:ind w:firstLine="0"/>
              <w:jc w:val="right"/>
            </w:pPr>
            <w:r>
              <w:rPr>
                <w:rFonts w:ascii="Times New Roman" w:hAnsi="Times New Roman"/>
                <w:sz w:val="16"/>
              </w:rPr>
              <w:t xml:space="preserve">1,073</w:t>
            </w:r>
          </w:p>
        </w:tc>
        <w:tc>
          <w:tcPr>
            <w:tcW w:type="dxa" w:w="1459"/>
          </w:tcPr>
          <w:p>
            <w:pPr>
              <w:pStyle w:val="Compact"/>
              <w:spacing w:line="240" w:lineRule="auto" w:before="20" w:after="20"/>
              <w:ind w:firstLine="0"/>
              <w:jc w:val="right"/>
            </w:pPr>
            <w:r>
              <w:rPr>
                <w:rFonts w:ascii="Times New Roman" w:hAnsi="Times New Roman"/>
                <w:sz w:val="16"/>
              </w:rPr>
              <w:t>41,81</w:t>
            </w:r>
          </w:p>
        </w:tc>
      </w:tr>
      <w:tr>
        <w:trPr>
          <w:cantSplit/>
        </w:trPr>
        <w:tc>
          <w:tcPr>
            <w:tcW w:type="dxa" w:w="697"/>
          </w:tcPr>
          <w:p>
            <w:pPr>
              <w:pStyle w:val="Compact"/>
              <w:spacing w:line="240" w:lineRule="auto" w:before="20" w:after="20"/>
              <w:ind w:firstLine="0"/>
              <w:jc w:val="left"/>
            </w:pPr>
            <w:r>
              <w:rPr>
                <w:rFonts w:ascii="Times New Roman" w:hAnsi="Times New Roman"/>
                <w:sz w:val="16"/>
              </w:rPr>
              <w:t xml:space="preserve">2025</w:t>
            </w:r>
          </w:p>
        </w:tc>
        <w:tc>
          <w:tcPr>
            <w:tcW w:type="dxa" w:w="1078"/>
          </w:tcPr>
          <w:p>
            <w:pPr>
              <w:pStyle w:val="Compact"/>
              <w:spacing w:line="240" w:lineRule="auto" w:before="20" w:after="20"/>
              <w:ind w:firstLine="0"/>
              <w:jc w:val="right"/>
            </w:pPr>
            <w:r>
              <w:rPr>
                <w:rFonts w:ascii="Times New Roman" w:hAnsi="Times New Roman"/>
                <w:sz w:val="16"/>
              </w:rPr>
              <w:t xml:space="preserve">52,74</w:t>
            </w:r>
          </w:p>
        </w:tc>
        <w:tc>
          <w:tcPr>
            <w:tcW w:type="dxa" w:w="1205"/>
          </w:tcPr>
          <w:p>
            <w:pPr>
              <w:pStyle w:val="Compact"/>
              <w:spacing w:line="240" w:lineRule="auto" w:before="20" w:after="20"/>
              <w:ind w:firstLine="0"/>
              <w:jc w:val="right"/>
            </w:pPr>
            <w:r>
              <w:rPr>
                <w:rFonts w:ascii="Times New Roman" w:hAnsi="Times New Roman"/>
                <w:sz w:val="16"/>
              </w:rPr>
              <w:t xml:space="preserve">0,21</w:t>
            </w:r>
          </w:p>
        </w:tc>
        <w:tc>
          <w:tcPr>
            <w:tcW w:type="dxa" w:w="1332"/>
          </w:tcPr>
          <w:p>
            <w:pPr>
              <w:pStyle w:val="Compact"/>
              <w:spacing w:line="240" w:lineRule="auto" w:before="20" w:after="20"/>
              <w:ind w:firstLine="0"/>
              <w:jc w:val="right"/>
            </w:pPr>
            <w:r>
              <w:rPr>
                <w:rFonts w:ascii="Times New Roman" w:hAnsi="Times New Roman"/>
                <w:sz w:val="16"/>
              </w:rPr>
              <w:t xml:space="preserve">13,25</w:t>
            </w:r>
          </w:p>
        </w:tc>
        <w:tc>
          <w:tcPr>
            <w:tcW w:type="dxa" w:w="824"/>
          </w:tcPr>
          <w:p>
            <w:pPr>
              <w:pStyle w:val="Compact"/>
              <w:spacing w:line="240" w:lineRule="auto" w:before="20" w:after="20"/>
              <w:ind w:firstLine="0"/>
              <w:jc w:val="right"/>
            </w:pPr>
            <w:r>
              <w:rPr>
                <w:rFonts w:ascii="Times New Roman" w:hAnsi="Times New Roman"/>
                <w:sz w:val="16"/>
              </w:rPr>
              <w:t xml:space="preserve">0,86</w:t>
            </w:r>
          </w:p>
        </w:tc>
        <w:tc>
          <w:tcPr>
            <w:tcW w:type="dxa" w:w="1459"/>
          </w:tcPr>
          <w:p>
            <w:pPr>
              <w:pStyle w:val="Compact"/>
              <w:spacing w:line="240" w:lineRule="auto" w:before="20" w:after="20"/>
              <w:ind w:firstLine="0"/>
              <w:jc w:val="right"/>
            </w:pPr>
            <w:r>
              <w:rPr>
                <w:rFonts w:ascii="Times New Roman" w:hAnsi="Times New Roman"/>
                <w:sz w:val="16"/>
              </w:rPr>
              <w:t xml:space="preserve">40,14</w:t>
            </w:r>
          </w:p>
        </w:tc>
        <w:tc>
          <w:tcPr>
            <w:tcW w:type="dxa" w:w="1015"/>
          </w:tcPr>
          <w:p>
            <w:pPr>
              <w:pStyle w:val="Compact"/>
              <w:spacing w:line="240" w:lineRule="auto" w:before="20" w:after="20"/>
              <w:ind w:firstLine="0"/>
              <w:jc w:val="right"/>
            </w:pPr>
            <w:r>
              <w:rPr>
                <w:rFonts w:ascii="Times New Roman" w:hAnsi="Times New Roman"/>
                <w:sz w:val="16"/>
              </w:rPr>
              <w:t xml:space="preserve">1,000</w:t>
            </w:r>
          </w:p>
        </w:tc>
        <w:tc>
          <w:tcPr>
            <w:tcW w:type="dxa" w:w="1459"/>
          </w:tcPr>
          <w:p>
            <w:pPr>
              <w:pStyle w:val="Compact"/>
              <w:spacing w:line="240" w:lineRule="auto" w:before="20" w:after="20"/>
              <w:ind w:firstLine="0"/>
              <w:jc w:val="right"/>
            </w:pPr>
            <w:r>
              <w:rPr>
                <w:rFonts w:ascii="Times New Roman" w:hAnsi="Times New Roman"/>
                <w:sz w:val="16"/>
              </w:rPr>
              <w:t xml:space="preserve">40,14</w:t>
            </w:r>
          </w:p>
        </w:tc>
      </w:tr>
      <w:tr>
        <w:trPr>
          <w:cantSplit/>
        </w:trPr>
        <w:tc>
          <w:tcPr>
            <w:tcW w:type="dxa" w:w="697"/>
          </w:tcPr>
          <w:p>
            <w:pPr>
              <w:pStyle w:val="Compact"/>
              <w:spacing w:line="240" w:lineRule="auto" w:before="20" w:after="20"/>
              <w:ind w:firstLine="0"/>
              <w:jc w:val="left"/>
            </w:pPr>
            <w:r>
              <w:rPr>
                <w:rFonts w:ascii="Times New Roman" w:hAnsi="Times New Roman"/>
                <w:sz w:val="16"/>
              </w:rPr>
              <w:t>2026 (est.)</w:t>
            </w:r>
          </w:p>
        </w:tc>
        <w:tc>
          <w:tcPr>
            <w:tcW w:type="dxa" w:w="1078"/>
          </w:tcPr>
          <w:p>
            <w:pPr>
              <w:pStyle w:val="Compact"/>
              <w:spacing w:line="240" w:lineRule="auto" w:before="20" w:after="20"/>
              <w:ind w:firstLine="0"/>
              <w:jc w:val="right"/>
            </w:pPr>
            <w:r>
              <w:rPr>
                <w:rFonts w:ascii="Times New Roman" w:hAnsi="Times New Roman"/>
                <w:sz w:val="16"/>
              </w:rPr>
              <w:t>51,78</w:t>
            </w:r>
          </w:p>
        </w:tc>
        <w:tc>
          <w:tcPr>
            <w:tcW w:type="dxa" w:w="1205"/>
          </w:tcPr>
          <w:p>
            <w:pPr>
              <w:pStyle w:val="Compact"/>
              <w:spacing w:line="240" w:lineRule="auto" w:before="20" w:after="20"/>
              <w:ind w:firstLine="0"/>
              <w:jc w:val="right"/>
            </w:pPr>
            <w:r>
              <w:rPr>
                <w:rFonts w:ascii="Times New Roman" w:hAnsi="Times New Roman"/>
                <w:sz w:val="16"/>
              </w:rPr>
              <w:t xml:space="preserve">0,21</w:t>
            </w:r>
          </w:p>
        </w:tc>
        <w:tc>
          <w:tcPr>
            <w:tcW w:type="dxa" w:w="1332"/>
          </w:tcPr>
          <w:p>
            <w:pPr>
              <w:pStyle w:val="Compact"/>
              <w:spacing w:line="240" w:lineRule="auto" w:before="20" w:after="20"/>
              <w:ind w:firstLine="0"/>
              <w:jc w:val="right"/>
            </w:pPr>
            <w:r>
              <w:rPr>
                <w:rFonts w:ascii="Times New Roman" w:hAnsi="Times New Roman"/>
                <w:sz w:val="16"/>
              </w:rPr>
              <w:t>13,01</w:t>
            </w:r>
          </w:p>
        </w:tc>
        <w:tc>
          <w:tcPr>
            <w:tcW w:type="dxa" w:w="824"/>
          </w:tcPr>
          <w:p>
            <w:pPr>
              <w:pStyle w:val="Compact"/>
              <w:spacing w:line="240" w:lineRule="auto" w:before="20" w:after="20"/>
              <w:ind w:firstLine="0"/>
              <w:jc w:val="right"/>
            </w:pPr>
            <w:r>
              <w:rPr>
                <w:rFonts w:ascii="Times New Roman" w:hAnsi="Times New Roman"/>
                <w:sz w:val="16"/>
              </w:rPr>
              <w:t>0,85</w:t>
            </w:r>
          </w:p>
        </w:tc>
        <w:tc>
          <w:tcPr>
            <w:tcW w:type="dxa" w:w="1459"/>
          </w:tcPr>
          <w:p>
            <w:pPr>
              <w:pStyle w:val="Compact"/>
              <w:spacing w:line="240" w:lineRule="auto" w:before="20" w:after="20"/>
              <w:ind w:firstLine="0"/>
              <w:jc w:val="right"/>
            </w:pPr>
            <w:r>
              <w:rPr>
                <w:rFonts w:ascii="Times New Roman" w:hAnsi="Times New Roman"/>
                <w:sz w:val="16"/>
              </w:rPr>
              <w:t>39,41</w:t>
            </w:r>
          </w:p>
        </w:tc>
        <w:tc>
          <w:tcPr>
            <w:tcW w:type="dxa" w:w="1015"/>
          </w:tcPr>
          <w:p>
            <w:pPr>
              <w:pStyle w:val="Compact"/>
              <w:spacing w:line="240" w:lineRule="auto" w:before="20" w:after="20"/>
              <w:ind w:firstLine="0"/>
              <w:jc w:val="right"/>
            </w:pPr>
            <w:r>
              <w:rPr>
                <w:rFonts w:ascii="Times New Roman" w:hAnsi="Times New Roman"/>
                <w:sz w:val="16"/>
              </w:rPr>
              <w:t>—</w:t>
            </w:r>
          </w:p>
        </w:tc>
        <w:tc>
          <w:tcPr>
            <w:tcW w:type="dxa" w:w="1459"/>
          </w:tcPr>
          <w:p>
            <w:pPr>
              <w:pStyle w:val="Compact"/>
              <w:spacing w:line="240" w:lineRule="auto" w:before="20" w:after="20"/>
              <w:ind w:firstLine="0"/>
              <w:jc w:val="right"/>
            </w:pPr>
            <w:r>
              <w:rPr>
                <w:rFonts w:ascii="Times New Roman" w:hAnsi="Times New Roman"/>
                <w:sz w:val="16"/>
              </w:rPr>
              <w:t>39,41</w:t>
            </w:r>
          </w:p>
        </w:tc>
      </w:tr>
      <w:tr>
        <w:trPr>
          <w:cantSplit/>
        </w:trPr>
        <w:tc>
          <w:tcPr>
            <w:tcW w:type="dxa" w:w="6597"/>
            <w:gridSpan w:val="6"/>
          </w:tcPr>
          <w:p>
            <w:pPr>
              <w:pStyle w:val="Compact"/>
              <w:spacing w:line="240" w:lineRule="auto" w:before="20" w:after="20"/>
              <w:ind w:firstLine="0"/>
              <w:jc w:val="right"/>
            </w:pPr>
            <w:r>
              <w:rPr>
                <w:rFonts w:ascii="Times New Roman" w:hAnsi="Times New Roman"/>
                <w:b/>
                <w:bCs/>
                <w:sz w:val="16"/>
              </w:rPr>
              <w:t xml:space="preserve">Média da receita de referência ajustada</w:t>
            </w:r>
          </w:p>
        </w:tc>
        <w:tc>
          <w:tcPr>
            <w:tcW w:type="dxa" w:w="1015"/>
          </w:tcPr>
          <w:p>
            <w:pPr>
              <w:pStyle w:val="Compact"/>
              <w:spacing w:line="240" w:lineRule="auto" w:before="20" w:after="20"/>
              <w:ind w:firstLine="0"/>
            </w:pPr>
          </w:p>
        </w:tc>
        <w:tc>
          <w:tcPr>
            <w:tcW w:type="dxa" w:w="1459"/>
          </w:tcPr>
          <w:p>
            <w:pPr>
              <w:pStyle w:val="Compact"/>
              <w:spacing w:line="240" w:lineRule="auto" w:before="20" w:after="20"/>
              <w:ind w:firstLine="0"/>
              <w:jc w:val="right"/>
            </w:pPr>
            <w:r>
              <w:rPr>
                <w:rFonts w:ascii="Times New Roman" w:hAnsi="Times New Roman"/>
                <w:b/>
                <w:bCs/>
                <w:sz w:val="16"/>
              </w:rPr>
              <w:t>40,59</w:t>
            </w:r>
          </w:p>
        </w:tc>
      </w:tr>
      <w:tr>
        <w:trPr>
          <w:cantSplit/>
        </w:trPr>
        <w:tc>
          <w:tcPr>
            <w:tcW w:type="dxa" w:w="6597"/>
            <w:gridSpan w:val="6"/>
          </w:tcPr>
          <w:p>
            <w:pPr>
              <w:pStyle w:val="Compact"/>
              <w:spacing w:line="240" w:lineRule="auto" w:before="20" w:after="20"/>
              <w:ind w:firstLine="0"/>
              <w:jc w:val="right"/>
            </w:pPr>
            <w:r>
              <w:rPr>
                <w:rFonts w:ascii="Times New Roman" w:hAnsi="Times New Roman"/>
                <w:b/>
                <w:bCs/>
                <w:sz w:val="16"/>
              </w:rPr>
              <w:t xml:space="preserve">Arrecadação nacional de referência em 2025</w:t>
            </w:r>
          </w:p>
        </w:tc>
        <w:tc>
          <w:tcPr>
            <w:tcW w:type="dxa" w:w="1015"/>
          </w:tcPr>
          <w:p>
            <w:pPr>
              <w:pStyle w:val="Compact"/>
              <w:spacing w:line="240" w:lineRule="auto" w:before="20" w:after="20"/>
              <w:ind w:firstLine="0"/>
            </w:pPr>
          </w:p>
        </w:tc>
        <w:tc>
          <w:tcPr>
            <w:tcW w:type="dxa" w:w="1459"/>
          </w:tcPr>
          <w:p>
            <w:pPr>
              <w:pStyle w:val="Compact"/>
              <w:spacing w:line="240" w:lineRule="auto" w:before="20" w:after="20"/>
              <w:ind w:firstLine="0"/>
              <w:jc w:val="right"/>
            </w:pPr>
            <w:r>
              <w:rPr>
                <w:rFonts w:ascii="Times New Roman" w:hAnsi="Times New Roman"/>
                <w:b/>
                <w:bCs/>
                <w:sz w:val="16"/>
              </w:rPr>
              <w:t>1.019,92</w:t>
            </w:r>
          </w:p>
        </w:tc>
      </w:tr>
      <w:tr>
        <w:trPr>
          <w:cantSplit/>
        </w:trPr>
        <w:tc>
          <w:tcPr>
            <w:tcW w:type="dxa" w:w="6597"/>
            <w:gridSpan w:val="6"/>
          </w:tcPr>
          <w:p>
            <w:pPr>
              <w:pStyle w:val="Compact"/>
              <w:spacing w:line="240" w:lineRule="auto" w:before="20" w:after="20"/>
              <w:ind w:firstLine="0"/>
              <w:jc w:val="right"/>
            </w:pPr>
            <w:r>
              <w:rPr>
                <w:rFonts w:ascii="Times New Roman" w:hAnsi="Times New Roman"/>
                <w:b/>
                <w:bCs/>
                <w:sz w:val="16"/>
              </w:rPr>
              <w:t xml:space="preserve">Coeficiente de participação do Paraná</w:t>
            </w:r>
          </w:p>
        </w:tc>
        <w:tc>
          <w:tcPr>
            <w:tcW w:type="dxa" w:w="1015"/>
          </w:tcPr>
          <w:p>
            <w:pPr>
              <w:pStyle w:val="Compact"/>
              <w:spacing w:line="240" w:lineRule="auto" w:before="20" w:after="20"/>
              <w:ind w:firstLine="0"/>
            </w:pPr>
          </w:p>
        </w:tc>
        <w:tc>
          <w:tcPr>
            <w:tcW w:type="dxa" w:w="1459"/>
          </w:tcPr>
          <w:p>
            <w:pPr>
              <w:pStyle w:val="Compact"/>
              <w:spacing w:line="240" w:lineRule="auto" w:before="20" w:after="20"/>
              <w:ind w:firstLine="0"/>
              <w:jc w:val="right"/>
            </w:pPr>
            <w:r>
              <w:rPr>
                <w:rFonts w:ascii="Times New Roman" w:hAnsi="Times New Roman"/>
                <w:b/>
                <w:bCs/>
                <w:sz w:val="16"/>
              </w:rPr>
              <w:t>3,9798%</w:t>
            </w:r>
          </w:p>
        </w:tc>
      </w:tr>
    </w:tbl>
    <w:bookmarkEnd w:id="60"/>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A receita estadual de referência corresponde ao ICMS bruto, líquido das demais deduções registradas no DCA e da cota-parte municipal, acrescido do Fundo de Combate à Pobreza. Os valores anuais são ajustados para a base de 2025 pela variação da arrecadação nacional de referência. </w:t>
      </w:r>
      <w:r>
        <w:rPr>
          <w:rFonts w:ascii="Times New Roman" w:hAnsi="Times New Roman"/>
          <w:sz w:val="18"/>
        </w:rPr>
        <w:t>O coeficiente é a razão entre a média ajustada do Paraná, R$ 40,59 bilhões, e o agregado nacional de 2025, R$ 1.019,92 bilhões. O cálculo utiliza 2019 a 2026; como o exercício de 2026 ainda não está fechado no DCA, a linha correspondente é estimada com o RREO de janeiro a agosto e já está expressa em R$ de 2025.</w:t>
      </w:r>
      <w:r>
        <w:rPr>
          <w:rFonts w:ascii="Times New Roman" w:hAnsi="Times New Roman"/>
          <w:sz w:val="18"/>
        </w:rPr>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SICONFI/STN, DCA Anexo I-C; base de dados do modelo. Elaboração própria.</w:t>
      </w:r>
    </w:p>
    <w:bookmarkStart w:id="67" w:name="fig:coef"/>
    <w:p>
      <w:pPr>
        <w:pStyle w:val="Compact"/>
        <w:keepNext/>
        <w:jc w:val="center"/>
      </w:pPr>
      <w:r>
        <w:drawing>
          <wp:inline>
            <wp:extent cx="2707200" cy="1812666"/>
            <wp:effectExtent b="0" l="0" r="0" t="0"/>
            <wp:docPr descr="" title="" id="62" name="Picture"/>
            <a:graphic>
              <a:graphicData uri="http://schemas.openxmlformats.org/drawingml/2006/picture">
                <pic:pic>
                  <pic:nvPicPr>
                    <pic:cNvPr descr="/tmp/tmp75432f2y/grafico_coef_historico_pr_2033.png" id="63" name="Picture"/>
                    <pic:cNvPicPr>
                      <a:picLocks noChangeArrowheads="1" noChangeAspect="1"/>
                    </pic:cNvPicPr>
                  </pic:nvPicPr>
                  <pic:blipFill>
                    <a:blip r:embed="rId61"/>
                    <a:stretch>
                      <a:fillRect/>
                    </a:stretch>
                  </pic:blipFill>
                  <pic:spPr bwMode="auto">
                    <a:xfrm>
                      <a:off x="0" y="0"/>
                      <a:ext cx="2707200" cy="1812666"/>
                    </a:xfrm>
                    <a:prstGeom prst="rect">
                      <a:avLst/>
                    </a:prstGeom>
                    <a:noFill/>
                    <a:ln w="9525">
                      <a:noFill/>
                      <a:headEnd/>
                      <a:tailEnd/>
                    </a:ln>
                  </pic:spPr>
                </pic:pic>
              </a:graphicData>
            </a:graphic>
          </wp:inline>
        </w:drawing>
      </w:r>
      <w:r>
        <w:t xml:space="preserve">  </w:t>
      </w:r>
      <w:r>
        <w:drawing>
          <wp:inline>
            <wp:extent cx="2707200" cy="1812666"/>
            <wp:effectExtent b="0" l="0" r="0" t="0"/>
            <wp:docPr descr="" title="" id="65" name="Picture"/>
            <a:graphic>
              <a:graphicData uri="http://schemas.openxmlformats.org/drawingml/2006/picture">
                <pic:pic>
                  <pic:nvPicPr>
                    <pic:cNvPr descr="/tmp/tmp75432f2y/grafico_coef_destino_pr_2033.png" id="66" name="Picture"/>
                    <pic:cNvPicPr>
                      <a:picLocks noChangeArrowheads="1" noChangeAspect="1"/>
                    </pic:cNvPicPr>
                  </pic:nvPicPr>
                  <pic:blipFill>
                    <a:blip r:embed="rId64"/>
                    <a:stretch>
                      <a:fillRect/>
                    </a:stretch>
                  </pic:blipFill>
                  <pic:spPr bwMode="auto">
                    <a:xfrm>
                      <a:off x="0" y="0"/>
                      <a:ext cx="2707200" cy="1812666"/>
                    </a:xfrm>
                    <a:prstGeom prst="rect">
                      <a:avLst/>
                    </a:prstGeom>
                    <a:noFill/>
                    <a:ln w="9525">
                      <a:noFill/>
                      <a:headEnd/>
                      <a:tailEnd/>
                    </a:ln>
                  </pic:spPr>
                </pic:pic>
              </a:graphicData>
            </a:graphic>
          </wp:inline>
        </w:drawing>
      </w:r>
    </w:p>
    <w:p>
      <w:pPr>
        <w:pStyle w:val="ImageCaption"/>
      </w:pPr>
      <w:r>
        <w:rPr>
          <w:b/>
          <w:bCs/>
        </w:rPr>
        <w:t xml:space="preserve">Gráfico 3:</w:t>
      </w:r>
      <w:r>
        <w:t xml:space="preserve"> Associação entre os coeficientes de repartição e a variação da receita estadual em 2033</w:t>
      </w:r>
    </w:p>
    <w:p>
      <w:pPr>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Cada ponto representa uma unidade da federação. O gráfico à esquerda compara a participação na transição federativa com a participação estadual de referência de 2025. O gráfico à direita compara a participação pelo destino com a mesma referência. O Paraná está identificado pelas iniciais PR.</w:t>
      </w:r>
    </w:p>
    <w:p>
      <w:pPr>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 com base em SICONFI/STN, </w:t>
      </w:r>
      <w:r>
        <w:rPr>
          <w:rFonts w:ascii="Times New Roman" w:hAnsi="Times New Roman"/>
          <w:sz w:val="18"/>
        </w:rPr>
        <w:t>POF 2017/2018, PNAD Contínua, Censo Demográfico 2022</w:t>
      </w:r>
      <w:r>
        <w:rPr>
          <w:rFonts w:ascii="Times New Roman" w:hAnsi="Times New Roman"/>
          <w:sz w:val="18"/>
        </w:rPr>
        <w:t xml:space="preserve"> e parâmetros legais da transição.</w:t>
      </w:r>
    </w:p>
    <w:bookmarkEnd w:id="67"/>
    <w:bookmarkStart w:id="68" w:name="tab:anexo_calculo_pr2033"/>
    <w:p>
      <w:pPr>
        <w:pStyle w:val="TableCaption"/>
      </w:pPr>
      <w:r>
        <w:rPr>
          <w:b/>
          <w:bCs/>
        </w:rPr>
        <w:t xml:space="preserve">Tabela A.3:</w:t>
      </w:r>
      <w:r>
        <w:t xml:space="preserve"> Memória de cálculo da receita estadual do Paraná em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A.3: Memória de cálculo da receita estadual do Paraná em 2033"/>
      </w:tblPr>
      <w:tblGrid>
        <w:gridCol w:w="1904"/>
        <w:gridCol w:w="2957"/>
        <w:gridCol w:w="3157"/>
        <w:gridCol w:w="1052"/>
      </w:tblGrid>
      <w:tr>
        <w:trPr>
          <w:tblHeader w:val="on"/>
          <w:cantSplit/>
          <w:tblHeader/>
        </w:trPr>
        <w:tc>
          <w:tcPr>
            <w:tcW w:type="dxa" w:w="190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Item</w:t>
            </w:r>
          </w:p>
        </w:tc>
        <w:tc>
          <w:tcPr>
            <w:tcW w:type="dxa" w:w="29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Expressão</w:t>
            </w:r>
          </w:p>
        </w:tc>
        <w:tc>
          <w:tcPr>
            <w:tcW w:type="dxa" w:w="31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Substituição numérica ou definição</w:t>
            </w:r>
          </w:p>
        </w:tc>
        <w:tc>
          <w:tcPr>
            <w:tcW w:type="dxa" w:w="105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Valor utilizado</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Base nacional de referência</w:t>
            </w:r>
          </w:p>
        </w:tc>
        <w:tc>
          <w:tcPr>
            <w:tcW w:type="dxa" w:w="2957"/>
          </w:tcPr>
          <w:p>
            <w:pPr>
              <w:pStyle w:val="Compact"/>
              <w:spacing w:line="240" w:lineRule="auto" w:before="20" w:after="20"/>
              <w:ind w:firstLine="0"/>
              <w:jc w:val="left"/>
            </w:pPr>
            <m:oMath>
              <m:sSub>
                <m:e>
                  <m:r>
                    <m:t>A</m:t>
                  </m:r>
                </m:e>
                <m:sub>
                  <m:r>
                    <m:t>2033</m:t>
                  </m:r>
                </m:sub>
              </m:sSub>
            </m:oMath>
          </w:p>
        </w:tc>
        <w:tc>
          <w:tcPr>
            <w:tcW w:type="dxa" w:w="3157"/>
          </w:tcPr>
          <w:p>
            <w:pPr>
              <w:pStyle w:val="Compact"/>
              <w:spacing w:line="240" w:lineRule="auto" w:before="20" w:after="20"/>
              <w:ind w:firstLine="0"/>
              <w:jc w:val="left"/>
            </w:pPr>
            <w:r>
              <w:rPr>
                <w:rFonts w:ascii="Times New Roman" w:hAnsi="Times New Roman"/>
                <w:sz w:val="18"/>
              </w:rPr>
              <w:t xml:space="preserve">Valor projetado para 2033</w:t>
            </w:r>
          </w:p>
        </w:tc>
        <w:tc>
          <w:tcPr>
            <w:tcW w:type="dxa" w:w="1052"/>
          </w:tcPr>
          <w:p>
            <w:pPr>
              <w:pStyle w:val="Compact"/>
              <w:spacing w:line="240" w:lineRule="auto" w:before="20" w:after="20"/>
              <w:ind w:firstLine="0"/>
              <w:jc w:val="left"/>
            </w:pPr>
            <w:r>
              <w:rPr>
                <w:rFonts w:ascii="Times New Roman" w:hAnsi="Times New Roman"/>
                <w:sz w:val="18"/>
              </w:rPr>
              <w:t>R$ 1.198,15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Participação de referência do Paraná</w:t>
            </w:r>
          </w:p>
        </w:tc>
        <w:tc>
          <w:tcPr>
            <w:tcW w:type="dxa" w:w="2957"/>
          </w:tcPr>
          <w:p>
            <w:pPr>
              <w:pStyle w:val="Compact"/>
              <w:spacing w:line="240" w:lineRule="auto" w:before="20" w:after="20"/>
              <w:ind w:firstLine="0"/>
              <w:jc w:val="left"/>
            </w:pPr>
            <m:oMath>
              <m:sSubSup>
                <m:e>
                  <m:r>
                    <m:t>w</m:t>
                  </m:r>
                </m:e>
                <m:sub>
                  <m:r>
                    <m:t>P</m:t>
                  </m:r>
                  <m:r>
                    <m:t>R</m:t>
                  </m:r>
                </m:sub>
                <m:sup>
                  <m:r>
                    <m:t>0</m:t>
                  </m:r>
                </m:sup>
              </m:sSubSup>
            </m:oMath>
          </w:p>
        </w:tc>
        <w:tc>
          <w:tcPr>
            <w:tcW w:type="dxa" w:w="3157"/>
          </w:tcPr>
          <w:p>
            <w:pPr>
              <w:pStyle w:val="Compact"/>
              <w:spacing w:line="240" w:lineRule="auto" w:before="20" w:after="20"/>
              <w:ind w:firstLine="0"/>
              <w:jc w:val="left"/>
            </w:pPr>
            <w:r>
              <w:rPr>
                <w:rFonts w:ascii="Times New Roman" w:hAnsi="Times New Roman"/>
                <w:sz w:val="18"/>
              </w:rPr>
              <w:t xml:space="preserve">Receita estadual de 2025 dividida pela base nacional de 2025</w:t>
            </w:r>
          </w:p>
        </w:tc>
        <w:tc>
          <w:tcPr>
            <w:tcW w:type="dxa" w:w="1052"/>
          </w:tcPr>
          <w:p>
            <w:pPr>
              <w:pStyle w:val="Compact"/>
              <w:spacing w:line="240" w:lineRule="auto" w:before="20" w:after="20"/>
              <w:ind w:firstLine="0"/>
              <w:jc w:val="left"/>
            </w:pPr>
            <w:r>
              <w:rPr>
                <w:rFonts w:ascii="Times New Roman" w:hAnsi="Times New Roman"/>
                <w:sz w:val="18"/>
              </w:rPr>
              <w:t>3,93604%</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Coeficiente histórico do Paraná</w:t>
            </w:r>
          </w:p>
        </w:tc>
        <w:tc>
          <w:tcPr>
            <w:tcW w:type="dxa" w:w="2957"/>
          </w:tcPr>
          <w:p>
            <w:pPr>
              <w:pStyle w:val="Compact"/>
              <w:spacing w:line="240" w:lineRule="auto" w:before="20" w:after="20"/>
              <w:ind w:firstLine="0"/>
              <w:jc w:val="left"/>
            </w:pPr>
            <m:oMath>
              <m:sSubSup>
                <m:e>
                  <m:r>
                    <m:t>w</m:t>
                  </m:r>
                </m:e>
                <m:sub>
                  <m:r>
                    <m:t>P</m:t>
                  </m:r>
                  <m:r>
                    <m:t>R</m:t>
                  </m:r>
                </m:sub>
                <m:sup>
                  <m:r>
                    <m:t>H</m:t>
                  </m:r>
                </m:sup>
              </m:sSubSup>
            </m:oMath>
          </w:p>
        </w:tc>
        <w:tc>
          <w:tcPr>
            <w:tcW w:type="dxa" w:w="3157"/>
          </w:tcPr>
          <w:p>
            <w:pPr>
              <w:pStyle w:val="Compact"/>
              <w:spacing w:line="240" w:lineRule="auto" w:before="20" w:after="20"/>
              <w:ind w:firstLine="0"/>
              <w:jc w:val="left"/>
            </w:pPr>
            <w:r>
              <w:rPr>
                <w:rFonts w:ascii="Times New Roman" w:hAnsi="Times New Roman"/>
                <w:sz w:val="18"/>
              </w:rPr>
              <w:t>Média da receita de referência de 2019 a 2026 (2026 estimado) dividida pela base nacional</w:t>
            </w:r>
          </w:p>
        </w:tc>
        <w:tc>
          <w:tcPr>
            <w:tcW w:type="dxa" w:w="1052"/>
          </w:tcPr>
          <w:p>
            <w:pPr>
              <w:pStyle w:val="Compact"/>
              <w:spacing w:line="240" w:lineRule="auto" w:before="20" w:after="20"/>
              <w:ind w:firstLine="0"/>
              <w:jc w:val="left"/>
            </w:pPr>
            <w:r>
              <w:rPr>
                <w:rFonts w:ascii="Times New Roman" w:hAnsi="Times New Roman"/>
                <w:sz w:val="18"/>
              </w:rPr>
              <w:t>3,97979%</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Coeficiente estadual de destino</w:t>
            </w:r>
          </w:p>
        </w:tc>
        <w:tc>
          <w:tcPr>
            <w:tcW w:type="dxa" w:w="2957"/>
          </w:tcPr>
          <w:p>
            <w:pPr>
              <w:pStyle w:val="Compact"/>
              <w:spacing w:line="240" w:lineRule="auto" w:before="20" w:after="20"/>
              <w:ind w:firstLine="0"/>
              <w:jc w:val="left"/>
            </w:pPr>
            <m:oMath>
              <m:sSubSup>
                <m:e>
                  <m:r>
                    <m:t>w</m:t>
                  </m:r>
                </m:e>
                <m:sub>
                  <m:r>
                    <m:t>P</m:t>
                  </m:r>
                  <m:r>
                    <m:t>R</m:t>
                  </m:r>
                </m:sub>
                <m:sup>
                  <m:r>
                    <m:t>D</m:t>
                  </m:r>
                </m:sup>
              </m:sSubSup>
            </m:oMath>
          </w:p>
        </w:tc>
        <w:tc>
          <w:tcPr>
            <w:tcW w:type="dxa" w:w="3157"/>
          </w:tcPr>
          <w:p>
            <w:pPr>
              <w:pStyle w:val="Compact"/>
              <w:spacing w:line="240" w:lineRule="auto" w:before="20" w:after="20"/>
              <w:ind w:firstLine="0"/>
              <w:jc w:val="left"/>
            </w:pPr>
            <w:r>
              <w:rPr>
                <w:rFonts w:ascii="Times New Roman" w:hAnsi="Times New Roman"/>
                <w:sz w:val="18"/>
              </w:rPr>
              <w:t>Estimativa própria: composto de três rotas, com POF 2017/2018, Censo 2022 e PNAD Contínua</w:t>
            </w:r>
          </w:p>
        </w:tc>
        <w:tc>
          <w:tcPr>
            <w:tcW w:type="dxa" w:w="1052"/>
          </w:tcPr>
          <w:p>
            <w:pPr>
              <w:pStyle w:val="Compact"/>
              <w:spacing w:line="240" w:lineRule="auto" w:before="20" w:after="20"/>
              <w:ind w:firstLine="0"/>
              <w:jc w:val="left"/>
            </w:pPr>
            <w:r>
              <w:rPr>
                <w:rFonts w:ascii="Times New Roman" w:hAnsi="Times New Roman"/>
                <w:sz w:val="18"/>
              </w:rPr>
              <w:t>4,12976%</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Parâmetros de 2033</w:t>
            </w:r>
          </w:p>
        </w:tc>
        <w:tc>
          <w:tcPr>
            <w:tcW w:type="dxa" w:w="2957"/>
          </w:tcPr>
          <w:p>
            <w:pPr>
              <w:pStyle w:val="Compact"/>
              <w:spacing w:line="240" w:lineRule="auto" w:before="20" w:after="20"/>
              <w:ind w:firstLine="0"/>
              <w:jc w:val="left"/>
            </w:pPr>
            <m:oMath>
              <m:r>
                <m:t>f</m:t>
              </m:r>
              <m:r>
                <m:rPr>
                  <m:sty m:val="p"/>
                </m:rPr>
                <m:t>,</m:t>
              </m:r>
              <m:r>
                <m:t>s</m:t>
              </m:r>
              <m:r>
                <m:rPr>
                  <m:sty m:val="p"/>
                </m:rPr>
                <m:t>,</m:t>
              </m:r>
              <m:r>
                <m:t>λ</m:t>
              </m:r>
              <m:r>
                <m:rPr>
                  <m:sty m:val="p"/>
                </m:rPr>
                <m:t>,</m:t>
              </m:r>
              <m:r>
                <m:t>ρ</m:t>
              </m:r>
              <m:r>
                <m:rPr>
                  <m:sty m:val="p"/>
                </m:rPr>
                <m:t>,</m:t>
              </m:r>
              <m:r>
                <m:t>c</m:t>
              </m:r>
            </m:oMath>
          </w:p>
        </w:tc>
        <w:tc>
          <w:tcPr>
            <w:tcW w:type="dxa" w:w="3157"/>
          </w:tcPr>
          <w:p>
            <w:pPr>
              <w:pStyle w:val="Compact"/>
              <w:spacing w:line="240" w:lineRule="auto" w:before="20" w:after="20"/>
              <w:ind w:firstLine="0"/>
              <w:jc w:val="left"/>
            </w:pPr>
            <m:oMath>
              <m:r>
                <m:t>f</m:t>
              </m:r>
              <m:r>
                <m:rPr>
                  <m:sty m:val="p"/>
                </m:rPr>
                <m:t>=</m:t>
              </m:r>
              <m:r>
                <m:t>0</m:t>
              </m:r>
            </m:oMath>
            <w:r>
              <w:rPr>
                <w:rFonts w:ascii="Times New Roman" w:hAnsi="Times New Roman"/>
                <w:sz w:val="18"/>
              </w:rPr>
              <w:t xml:space="preserve">;</w:t>
            </w:r>
            <w:r>
              <w:rPr>
                <w:rFonts w:ascii="Times New Roman" w:hAnsi="Times New Roman"/>
                <w:sz w:val="18"/>
              </w:rPr>
              <w:t xml:space="preserve"> </w:t>
            </w:r>
            <m:oMath>
              <m:r>
                <m:t>s</m:t>
              </m:r>
              <m:r>
                <m:rPr>
                  <m:sty m:val="p"/>
                </m:rPr>
                <m:t>=</m:t>
              </m:r>
              <m:r>
                <m:t>1</m:t>
              </m:r>
            </m:oMath>
            <w:r>
              <w:rPr>
                <w:rFonts w:ascii="Times New Roman" w:hAnsi="Times New Roman"/>
                <w:sz w:val="18"/>
              </w:rPr>
              <w:t xml:space="preserve">;</w:t>
            </w:r>
            <w:r>
              <w:rPr>
                <w:rFonts w:ascii="Times New Roman" w:hAnsi="Times New Roman"/>
                <w:sz w:val="18"/>
              </w:rPr>
              <w:t xml:space="preserve"> </w:t>
            </w:r>
            <m:oMath>
              <m:r>
                <m:t>λ</m:t>
              </m:r>
              <m:r>
                <m:rPr>
                  <m:sty m:val="p"/>
                </m:rPr>
                <m:t>=</m:t>
              </m:r>
              <m:r>
                <m:t>0</m:t>
              </m:r>
              <m:r>
                <m:rPr>
                  <m:sty m:val="p"/>
                </m:rPr>
                <m:t>,</m:t>
              </m:r>
              <m:r>
                <m:t>90</m:t>
              </m:r>
            </m:oMath>
            <w:r>
              <w:rPr>
                <w:rFonts w:ascii="Times New Roman" w:hAnsi="Times New Roman"/>
                <w:sz w:val="18"/>
              </w:rPr>
              <w:t xml:space="preserve">;</w:t>
            </w:r>
            <w:r>
              <w:rPr>
                <w:rFonts w:ascii="Times New Roman" w:hAnsi="Times New Roman"/>
                <w:sz w:val="18"/>
              </w:rPr>
              <w:t xml:space="preserve"> </w:t>
            </w:r>
            <m:oMath>
              <m:r>
                <m:t>ρ</m:t>
              </m:r>
              <m:r>
                <m:rPr>
                  <m:sty m:val="p"/>
                </m:rPr>
                <m:t>=</m:t>
              </m:r>
              <m:r>
                <m:t>0</m:t>
              </m:r>
              <m:r>
                <m:rPr>
                  <m:sty m:val="p"/>
                </m:rPr>
                <m:t>,</m:t>
              </m:r>
              <m:r>
                <m:t>05</m:t>
              </m:r>
            </m:oMath>
            <w:r>
              <w:rPr>
                <w:rFonts w:ascii="Times New Roman" w:hAnsi="Times New Roman"/>
                <w:sz w:val="18"/>
              </w:rPr>
              <w:t xml:space="preserve">;</w:t>
            </w:r>
            <w:r>
              <w:rPr>
                <w:rFonts w:ascii="Times New Roman" w:hAnsi="Times New Roman"/>
                <w:sz w:val="18"/>
              </w:rPr>
              <w:t xml:space="preserve"> </w:t>
            </w:r>
            <m:oMath>
              <m:r>
                <m:t>c</m:t>
              </m:r>
              <m:r>
                <m:rPr>
                  <m:sty m:val="p"/>
                </m:rPr>
                <m:t>=</m:t>
              </m:r>
              <m:r>
                <m:t>0</m:t>
              </m:r>
              <m:r>
                <m:rPr>
                  <m:sty m:val="p"/>
                </m:rPr>
                <m:t>,</m:t>
              </m:r>
              <m:r>
                <m:t>002</m:t>
              </m:r>
            </m:oMath>
          </w:p>
        </w:tc>
        <w:tc>
          <w:tcPr>
            <w:tcW w:type="dxa" w:w="1052"/>
          </w:tcPr>
          <w:p>
            <w:pPr>
              <w:pStyle w:val="Compact"/>
              <w:spacing w:line="240" w:lineRule="auto" w:before="20" w:after="20"/>
              <w:ind w:firstLine="0"/>
              <w:jc w:val="left"/>
            </w:pPr>
            <w:r>
              <w:rPr>
                <w:rFonts w:ascii="Times New Roman" w:hAnsi="Times New Roman"/>
                <w:sz w:val="18"/>
              </w:rPr>
              <w:t xml:space="preserve">0; 1; 90%; 5%; 0,20%</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Cenário sem reforma</w:t>
            </w:r>
          </w:p>
        </w:tc>
        <w:tc>
          <w:tcPr>
            <w:tcW w:type="dxa" w:w="2957"/>
          </w:tcPr>
          <w:p>
            <w:pPr>
              <w:pStyle w:val="Compact"/>
              <w:spacing w:line="240" w:lineRule="auto" w:before="20" w:after="20"/>
              <w:ind w:firstLine="0"/>
              <w:jc w:val="left"/>
            </w:pPr>
            <m:oMath>
              <m:sSub>
                <m:e>
                  <m:r>
                    <m:t>A</m:t>
                  </m:r>
                </m:e>
                <m:sub>
                  <m:r>
                    <m:t>2033</m:t>
                  </m:r>
                </m:sub>
              </m:sSub>
              <m:sSubSup>
                <m:e>
                  <m:r>
                    <m:t>w</m:t>
                  </m:r>
                </m:e>
                <m:sub>
                  <m:r>
                    <m:t>P</m:t>
                  </m:r>
                  <m:r>
                    <m:t>R</m:t>
                  </m:r>
                </m:sub>
                <m:sup>
                  <m:r>
                    <m:t>0</m:t>
                  </m:r>
                </m:sup>
              </m:sSubSup>
            </m:oMath>
          </w:p>
        </w:tc>
        <w:tc>
          <w:tcPr>
            <w:tcW w:type="dxa" w:w="3157"/>
          </w:tcPr>
          <w:p>
            <w:pPr>
              <w:pStyle w:val="Compact"/>
              <w:spacing w:line="240" w:lineRule="auto" w:before="20" w:after="20"/>
              <w:ind w:firstLine="0"/>
              <w:jc w:val="left"/>
            </w:pPr>
            <m:oMath>
              <m:r>
                <m:t>1.198</m:t>
              </m:r>
              <m:r>
                <m:rPr>
                  <m:sty m:val="p"/>
                </m:rPr>
                <m:t>,</m:t>
              </m:r>
              <m:r>
                <m:t>15</m:t>
              </m:r>
              <m:r>
                <m:rPr>
                  <m:sty m:val="p"/>
                </m:rPr>
                <m:t>×</m:t>
              </m:r>
              <m:r>
                <m:t>0</m:t>
              </m:r>
              <m:r>
                <m:rPr>
                  <m:sty m:val="p"/>
                </m:rPr>
                <m:t>,</m:t>
              </m:r>
              <m:r>
                <m:t>0393604</m:t>
              </m:r>
            </m:oMath>
          </w:p>
        </w:tc>
        <w:tc>
          <w:tcPr>
            <w:tcW w:type="dxa" w:w="1052"/>
          </w:tcPr>
          <w:p>
            <w:pPr>
              <w:pStyle w:val="Compact"/>
              <w:spacing w:line="240" w:lineRule="auto" w:before="20" w:after="20"/>
              <w:ind w:firstLine="0"/>
              <w:jc w:val="left"/>
            </w:pPr>
            <w:r>
              <w:rPr>
                <w:rFonts w:ascii="Times New Roman" w:hAnsi="Times New Roman"/>
                <w:sz w:val="18"/>
              </w:rPr>
              <w:t>R$ 47,16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ICMS residual</w:t>
            </w:r>
          </w:p>
        </w:tc>
        <w:tc>
          <w:tcPr>
            <w:tcW w:type="dxa" w:w="2957"/>
          </w:tcPr>
          <w:p>
            <w:pPr>
              <w:pStyle w:val="Compact"/>
              <w:spacing w:line="240" w:lineRule="auto" w:before="20" w:after="20"/>
              <w:ind w:firstLine="0"/>
              <w:jc w:val="left"/>
            </w:pPr>
            <m:oMath>
              <m:sSub>
                <m:e>
                  <m:r>
                    <m:t>A</m:t>
                  </m:r>
                </m:e>
                <m:sub>
                  <m:r>
                    <m:t>2033</m:t>
                  </m:r>
                </m:sub>
              </m:sSub>
              <m:sSub>
                <m:e>
                  <m:r>
                    <m:t>f</m:t>
                  </m:r>
                </m:e>
                <m:sub>
                  <m:r>
                    <m:t>2033</m:t>
                  </m:r>
                </m:sub>
              </m:sSub>
              <m:sSubSup>
                <m:e>
                  <m:r>
                    <m:t>w</m:t>
                  </m:r>
                </m:e>
                <m:sub>
                  <m:r>
                    <m:t>P</m:t>
                  </m:r>
                  <m:r>
                    <m:t>R</m:t>
                  </m:r>
                </m:sub>
                <m:sup>
                  <m:r>
                    <m:t>0</m:t>
                  </m:r>
                </m:sup>
              </m:sSubSup>
            </m:oMath>
          </w:p>
        </w:tc>
        <w:tc>
          <w:tcPr>
            <w:tcW w:type="dxa" w:w="3157"/>
          </w:tcPr>
          <w:p>
            <w:pPr>
              <w:pStyle w:val="Compact"/>
              <w:spacing w:line="240" w:lineRule="auto" w:before="20" w:after="20"/>
              <w:ind w:firstLine="0"/>
              <w:jc w:val="left"/>
            </w:pPr>
            <m:oMath>
              <m:r>
                <m:t>1.198</m:t>
              </m:r>
              <m:r>
                <m:rPr>
                  <m:sty m:val="p"/>
                </m:rPr>
                <m:t>,</m:t>
              </m:r>
              <m:r>
                <m:t>15</m:t>
              </m:r>
              <m:r>
                <m:rPr>
                  <m:sty m:val="p"/>
                </m:rPr>
                <m:t>×</m:t>
              </m:r>
              <m:r>
                <m:t>0</m:t>
              </m:r>
              <m:r>
                <m:rPr>
                  <m:sty m:val="p"/>
                </m:rPr>
                <m:t>×</m:t>
              </m:r>
              <m:r>
                <m:t>0</m:t>
              </m:r>
              <m:r>
                <m:rPr>
                  <m:sty m:val="p"/>
                </m:rPr>
                <m:t>,</m:t>
              </m:r>
              <m:r>
                <m:t>0393604</m:t>
              </m:r>
            </m:oMath>
          </w:p>
        </w:tc>
        <w:tc>
          <w:tcPr>
            <w:tcW w:type="dxa" w:w="1052"/>
          </w:tcPr>
          <w:p>
            <w:pPr>
              <w:pStyle w:val="Compact"/>
              <w:spacing w:line="240" w:lineRule="auto" w:before="20" w:after="20"/>
              <w:ind w:firstLine="0"/>
              <w:jc w:val="left"/>
            </w:pPr>
            <w:r>
              <w:rPr>
                <w:rFonts w:ascii="Times New Roman" w:hAnsi="Times New Roman"/>
                <w:sz w:val="18"/>
              </w:rPr>
              <w:t xml:space="preserve">R$ 0,00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IBS pelo histórico, bruto</w:t>
            </w:r>
          </w:p>
        </w:tc>
        <w:tc>
          <w:tcPr>
            <w:tcW w:type="dxa" w:w="2957"/>
          </w:tcPr>
          <w:p>
            <w:pPr>
              <w:pStyle w:val="Compact"/>
              <w:spacing w:line="240" w:lineRule="auto" w:before="20" w:after="20"/>
              <w:ind w:firstLine="0"/>
              <w:jc w:val="left"/>
            </w:pPr>
            <m:oMath>
              <m:sSub>
                <m:e>
                  <m:r>
                    <m:t>A</m:t>
                  </m:r>
                </m:e>
                <m:sub>
                  <m:r>
                    <m:t>2033</m:t>
                  </m:r>
                </m:sub>
              </m:sSub>
              <m:sSub>
                <m:e>
                  <m:r>
                    <m:t>s</m:t>
                  </m:r>
                </m:e>
                <m:sub>
                  <m:r>
                    <m:t>2033</m:t>
                  </m:r>
                </m:sub>
              </m:sSub>
              <m:sSub>
                <m:e>
                  <m:r>
                    <m:t>λ</m:t>
                  </m:r>
                </m:e>
                <m:sub>
                  <m:r>
                    <m:t>2033</m:t>
                  </m:r>
                </m:sub>
              </m:sSub>
              <m:sSubSup>
                <m:e>
                  <m:r>
                    <m:t>w</m:t>
                  </m:r>
                </m:e>
                <m:sub>
                  <m:r>
                    <m:t>P</m:t>
                  </m:r>
                  <m:r>
                    <m:t>R</m:t>
                  </m:r>
                </m:sub>
                <m:sup>
                  <m:r>
                    <m:t>H</m:t>
                  </m:r>
                </m:sup>
              </m:sSubSup>
            </m:oMath>
          </w:p>
        </w:tc>
        <w:tc>
          <w:tcPr>
            <w:tcW w:type="dxa" w:w="3157"/>
          </w:tcPr>
          <w:p>
            <w:pPr>
              <w:pStyle w:val="Compact"/>
              <w:spacing w:line="240" w:lineRule="auto" w:before="20" w:after="20"/>
              <w:ind w:firstLine="0"/>
              <w:jc w:val="left"/>
            </w:pPr>
            <m:oMath>
              <m:r>
                <m:t>1.198</m:t>
              </m:r>
              <m:r>
                <m:rPr>
                  <m:sty m:val="p"/>
                </m:rPr>
                <m:t>,</m:t>
              </m:r>
              <m:r>
                <m:t>15</m:t>
              </m:r>
              <m:r>
                <m:rPr>
                  <m:sty m:val="p"/>
                </m:rPr>
                <m:t>×</m:t>
              </m:r>
              <m:r>
                <m:t>1</m:t>
              </m:r>
              <m:r>
                <m:rPr>
                  <m:sty m:val="p"/>
                </m:rPr>
                <m:t>×</m:t>
              </m:r>
              <m:r>
                <m:t>0</m:t>
              </m:r>
              <m:r>
                <m:rPr>
                  <m:sty m:val="p"/>
                </m:rPr>
                <m:t>,</m:t>
              </m:r>
              <m:r>
                <m:t>90</m:t>
              </m:r>
              <m:r>
                <m:rPr>
                  <m:sty m:val="p"/>
                </m:rPr>
                <m:t>×</m:t>
              </m:r>
              <m:r>
                <m:t>0</m:t>
              </m:r>
              <m:r>
                <m:rPr>
                  <m:sty m:val="p"/>
                </m:rPr>
                <m:t>,</m:t>
              </m:r>
              <m:r>
                <m:t>0397979</m:t>
              </m:r>
            </m:oMath>
          </w:p>
        </w:tc>
        <w:tc>
          <w:tcPr>
            <w:tcW w:type="dxa" w:w="1052"/>
          </w:tcPr>
          <w:p>
            <w:pPr>
              <w:pStyle w:val="Compact"/>
              <w:spacing w:line="240" w:lineRule="auto" w:before="20" w:after="20"/>
              <w:ind w:firstLine="0"/>
              <w:jc w:val="left"/>
            </w:pPr>
            <w:r>
              <w:rPr>
                <w:rFonts w:ascii="Times New Roman" w:hAnsi="Times New Roman"/>
                <w:sz w:val="18"/>
              </w:rPr>
              <w:t>R$ 42,92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IBS pelo destino, após Seguro-Receita</w:t>
            </w:r>
          </w:p>
        </w:tc>
        <w:tc>
          <w:tcPr>
            <w:tcW w:type="dxa" w:w="2957"/>
          </w:tcPr>
          <w:p>
            <w:pPr>
              <w:pStyle w:val="Compact"/>
              <w:spacing w:line="240" w:lineRule="auto" w:before="20" w:after="20"/>
              <w:ind w:firstLine="0"/>
              <w:jc w:val="left"/>
            </w:pPr>
            <m:oMath>
              <m:sSub>
                <m:e>
                  <m:r>
                    <m:t>A</m:t>
                  </m:r>
                </m:e>
                <m:sub>
                  <m:r>
                    <m:t>2033</m:t>
                  </m:r>
                </m:sub>
              </m:sSub>
              <m:sSub>
                <m:e>
                  <m:r>
                    <m:t>s</m:t>
                  </m:r>
                </m:e>
                <m:sub>
                  <m:r>
                    <m:t>2033</m:t>
                  </m:r>
                </m:sub>
              </m:sSub>
              <m:r>
                <m:rPr>
                  <m:sty m:val="p"/>
                </m:rPr>
                <m:t>(</m:t>
              </m:r>
              <m:r>
                <m:t>1</m:t>
              </m:r>
              <m:r>
                <m:rPr>
                  <m:sty m:val="p"/>
                </m:rPr>
                <m:t>−</m:t>
              </m:r>
              <m:sSub>
                <m:e>
                  <m:r>
                    <m:t>λ</m:t>
                  </m:r>
                </m:e>
                <m:sub>
                  <m:r>
                    <m:t>2033</m:t>
                  </m:r>
                </m:sub>
              </m:sSub>
              <m:r>
                <m:rPr>
                  <m:sty m:val="p"/>
                </m:rPr>
                <m:t>)</m:t>
              </m:r>
              <m:r>
                <m:rPr>
                  <m:sty m:val="p"/>
                </m:rPr>
                <m:t>(</m:t>
              </m:r>
              <m:r>
                <m:t>1</m:t>
              </m:r>
              <m:r>
                <m:rPr>
                  <m:sty m:val="p"/>
                </m:rPr>
                <m:t>−</m:t>
              </m:r>
              <m:r>
                <m:t>ρ</m:t>
              </m:r>
              <m:r>
                <m:rPr>
                  <m:sty m:val="p"/>
                </m:rPr>
                <m:t>)</m:t>
              </m:r>
              <m:sSubSup>
                <m:e>
                  <m:r>
                    <m:t>w</m:t>
                  </m:r>
                </m:e>
                <m:sub>
                  <m:r>
                    <m:t>P</m:t>
                  </m:r>
                  <m:r>
                    <m:t>R</m:t>
                  </m:r>
                </m:sub>
                <m:sup>
                  <m:r>
                    <m:t>D</m:t>
                  </m:r>
                </m:sup>
              </m:sSubSup>
            </m:oMath>
          </w:p>
        </w:tc>
        <w:tc>
          <w:tcPr>
            <w:tcW w:type="dxa" w:w="3157"/>
          </w:tcPr>
          <w:p>
            <w:pPr>
              <w:pStyle w:val="Compact"/>
              <w:spacing w:line="240" w:lineRule="auto" w:before="20" w:after="20"/>
              <w:ind w:firstLine="0"/>
              <w:jc w:val="left"/>
            </w:pPr>
            <m:oMath>
              <m:r>
                <m:t>1.198</m:t>
              </m:r>
              <m:r>
                <m:rPr>
                  <m:sty m:val="p"/>
                </m:rPr>
                <m:t>,</m:t>
              </m:r>
              <m:r>
                <m:t>15</m:t>
              </m:r>
              <m:r>
                <m:rPr>
                  <m:sty m:val="p"/>
                </m:rPr>
                <m:t>×</m:t>
              </m:r>
              <m:r>
                <m:t>1</m:t>
              </m:r>
              <m:r>
                <m:rPr>
                  <m:sty m:val="p"/>
                </m:rPr>
                <m:t>×</m:t>
              </m:r>
              <m:r>
                <m:t>0</m:t>
              </m:r>
              <m:r>
                <m:rPr>
                  <m:sty m:val="p"/>
                </m:rPr>
                <m:t>,</m:t>
              </m:r>
              <m:r>
                <m:t>10</m:t>
              </m:r>
              <m:r>
                <m:rPr>
                  <m:sty m:val="p"/>
                </m:rPr>
                <m:t>×</m:t>
              </m:r>
              <m:r>
                <m:t>0</m:t>
              </m:r>
              <m:r>
                <m:rPr>
                  <m:sty m:val="p"/>
                </m:rPr>
                <m:t>,</m:t>
              </m:r>
              <m:r>
                <m:t>95</m:t>
              </m:r>
              <m:r>
                <m:rPr>
                  <m:sty m:val="p"/>
                </m:rPr>
                <m:t>×</m:t>
              </m:r>
              <m:r>
                <m:t>0</m:t>
              </m:r>
              <m:r>
                <m:rPr>
                  <m:sty m:val="p"/>
                </m:rPr>
                <m:t>,</m:t>
              </m:r>
              <m:r>
                <m:t>0412976</m:t>
              </m:r>
            </m:oMath>
          </w:p>
        </w:tc>
        <w:tc>
          <w:tcPr>
            <w:tcW w:type="dxa" w:w="1052"/>
          </w:tcPr>
          <w:p>
            <w:pPr>
              <w:pStyle w:val="Compact"/>
              <w:spacing w:line="240" w:lineRule="auto" w:before="20" w:after="20"/>
              <w:ind w:firstLine="0"/>
              <w:jc w:val="left"/>
            </w:pPr>
            <w:r>
              <w:rPr>
                <w:rFonts w:ascii="Times New Roman" w:hAnsi="Times New Roman"/>
                <w:sz w:val="18"/>
              </w:rPr>
              <w:t>R$ 4,70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Subtotal do IBS antes do CGIBS</w:t>
            </w:r>
          </w:p>
        </w:tc>
        <w:tc>
          <w:tcPr>
            <w:tcW w:type="dxa" w:w="2957"/>
          </w:tcPr>
          <w:p>
            <w:pPr>
              <w:pStyle w:val="Compact"/>
              <w:spacing w:line="240" w:lineRule="auto" w:before="20" w:after="20"/>
              <w:ind w:firstLine="0"/>
              <w:jc w:val="left"/>
            </w:pPr>
            <w:r>
              <w:rPr>
                <w:rFonts w:ascii="Times New Roman" w:hAnsi="Times New Roman"/>
                <w:sz w:val="18"/>
              </w:rPr>
              <w:t xml:space="preserve">soma dos componentes do IBS</w:t>
            </w:r>
          </w:p>
        </w:tc>
        <w:tc>
          <w:tcPr>
            <w:tcW w:type="dxa" w:w="3157"/>
          </w:tcPr>
          <w:p>
            <w:pPr>
              <w:pStyle w:val="Compact"/>
              <w:spacing w:line="240" w:lineRule="auto" w:before="20" w:after="20"/>
              <w:ind w:firstLine="0"/>
              <w:jc w:val="left"/>
            </w:pPr>
            <m:oMath>
              <m:r>
                <m:t>42</m:t>
              </m:r>
              <m:r>
                <m:rPr>
                  <m:sty m:val="p"/>
                </m:rPr>
                <m:t>,</m:t>
              </m:r>
              <m:r>
                <m:t>92</m:t>
              </m:r>
              <m:r>
                <m:rPr>
                  <m:sty m:val="p"/>
                </m:rPr>
                <m:t>+</m:t>
              </m:r>
              <m:r>
                <m:t>4</m:t>
              </m:r>
              <m:r>
                <m:rPr>
                  <m:sty m:val="p"/>
                </m:rPr>
                <m:t>,</m:t>
              </m:r>
              <m:r>
                <m:t>70</m:t>
              </m:r>
            </m:oMath>
          </w:p>
        </w:tc>
        <w:tc>
          <w:tcPr>
            <w:tcW w:type="dxa" w:w="1052"/>
          </w:tcPr>
          <w:p>
            <w:pPr>
              <w:pStyle w:val="Compact"/>
              <w:spacing w:line="240" w:lineRule="auto" w:before="20" w:after="20"/>
              <w:ind w:firstLine="0"/>
              <w:jc w:val="left"/>
            </w:pPr>
            <w:r>
              <w:rPr>
                <w:rFonts w:ascii="Times New Roman" w:hAnsi="Times New Roman"/>
                <w:sz w:val="18"/>
              </w:rPr>
              <w:t>R$ 47,62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Dedução para o CGIBS</w:t>
            </w:r>
          </w:p>
        </w:tc>
        <w:tc>
          <w:tcPr>
            <w:tcW w:type="dxa" w:w="2957"/>
          </w:tcPr>
          <w:p>
            <w:pPr>
              <w:pStyle w:val="Compact"/>
              <w:spacing w:line="240" w:lineRule="auto" w:before="20" w:after="20"/>
              <w:ind w:firstLine="0"/>
              <w:jc w:val="left"/>
            </w:pPr>
            <m:oMath>
              <m:r>
                <m:rPr>
                  <m:sty m:val="p"/>
                </m:rPr>
                <m:t>−</m:t>
              </m:r>
              <m:r>
                <m:t>c</m:t>
              </m:r>
              <m:r>
                <m:rPr>
                  <m:sty m:val="p"/>
                </m:rPr>
                <m:t>×</m:t>
              </m:r>
              <m:r>
                <m:rPr>
                  <m:nor/>
                  <m:sty m:val="p"/>
                </m:rPr>
                <m:t>subtotal</m:t>
              </m:r>
            </m:oMath>
          </w:p>
        </w:tc>
        <w:tc>
          <w:tcPr>
            <w:tcW w:type="dxa" w:w="3157"/>
          </w:tcPr>
          <w:p>
            <w:pPr>
              <w:pStyle w:val="Compact"/>
              <w:spacing w:line="240" w:lineRule="auto" w:before="20" w:after="20"/>
              <w:ind w:firstLine="0"/>
              <w:jc w:val="left"/>
            </w:pPr>
            <m:oMath>
              <m:r>
                <m:rPr>
                  <m:sty m:val="p"/>
                </m:rPr>
                <m:t>−</m:t>
              </m:r>
              <m:r>
                <m:t>0</m:t>
              </m:r>
              <m:r>
                <m:rPr>
                  <m:sty m:val="p"/>
                </m:rPr>
                <m:t>,</m:t>
              </m:r>
              <m:r>
                <m:t>002</m:t>
              </m:r>
              <m:r>
                <m:rPr>
                  <m:sty m:val="p"/>
                </m:rPr>
                <m:t>×</m:t>
              </m:r>
              <m:r>
                <m:t>47</m:t>
              </m:r>
              <m:r>
                <m:rPr>
                  <m:sty m:val="p"/>
                </m:rPr>
                <m:t>,</m:t>
              </m:r>
              <m:r>
                <m:t>616</m:t>
              </m:r>
            </m:oMath>
          </w:p>
        </w:tc>
        <w:tc>
          <w:tcPr>
            <w:tcW w:type="dxa" w:w="1052"/>
          </w:tcPr>
          <w:p>
            <w:pPr>
              <w:pStyle w:val="Compact"/>
              <w:spacing w:line="240" w:lineRule="auto" w:before="20" w:after="20"/>
              <w:ind w:firstLine="0"/>
              <w:jc w:val="left"/>
            </w:pPr>
            <w:r>
              <w:rPr>
                <w:rFonts w:ascii="Times New Roman" w:hAnsi="Times New Roman"/>
                <w:sz w:val="18"/>
              </w:rPr>
              <w:t>R$ −0,10 bi</w:t>
            </w:r>
          </w:p>
        </w:tc>
      </w:tr>
      <w:tr>
        <w:trPr>
          <w:cantSplit/>
        </w:trPr>
        <w:tc>
          <w:tcPr>
            <w:tcW w:type="dxa" w:w="1904"/>
          </w:tcPr>
          <w:p>
            <w:pPr>
              <w:pStyle w:val="Compact"/>
              <w:spacing w:line="240" w:lineRule="auto" w:before="20" w:after="20"/>
              <w:ind w:firstLine="0"/>
              <w:jc w:val="left"/>
            </w:pPr>
            <w:r>
              <w:rPr>
                <w:rFonts w:ascii="Times New Roman" w:hAnsi="Times New Roman"/>
                <w:sz w:val="18"/>
              </w:rPr>
              <w:t xml:space="preserve">Seguro-Receita recebido</w:t>
            </w:r>
          </w:p>
        </w:tc>
        <w:tc>
          <w:tcPr>
            <w:tcW w:type="dxa" w:w="2957"/>
          </w:tcPr>
          <w:p>
            <w:pPr>
              <w:pStyle w:val="Compact"/>
              <w:spacing w:line="240" w:lineRule="auto" w:before="20" w:after="20"/>
              <w:ind w:firstLine="0"/>
              <w:jc w:val="left"/>
            </w:pPr>
            <m:oMath>
              <m:sSub>
                <m:e>
                  <m:r>
                    <m:t>S</m:t>
                  </m:r>
                </m:e>
                <m:sub>
                  <m:r>
                    <m:t>P</m:t>
                  </m:r>
                  <m:r>
                    <m:t>R</m:t>
                  </m:r>
                  <m:r>
                    <m:rPr>
                      <m:sty m:val="p"/>
                    </m:rPr>
                    <m:t>,</m:t>
                  </m:r>
                  <m:r>
                    <m:t>2033</m:t>
                  </m:r>
                </m:sub>
              </m:sSub>
            </m:oMath>
          </w:p>
        </w:tc>
        <w:tc>
          <w:tcPr>
            <w:tcW w:type="dxa" w:w="3157"/>
          </w:tcPr>
          <w:p>
            <w:pPr>
              <w:pStyle w:val="Compact"/>
              <w:spacing w:line="240" w:lineRule="auto" w:before="20" w:after="20"/>
              <w:ind w:firstLine="0"/>
              <w:jc w:val="left"/>
            </w:pPr>
            <w:r>
              <w:rPr>
                <w:rFonts w:ascii="Times New Roman" w:hAnsi="Times New Roman"/>
                <w:sz w:val="18"/>
              </w:rPr>
              <w:t xml:space="preserve">Governo estadual não elegível na simulação de 2033</w:t>
            </w:r>
          </w:p>
        </w:tc>
        <w:tc>
          <w:tcPr>
            <w:tcW w:type="dxa" w:w="1052"/>
          </w:tcPr>
          <w:p>
            <w:pPr>
              <w:pStyle w:val="Compact"/>
              <w:spacing w:line="240" w:lineRule="auto" w:before="20" w:after="20"/>
              <w:ind w:firstLine="0"/>
              <w:jc w:val="left"/>
            </w:pPr>
            <w:r>
              <w:rPr>
                <w:rFonts w:ascii="Times New Roman" w:hAnsi="Times New Roman"/>
                <w:sz w:val="18"/>
              </w:rPr>
              <w:t xml:space="preserve">R$ 0,00 bi</w:t>
            </w:r>
          </w:p>
        </w:tc>
      </w:tr>
      <w:tr>
        <w:trPr>
          <w:cantSplit/>
        </w:trPr>
        <w:tc>
          <w:tcPr>
            <w:tcW w:type="dxa" w:w="1904"/>
          </w:tcPr>
          <w:p>
            <w:pPr>
              <w:pStyle w:val="Compact"/>
              <w:spacing w:line="240" w:lineRule="auto" w:before="20" w:after="20"/>
              <w:ind w:firstLine="0"/>
              <w:jc w:val="left"/>
            </w:pPr>
            <w:r>
              <w:rPr>
                <w:rFonts w:ascii="Times New Roman" w:hAnsi="Times New Roman"/>
                <w:b/>
                <w:bCs/>
                <w:sz w:val="18"/>
              </w:rPr>
              <w:t xml:space="preserve">Receita com reforma</w:t>
            </w:r>
          </w:p>
        </w:tc>
        <w:tc>
          <w:tcPr>
            <w:tcW w:type="dxa" w:w="2957"/>
          </w:tcPr>
          <w:p>
            <w:pPr>
              <w:pStyle w:val="Compact"/>
              <w:spacing w:line="240" w:lineRule="auto" w:before="20" w:after="20"/>
              <w:ind w:firstLine="0"/>
              <w:jc w:val="left"/>
            </w:pPr>
            <m:oMath>
              <m:sSubSup>
                <m:e>
                  <m:r>
                    <m:t>R</m:t>
                  </m:r>
                </m:e>
                <m:sub>
                  <m:r>
                    <m:t>P</m:t>
                  </m:r>
                  <m:r>
                    <m:t>R</m:t>
                  </m:r>
                  <m:r>
                    <m:rPr>
                      <m:sty m:val="p"/>
                    </m:rPr>
                    <m:t>,</m:t>
                  </m:r>
                  <m:r>
                    <m:t>2033</m:t>
                  </m:r>
                </m:sub>
                <m:sup>
                  <m:r>
                    <m:t>R</m:t>
                  </m:r>
                </m:sup>
              </m:sSubSup>
            </m:oMath>
          </w:p>
        </w:tc>
        <w:tc>
          <w:tcPr>
            <w:tcW w:type="dxa" w:w="3157"/>
          </w:tcPr>
          <w:p>
            <w:pPr>
              <w:pStyle w:val="Compact"/>
              <w:spacing w:line="240" w:lineRule="auto" w:before="20" w:after="20"/>
              <w:ind w:firstLine="0"/>
              <w:jc w:val="left"/>
            </w:pPr>
            <m:oMath>
              <m:r>
                <m:t>47</m:t>
              </m:r>
              <m:r>
                <m:rPr>
                  <m:sty m:val="p"/>
                </m:rPr>
                <m:t>,</m:t>
              </m:r>
              <m:r>
                <m:t>616</m:t>
              </m:r>
              <m:r>
                <m:rPr>
                  <m:sty m:val="p"/>
                </m:rPr>
                <m:t>−</m:t>
              </m:r>
              <m:r>
                <m:t>0</m:t>
              </m:r>
              <m:r>
                <m:rPr>
                  <m:sty m:val="p"/>
                </m:rPr>
                <m:t>,</m:t>
              </m:r>
              <m:r>
                <m:t>095</m:t>
              </m:r>
            </m:oMath>
          </w:p>
        </w:tc>
        <w:tc>
          <w:tcPr>
            <w:tcW w:type="dxa" w:w="1052"/>
          </w:tcPr>
          <w:p>
            <w:pPr>
              <w:pStyle w:val="Compact"/>
              <w:spacing w:line="240" w:lineRule="auto" w:before="20" w:after="20"/>
              <w:ind w:firstLine="0"/>
              <w:jc w:val="left"/>
            </w:pPr>
            <w:r>
              <w:rPr>
                <w:rFonts w:ascii="Times New Roman" w:hAnsi="Times New Roman"/>
                <w:b/>
                <w:bCs/>
                <w:sz w:val="18"/>
              </w:rPr>
              <w:t>R$ 47,52 bi</w:t>
            </w:r>
          </w:p>
        </w:tc>
      </w:tr>
      <w:tr>
        <w:trPr>
          <w:cantSplit/>
        </w:trPr>
        <w:tc>
          <w:tcPr>
            <w:tcW w:type="dxa" w:w="1904"/>
          </w:tcPr>
          <w:p>
            <w:pPr>
              <w:pStyle w:val="Compact"/>
              <w:spacing w:line="240" w:lineRule="auto" w:before="20" w:after="20"/>
              <w:ind w:firstLine="0"/>
              <w:jc w:val="left"/>
            </w:pPr>
            <w:r>
              <w:rPr>
                <w:rFonts w:ascii="Times New Roman" w:hAnsi="Times New Roman"/>
                <w:b/>
                <w:bCs/>
                <w:sz w:val="18"/>
              </w:rPr>
              <w:t xml:space="preserve">Variação ante o cenário sem reforma</w:t>
            </w:r>
          </w:p>
        </w:tc>
        <w:tc>
          <w:tcPr>
            <w:tcW w:type="dxa" w:w="2957"/>
          </w:tcPr>
          <w:p>
            <w:pPr>
              <w:pStyle w:val="Compact"/>
              <w:spacing w:line="240" w:lineRule="auto" w:before="20" w:after="20"/>
              <w:ind w:firstLine="0"/>
              <w:jc w:val="left"/>
            </w:pPr>
            <m:oMath>
              <m:sSup>
                <m:e>
                  <m:r>
                    <m:t>R</m:t>
                  </m:r>
                </m:e>
                <m:sup>
                  <m:r>
                    <m:t>R</m:t>
                  </m:r>
                </m:sup>
              </m:sSup>
              <m:r>
                <m:rPr>
                  <m:sty m:val="p"/>
                </m:rPr>
                <m:t>/</m:t>
              </m:r>
              <m:sSup>
                <m:e>
                  <m:r>
                    <m:t>R</m:t>
                  </m:r>
                </m:e>
                <m:sup>
                  <m:r>
                    <m:t>C</m:t>
                  </m:r>
                </m:sup>
              </m:sSup>
              <m:r>
                <m:rPr>
                  <m:sty m:val="p"/>
                </m:rPr>
                <m:t>−</m:t>
              </m:r>
              <m:r>
                <m:t>1</m:t>
              </m:r>
            </m:oMath>
          </w:p>
        </w:tc>
        <w:tc>
          <w:tcPr>
            <w:tcW w:type="dxa" w:w="3157"/>
          </w:tcPr>
          <w:p>
            <w:pPr>
              <w:pStyle w:val="Compact"/>
              <w:spacing w:line="240" w:lineRule="auto" w:before="20" w:after="20"/>
              <w:ind w:firstLine="0"/>
              <w:jc w:val="left"/>
            </w:pPr>
            <m:oMath>
              <m:r>
                <m:t>47</m:t>
              </m:r>
              <m:r>
                <m:rPr>
                  <m:sty m:val="p"/>
                </m:rPr>
                <m:t>,</m:t>
              </m:r>
              <m:r>
                <m:t>521</m:t>
              </m:r>
              <m:r>
                <m:rPr>
                  <m:sty m:val="p"/>
                </m:rPr>
                <m:t>/</m:t>
              </m:r>
              <m:r>
                <m:t>47</m:t>
              </m:r>
              <m:r>
                <m:rPr>
                  <m:sty m:val="p"/>
                </m:rPr>
                <m:t>,</m:t>
              </m:r>
              <m:r>
                <m:t>159</m:t>
              </m:r>
              <m:r>
                <m:rPr>
                  <m:sty m:val="p"/>
                </m:rPr>
                <m:t>−</m:t>
              </m:r>
              <m:r>
                <m:t>1</m:t>
              </m:r>
            </m:oMath>
          </w:p>
        </w:tc>
        <w:tc>
          <w:tcPr>
            <w:tcW w:type="dxa" w:w="1052"/>
          </w:tcPr>
          <w:p>
            <w:pPr>
              <w:pStyle w:val="Compact"/>
              <w:spacing w:line="240" w:lineRule="auto" w:before="20" w:after="20"/>
              <w:ind w:firstLine="0"/>
              <w:jc w:val="left"/>
            </w:pPr>
            <w:r>
              <w:rPr>
                <w:rFonts w:ascii="Times New Roman" w:hAnsi="Times New Roman"/>
                <w:b/>
                <w:bCs/>
                <w:sz w:val="18"/>
              </w:rPr>
              <w:t>+0,77%</w:t>
            </w:r>
          </w:p>
        </w:tc>
      </w:tr>
    </w:tbl>
    <w:bookmarkEnd w:id="68"/>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Valores a preços constantes de 2025. O valor do IBS pelo destino já incorpora a retenção de 5% destinada ao Seguro-Receita. A dedução do CGIBS utiliza o limite de 0,20% adotado no modelo para 2033. Diferenças residuais decorrem de arredondamento.</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Base consolidada do modelo; SICONFI/STN; IBGE; parâmetros legais da transição. Elaboração própria.</w:t>
      </w:r>
    </w:p>
    <w:bookmarkStart w:id="69" w:name="tab:anexo_capitais"/>
    <w:p>
      <w:pPr>
        <w:pStyle w:val="TableCaption"/>
      </w:pPr>
      <w:r>
        <w:rPr>
          <w:b/>
          <w:bCs/>
        </w:rPr>
        <w:t xml:space="preserve">Tabela A.4:</w:t>
      </w:r>
      <w:r>
        <w:t xml:space="preserve"> Resultados das capitais brasileiras em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A.4: Resultados das capitais brasileiras em 2033"/>
      </w:tblPr>
      <w:tblGrid>
        <w:gridCol w:w="518"/>
        <w:gridCol w:w="1879"/>
        <w:gridCol w:w="1360"/>
        <w:gridCol w:w="1101"/>
        <w:gridCol w:w="1749"/>
        <w:gridCol w:w="1231"/>
        <w:gridCol w:w="1231"/>
      </w:tblGrid>
      <w:tr>
        <w:trPr>
          <w:tblHeader w:val="on"/>
          <w:cantSplit/>
          <w:tblHeader/>
        </w:trPr>
        <w:tc>
          <w:tcPr>
            <w:tcW w:type="dxa" w:w="51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UF</w:t>
            </w:r>
          </w:p>
        </w:tc>
        <w:tc>
          <w:tcPr>
            <w:tcW w:type="dxa" w:w="187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Capital</w:t>
            </w:r>
          </w:p>
        </w:tc>
        <w:tc>
          <w:tcPr>
            <w:tcW w:type="dxa" w:w="136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Coef.</w:t>
            </w:r>
            <w:r>
              <w:rPr>
                <w:rFonts w:ascii="Times New Roman" w:hAnsi="Times New Roman"/>
                <w:b/>
                <w:sz w:val="16"/>
              </w:rPr>
              <w:br/>
            </w:r>
            <w:r>
              <w:rPr>
                <w:rFonts w:ascii="Times New Roman" w:hAnsi="Times New Roman"/>
                <w:b/>
                <w:bCs/>
                <w:sz w:val="16"/>
              </w:rPr>
              <w:t xml:space="preserve">histórico</w:t>
            </w:r>
          </w:p>
        </w:tc>
        <w:tc>
          <w:tcPr>
            <w:tcW w:type="dxa" w:w="110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Coef.</w:t>
            </w:r>
            <w:r>
              <w:rPr>
                <w:rFonts w:ascii="Times New Roman" w:hAnsi="Times New Roman"/>
                <w:b/>
                <w:sz w:val="16"/>
              </w:rPr>
              <w:br/>
            </w:r>
            <w:r>
              <w:rPr>
                <w:rFonts w:ascii="Times New Roman" w:hAnsi="Times New Roman"/>
                <w:b/>
                <w:bCs/>
                <w:sz w:val="16"/>
              </w:rPr>
              <w:t xml:space="preserve">destino</w:t>
            </w:r>
          </w:p>
        </w:tc>
        <w:tc>
          <w:tcPr>
            <w:tcW w:type="dxa" w:w="174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Cenário sem</w:t>
            </w:r>
            <w:r>
              <w:rPr>
                <w:rFonts w:ascii="Times New Roman" w:hAnsi="Times New Roman"/>
                <w:b/>
                <w:sz w:val="16"/>
              </w:rPr>
              <w:br/>
            </w:r>
            <w:r>
              <w:rPr>
                <w:rFonts w:ascii="Times New Roman" w:hAnsi="Times New Roman"/>
                <w:b/>
                <w:bCs/>
                <w:sz w:val="16"/>
              </w:rPr>
              <w:t xml:space="preserve">reforma, R$ bi</w:t>
            </w:r>
          </w:p>
        </w:tc>
        <w:tc>
          <w:tcPr>
            <w:tcW w:type="dxa" w:w="123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Receita 2033</w:t>
            </w:r>
            <w:r>
              <w:rPr>
                <w:rFonts w:ascii="Times New Roman" w:hAnsi="Times New Roman"/>
                <w:b/>
                <w:sz w:val="16"/>
              </w:rPr>
              <w:br/>
            </w:r>
            <w:r>
              <w:rPr>
                <w:rFonts w:ascii="Times New Roman" w:hAnsi="Times New Roman"/>
                <w:b/>
                <w:bCs/>
                <w:sz w:val="16"/>
              </w:rPr>
              <w:t xml:space="preserve">R$ bi</w:t>
            </w:r>
          </w:p>
        </w:tc>
        <w:tc>
          <w:tcPr>
            <w:tcW w:type="dxa" w:w="123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Variação</w:t>
            </w:r>
            <w:r>
              <w:rPr>
                <w:rFonts w:ascii="Times New Roman" w:hAnsi="Times New Roman"/>
                <w:b/>
                <w:sz w:val="16"/>
              </w:rPr>
              <w:br/>
            </w:r>
            <w:r>
              <w:rPr>
                <w:rFonts w:ascii="Times New Roman" w:hAnsi="Times New Roman"/>
                <w:b/>
                <w:bCs/>
                <w:sz w:val="16"/>
              </w:rPr>
              <w:t xml:space="preserve">2033</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PB</w:t>
            </w:r>
          </w:p>
        </w:tc>
        <w:tc>
          <w:tcPr>
            <w:tcW w:type="dxa" w:w="1879"/>
          </w:tcPr>
          <w:p>
            <w:pPr>
              <w:pStyle w:val="Compact"/>
              <w:spacing w:line="240" w:lineRule="auto" w:before="20" w:after="20"/>
              <w:ind w:firstLine="0"/>
              <w:jc w:val="left"/>
            </w:pPr>
            <w:r>
              <w:rPr>
                <w:rFonts w:ascii="Times New Roman" w:hAnsi="Times New Roman"/>
                <w:sz w:val="16"/>
              </w:rPr>
              <w:t xml:space="preserve">João Pessoa</w:t>
            </w:r>
          </w:p>
        </w:tc>
        <w:tc>
          <w:tcPr>
            <w:tcW w:type="dxa" w:w="1360"/>
          </w:tcPr>
          <w:p>
            <w:pPr>
              <w:pStyle w:val="Compact"/>
              <w:spacing w:line="240" w:lineRule="auto" w:before="20" w:after="20"/>
              <w:ind w:firstLine="0"/>
              <w:jc w:val="right"/>
            </w:pPr>
            <w:r>
              <w:rPr>
                <w:rFonts w:ascii="Times New Roman" w:hAnsi="Times New Roman"/>
                <w:sz w:val="16"/>
              </w:rPr>
              <w:t>0,118%</w:t>
            </w:r>
          </w:p>
        </w:tc>
        <w:tc>
          <w:tcPr>
            <w:tcW w:type="dxa" w:w="1101"/>
          </w:tcPr>
          <w:p>
            <w:pPr>
              <w:pStyle w:val="Compact"/>
              <w:spacing w:line="240" w:lineRule="auto" w:before="20" w:after="20"/>
              <w:ind w:firstLine="0"/>
              <w:jc w:val="right"/>
            </w:pPr>
            <w:r>
              <w:rPr>
                <w:rFonts w:ascii="Times New Roman" w:hAnsi="Times New Roman"/>
                <w:sz w:val="16"/>
              </w:rPr>
              <w:t>0,106%</w:t>
            </w:r>
          </w:p>
        </w:tc>
        <w:tc>
          <w:tcPr>
            <w:tcW w:type="dxa" w:w="1749"/>
          </w:tcPr>
          <w:p>
            <w:pPr>
              <w:pStyle w:val="Compact"/>
              <w:spacing w:line="240" w:lineRule="auto" w:before="20" w:after="20"/>
              <w:ind w:firstLine="0"/>
              <w:jc w:val="right"/>
            </w:pPr>
            <w:r>
              <w:rPr>
                <w:rFonts w:ascii="Times New Roman" w:hAnsi="Times New Roman"/>
                <w:sz w:val="16"/>
              </w:rPr>
              <w:t xml:space="preserve">1,63</w:t>
            </w:r>
          </w:p>
        </w:tc>
        <w:tc>
          <w:tcPr>
            <w:tcW w:type="dxa" w:w="1231"/>
          </w:tcPr>
          <w:p>
            <w:pPr>
              <w:pStyle w:val="Compact"/>
              <w:spacing w:line="240" w:lineRule="auto" w:before="20" w:after="20"/>
              <w:ind w:firstLine="0"/>
              <w:jc w:val="right"/>
            </w:pPr>
            <w:r>
              <w:rPr>
                <w:rFonts w:ascii="Times New Roman" w:hAnsi="Times New Roman"/>
                <w:sz w:val="16"/>
              </w:rPr>
              <w:t>1,39</w:t>
            </w:r>
          </w:p>
        </w:tc>
        <w:tc>
          <w:tcPr>
            <w:tcW w:type="dxa" w:w="1231"/>
          </w:tcPr>
          <w:p>
            <w:pPr>
              <w:pStyle w:val="Compact"/>
              <w:spacing w:line="240" w:lineRule="auto" w:before="20" w:after="20"/>
              <w:ind w:firstLine="0"/>
              <w:jc w:val="right"/>
            </w:pPr>
            <w:r>
              <w:rPr>
                <w:rFonts w:ascii="Times New Roman" w:hAnsi="Times New Roman"/>
                <w:sz w:val="16"/>
              </w:rPr>
              <w:t>−14,7%</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AM</w:t>
            </w:r>
          </w:p>
        </w:tc>
        <w:tc>
          <w:tcPr>
            <w:tcW w:type="dxa" w:w="1879"/>
          </w:tcPr>
          <w:p>
            <w:pPr>
              <w:pStyle w:val="Compact"/>
              <w:spacing w:line="240" w:lineRule="auto" w:before="20" w:after="20"/>
              <w:ind w:firstLine="0"/>
              <w:jc w:val="left"/>
            </w:pPr>
            <w:r>
              <w:rPr>
                <w:rFonts w:ascii="Times New Roman" w:hAnsi="Times New Roman"/>
                <w:sz w:val="16"/>
              </w:rPr>
              <w:t xml:space="preserve">Manaus</w:t>
            </w:r>
          </w:p>
        </w:tc>
        <w:tc>
          <w:tcPr>
            <w:tcW w:type="dxa" w:w="1360"/>
          </w:tcPr>
          <w:p>
            <w:pPr>
              <w:pStyle w:val="Compact"/>
              <w:spacing w:line="240" w:lineRule="auto" w:before="20" w:after="20"/>
              <w:ind w:firstLine="0"/>
              <w:jc w:val="right"/>
            </w:pPr>
            <w:r>
              <w:rPr>
                <w:rFonts w:ascii="Times New Roman" w:hAnsi="Times New Roman"/>
                <w:sz w:val="16"/>
              </w:rPr>
              <w:t>0,372%</w:t>
            </w:r>
          </w:p>
        </w:tc>
        <w:tc>
          <w:tcPr>
            <w:tcW w:type="dxa" w:w="1101"/>
          </w:tcPr>
          <w:p>
            <w:pPr>
              <w:pStyle w:val="Compact"/>
              <w:spacing w:line="240" w:lineRule="auto" w:before="20" w:after="20"/>
              <w:ind w:firstLine="0"/>
              <w:jc w:val="right"/>
            </w:pPr>
            <w:r>
              <w:rPr>
                <w:rFonts w:ascii="Times New Roman" w:hAnsi="Times New Roman"/>
                <w:sz w:val="16"/>
              </w:rPr>
              <w:t>0,240%</w:t>
            </w:r>
          </w:p>
        </w:tc>
        <w:tc>
          <w:tcPr>
            <w:tcW w:type="dxa" w:w="1749"/>
          </w:tcPr>
          <w:p>
            <w:pPr>
              <w:pStyle w:val="Compact"/>
              <w:spacing w:line="240" w:lineRule="auto" w:before="20" w:after="20"/>
              <w:ind w:firstLine="0"/>
              <w:jc w:val="right"/>
            </w:pPr>
            <w:r>
              <w:rPr>
                <w:rFonts w:ascii="Times New Roman" w:hAnsi="Times New Roman"/>
                <w:sz w:val="16"/>
              </w:rPr>
              <w:t xml:space="preserve">5,04</w:t>
            </w:r>
          </w:p>
        </w:tc>
        <w:tc>
          <w:tcPr>
            <w:tcW w:type="dxa" w:w="1231"/>
          </w:tcPr>
          <w:p>
            <w:pPr>
              <w:pStyle w:val="Compact"/>
              <w:spacing w:line="240" w:lineRule="auto" w:before="20" w:after="20"/>
              <w:ind w:firstLine="0"/>
              <w:jc w:val="right"/>
            </w:pPr>
            <w:r>
              <w:rPr>
                <w:rFonts w:ascii="Times New Roman" w:hAnsi="Times New Roman"/>
                <w:sz w:val="16"/>
              </w:rPr>
              <w:t>4,28</w:t>
            </w:r>
          </w:p>
        </w:tc>
        <w:tc>
          <w:tcPr>
            <w:tcW w:type="dxa" w:w="1231"/>
          </w:tcPr>
          <w:p>
            <w:pPr>
              <w:pStyle w:val="Compact"/>
              <w:spacing w:line="240" w:lineRule="auto" w:before="20" w:after="20"/>
              <w:ind w:firstLine="0"/>
              <w:jc w:val="right"/>
            </w:pPr>
            <w:r>
              <w:rPr>
                <w:rFonts w:ascii="Times New Roman" w:hAnsi="Times New Roman"/>
                <w:sz w:val="16"/>
              </w:rPr>
              <w:t>−15,2%</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SC</w:t>
            </w:r>
          </w:p>
        </w:tc>
        <w:tc>
          <w:tcPr>
            <w:tcW w:type="dxa" w:w="1879"/>
          </w:tcPr>
          <w:p>
            <w:pPr>
              <w:pStyle w:val="Compact"/>
              <w:spacing w:line="240" w:lineRule="auto" w:before="20" w:after="20"/>
              <w:ind w:firstLine="0"/>
              <w:jc w:val="left"/>
            </w:pPr>
            <w:r>
              <w:rPr>
                <w:rFonts w:ascii="Times New Roman" w:hAnsi="Times New Roman"/>
                <w:sz w:val="16"/>
              </w:rPr>
              <w:t xml:space="preserve">Florianópolis</w:t>
            </w:r>
          </w:p>
        </w:tc>
        <w:tc>
          <w:tcPr>
            <w:tcW w:type="dxa" w:w="1360"/>
          </w:tcPr>
          <w:p>
            <w:pPr>
              <w:pStyle w:val="Compact"/>
              <w:spacing w:line="240" w:lineRule="auto" w:before="20" w:after="20"/>
              <w:ind w:firstLine="0"/>
              <w:jc w:val="right"/>
            </w:pPr>
            <w:r>
              <w:rPr>
                <w:rFonts w:ascii="Times New Roman" w:hAnsi="Times New Roman"/>
                <w:sz w:val="16"/>
              </w:rPr>
              <w:t>0,099%</w:t>
            </w:r>
          </w:p>
        </w:tc>
        <w:tc>
          <w:tcPr>
            <w:tcW w:type="dxa" w:w="1101"/>
          </w:tcPr>
          <w:p>
            <w:pPr>
              <w:pStyle w:val="Compact"/>
              <w:spacing w:line="240" w:lineRule="auto" w:before="20" w:after="20"/>
              <w:ind w:firstLine="0"/>
              <w:jc w:val="right"/>
            </w:pPr>
            <w:r>
              <w:rPr>
                <w:rFonts w:ascii="Times New Roman" w:hAnsi="Times New Roman"/>
                <w:sz w:val="16"/>
              </w:rPr>
              <w:t>0,121%</w:t>
            </w:r>
          </w:p>
        </w:tc>
        <w:tc>
          <w:tcPr>
            <w:tcW w:type="dxa" w:w="1749"/>
          </w:tcPr>
          <w:p>
            <w:pPr>
              <w:pStyle w:val="Compact"/>
              <w:spacing w:line="240" w:lineRule="auto" w:before="20" w:after="20"/>
              <w:ind w:firstLine="0"/>
              <w:jc w:val="right"/>
            </w:pPr>
            <w:r>
              <w:rPr>
                <w:rFonts w:ascii="Times New Roman" w:hAnsi="Times New Roman"/>
                <w:sz w:val="16"/>
              </w:rPr>
              <w:t xml:space="preserve">1,36</w:t>
            </w:r>
          </w:p>
        </w:tc>
        <w:tc>
          <w:tcPr>
            <w:tcW w:type="dxa" w:w="1231"/>
          </w:tcPr>
          <w:p>
            <w:pPr>
              <w:pStyle w:val="Compact"/>
              <w:spacing w:line="240" w:lineRule="auto" w:before="20" w:after="20"/>
              <w:ind w:firstLine="0"/>
              <w:jc w:val="right"/>
            </w:pPr>
            <w:r>
              <w:rPr>
                <w:rFonts w:ascii="Times New Roman" w:hAnsi="Times New Roman"/>
                <w:sz w:val="16"/>
              </w:rPr>
              <w:t>1,20</w:t>
            </w:r>
          </w:p>
        </w:tc>
        <w:tc>
          <w:tcPr>
            <w:tcW w:type="dxa" w:w="1231"/>
          </w:tcPr>
          <w:p>
            <w:pPr>
              <w:pStyle w:val="Compact"/>
              <w:spacing w:line="240" w:lineRule="auto" w:before="20" w:after="20"/>
              <w:ind w:firstLine="0"/>
              <w:jc w:val="right"/>
            </w:pPr>
            <w:r>
              <w:rPr>
                <w:rFonts w:ascii="Times New Roman" w:hAnsi="Times New Roman"/>
                <w:sz w:val="16"/>
              </w:rPr>
              <w:t>−11,4%</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PA</w:t>
            </w:r>
          </w:p>
        </w:tc>
        <w:tc>
          <w:tcPr>
            <w:tcW w:type="dxa" w:w="1879"/>
          </w:tcPr>
          <w:p>
            <w:pPr>
              <w:pStyle w:val="Compact"/>
              <w:spacing w:line="240" w:lineRule="auto" w:before="20" w:after="20"/>
              <w:ind w:firstLine="0"/>
              <w:jc w:val="left"/>
            </w:pPr>
            <w:r>
              <w:rPr>
                <w:rFonts w:ascii="Times New Roman" w:hAnsi="Times New Roman"/>
                <w:sz w:val="16"/>
              </w:rPr>
              <w:t xml:space="preserve">Belém</w:t>
            </w:r>
          </w:p>
        </w:tc>
        <w:tc>
          <w:tcPr>
            <w:tcW w:type="dxa" w:w="1360"/>
          </w:tcPr>
          <w:p>
            <w:pPr>
              <w:pStyle w:val="Compact"/>
              <w:spacing w:line="240" w:lineRule="auto" w:before="20" w:after="20"/>
              <w:ind w:firstLine="0"/>
              <w:jc w:val="right"/>
            </w:pPr>
            <w:r>
              <w:rPr>
                <w:rFonts w:ascii="Times New Roman" w:hAnsi="Times New Roman"/>
                <w:sz w:val="16"/>
              </w:rPr>
              <w:t>0,146%</w:t>
            </w:r>
          </w:p>
        </w:tc>
        <w:tc>
          <w:tcPr>
            <w:tcW w:type="dxa" w:w="1101"/>
          </w:tcPr>
          <w:p>
            <w:pPr>
              <w:pStyle w:val="Compact"/>
              <w:spacing w:line="240" w:lineRule="auto" w:before="20" w:after="20"/>
              <w:ind w:firstLine="0"/>
              <w:jc w:val="right"/>
            </w:pPr>
            <w:r>
              <w:rPr>
                <w:rFonts w:ascii="Times New Roman" w:hAnsi="Times New Roman"/>
                <w:sz w:val="16"/>
              </w:rPr>
              <w:t>0,160%</w:t>
            </w:r>
          </w:p>
        </w:tc>
        <w:tc>
          <w:tcPr>
            <w:tcW w:type="dxa" w:w="1749"/>
          </w:tcPr>
          <w:p>
            <w:pPr>
              <w:pStyle w:val="Compact"/>
              <w:spacing w:line="240" w:lineRule="auto" w:before="20" w:after="20"/>
              <w:ind w:firstLine="0"/>
              <w:jc w:val="right"/>
            </w:pPr>
            <w:r>
              <w:rPr>
                <w:rFonts w:ascii="Times New Roman" w:hAnsi="Times New Roman"/>
                <w:sz w:val="16"/>
              </w:rPr>
              <w:t xml:space="preserve">1,97</w:t>
            </w:r>
          </w:p>
        </w:tc>
        <w:tc>
          <w:tcPr>
            <w:tcW w:type="dxa" w:w="1231"/>
          </w:tcPr>
          <w:p>
            <w:pPr>
              <w:pStyle w:val="Compact"/>
              <w:spacing w:line="240" w:lineRule="auto" w:before="20" w:after="20"/>
              <w:ind w:firstLine="0"/>
              <w:jc w:val="right"/>
            </w:pPr>
            <w:r>
              <w:rPr>
                <w:rFonts w:ascii="Times New Roman" w:hAnsi="Times New Roman"/>
                <w:sz w:val="16"/>
              </w:rPr>
              <w:t>1,76</w:t>
            </w:r>
          </w:p>
        </w:tc>
        <w:tc>
          <w:tcPr>
            <w:tcW w:type="dxa" w:w="1231"/>
          </w:tcPr>
          <w:p>
            <w:pPr>
              <w:pStyle w:val="Compact"/>
              <w:spacing w:line="240" w:lineRule="auto" w:before="20" w:after="20"/>
              <w:ind w:firstLine="0"/>
              <w:jc w:val="right"/>
            </w:pPr>
            <w:r>
              <w:rPr>
                <w:rFonts w:ascii="Times New Roman" w:hAnsi="Times New Roman"/>
                <w:sz w:val="16"/>
              </w:rPr>
              <w:t>−10,6%</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RR</w:t>
            </w:r>
          </w:p>
        </w:tc>
        <w:tc>
          <w:tcPr>
            <w:tcW w:type="dxa" w:w="1879"/>
          </w:tcPr>
          <w:p>
            <w:pPr>
              <w:pStyle w:val="Compact"/>
              <w:spacing w:line="240" w:lineRule="auto" w:before="20" w:after="20"/>
              <w:ind w:firstLine="0"/>
              <w:jc w:val="left"/>
            </w:pPr>
            <w:r>
              <w:rPr>
                <w:rFonts w:ascii="Times New Roman" w:hAnsi="Times New Roman"/>
                <w:sz w:val="16"/>
              </w:rPr>
              <w:t xml:space="preserve">Boa Vista</w:t>
            </w:r>
          </w:p>
        </w:tc>
        <w:tc>
          <w:tcPr>
            <w:tcW w:type="dxa" w:w="1360"/>
          </w:tcPr>
          <w:p>
            <w:pPr>
              <w:pStyle w:val="Compact"/>
              <w:spacing w:line="240" w:lineRule="auto" w:before="20" w:after="20"/>
              <w:ind w:firstLine="0"/>
              <w:jc w:val="right"/>
            </w:pPr>
            <w:r>
              <w:rPr>
                <w:rFonts w:ascii="Times New Roman" w:hAnsi="Times New Roman"/>
                <w:sz w:val="16"/>
              </w:rPr>
              <w:t>0,045%</w:t>
            </w:r>
          </w:p>
        </w:tc>
        <w:tc>
          <w:tcPr>
            <w:tcW w:type="dxa" w:w="1101"/>
          </w:tcPr>
          <w:p>
            <w:pPr>
              <w:pStyle w:val="Compact"/>
              <w:spacing w:line="240" w:lineRule="auto" w:before="20" w:after="20"/>
              <w:ind w:firstLine="0"/>
              <w:jc w:val="right"/>
            </w:pPr>
            <w:r>
              <w:rPr>
                <w:rFonts w:ascii="Times New Roman" w:hAnsi="Times New Roman"/>
                <w:sz w:val="16"/>
              </w:rPr>
              <w:t>0,057%</w:t>
            </w:r>
          </w:p>
        </w:tc>
        <w:tc>
          <w:tcPr>
            <w:tcW w:type="dxa" w:w="1749"/>
          </w:tcPr>
          <w:p>
            <w:pPr>
              <w:pStyle w:val="Compact"/>
              <w:spacing w:line="240" w:lineRule="auto" w:before="20" w:after="20"/>
              <w:ind w:firstLine="0"/>
              <w:jc w:val="right"/>
            </w:pPr>
            <w:r>
              <w:rPr>
                <w:rFonts w:ascii="Times New Roman" w:hAnsi="Times New Roman"/>
                <w:sz w:val="16"/>
              </w:rPr>
              <w:t xml:space="preserve">0,59</w:t>
            </w:r>
          </w:p>
        </w:tc>
        <w:tc>
          <w:tcPr>
            <w:tcW w:type="dxa" w:w="1231"/>
          </w:tcPr>
          <w:p>
            <w:pPr>
              <w:pStyle w:val="Compact"/>
              <w:spacing w:line="240" w:lineRule="auto" w:before="20" w:after="20"/>
              <w:ind w:firstLine="0"/>
              <w:jc w:val="right"/>
            </w:pPr>
            <w:r>
              <w:rPr>
                <w:rFonts w:ascii="Times New Roman" w:hAnsi="Times New Roman"/>
                <w:sz w:val="16"/>
              </w:rPr>
              <w:t>0,55</w:t>
            </w:r>
          </w:p>
        </w:tc>
        <w:tc>
          <w:tcPr>
            <w:tcW w:type="dxa" w:w="1231"/>
          </w:tcPr>
          <w:p>
            <w:pPr>
              <w:pStyle w:val="Compact"/>
              <w:spacing w:line="240" w:lineRule="auto" w:before="20" w:after="20"/>
              <w:ind w:firstLine="0"/>
              <w:jc w:val="right"/>
            </w:pPr>
            <w:r>
              <w:rPr>
                <w:rFonts w:ascii="Times New Roman" w:hAnsi="Times New Roman"/>
                <w:sz w:val="16"/>
              </w:rPr>
              <w:t>−6,6%</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SP</w:t>
            </w:r>
          </w:p>
        </w:tc>
        <w:tc>
          <w:tcPr>
            <w:tcW w:type="dxa" w:w="1879"/>
          </w:tcPr>
          <w:p>
            <w:pPr>
              <w:pStyle w:val="Compact"/>
              <w:spacing w:line="240" w:lineRule="auto" w:before="20" w:after="20"/>
              <w:ind w:firstLine="0"/>
              <w:jc w:val="left"/>
            </w:pPr>
            <w:r>
              <w:rPr>
                <w:rFonts w:ascii="Times New Roman" w:hAnsi="Times New Roman"/>
                <w:sz w:val="16"/>
              </w:rPr>
              <w:t xml:space="preserve">São Paulo</w:t>
            </w:r>
          </w:p>
        </w:tc>
        <w:tc>
          <w:tcPr>
            <w:tcW w:type="dxa" w:w="1360"/>
          </w:tcPr>
          <w:p>
            <w:pPr>
              <w:pStyle w:val="Compact"/>
              <w:spacing w:line="240" w:lineRule="auto" w:before="20" w:after="20"/>
              <w:ind w:firstLine="0"/>
              <w:jc w:val="right"/>
            </w:pPr>
            <w:r>
              <w:rPr>
                <w:rFonts w:ascii="Times New Roman" w:hAnsi="Times New Roman"/>
                <w:sz w:val="16"/>
              </w:rPr>
              <w:t>4,577%</w:t>
            </w:r>
          </w:p>
        </w:tc>
        <w:tc>
          <w:tcPr>
            <w:tcW w:type="dxa" w:w="1101"/>
          </w:tcPr>
          <w:p>
            <w:pPr>
              <w:pStyle w:val="Compact"/>
              <w:spacing w:line="240" w:lineRule="auto" w:before="20" w:after="20"/>
              <w:ind w:firstLine="0"/>
              <w:jc w:val="right"/>
            </w:pPr>
            <w:r>
              <w:rPr>
                <w:rFonts w:ascii="Times New Roman" w:hAnsi="Times New Roman"/>
                <w:sz w:val="16"/>
              </w:rPr>
              <w:t>2,641%</w:t>
            </w:r>
          </w:p>
        </w:tc>
        <w:tc>
          <w:tcPr>
            <w:tcW w:type="dxa" w:w="1749"/>
          </w:tcPr>
          <w:p>
            <w:pPr>
              <w:pStyle w:val="Compact"/>
              <w:spacing w:line="240" w:lineRule="auto" w:before="20" w:after="20"/>
              <w:ind w:firstLine="0"/>
              <w:jc w:val="right"/>
            </w:pPr>
            <w:r>
              <w:rPr>
                <w:rFonts w:ascii="Times New Roman" w:hAnsi="Times New Roman"/>
                <w:sz w:val="16"/>
              </w:rPr>
              <w:t>58,52</w:t>
            </w:r>
          </w:p>
        </w:tc>
        <w:tc>
          <w:tcPr>
            <w:tcW w:type="dxa" w:w="1231"/>
          </w:tcPr>
          <w:p>
            <w:pPr>
              <w:pStyle w:val="Compact"/>
              <w:spacing w:line="240" w:lineRule="auto" w:before="20" w:after="20"/>
              <w:ind w:firstLine="0"/>
              <w:jc w:val="right"/>
            </w:pPr>
            <w:r>
              <w:rPr>
                <w:rFonts w:ascii="Times New Roman" w:hAnsi="Times New Roman"/>
                <w:sz w:val="16"/>
              </w:rPr>
              <w:t>52,26</w:t>
            </w:r>
          </w:p>
        </w:tc>
        <w:tc>
          <w:tcPr>
            <w:tcW w:type="dxa" w:w="1231"/>
          </w:tcPr>
          <w:p>
            <w:pPr>
              <w:pStyle w:val="Compact"/>
              <w:spacing w:line="240" w:lineRule="auto" w:before="20" w:after="20"/>
              <w:ind w:firstLine="0"/>
              <w:jc w:val="right"/>
            </w:pPr>
            <w:r>
              <w:rPr>
                <w:rFonts w:ascii="Times New Roman" w:hAnsi="Times New Roman"/>
                <w:sz w:val="16"/>
              </w:rPr>
              <w:t>−10,7%</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TO</w:t>
            </w:r>
          </w:p>
        </w:tc>
        <w:tc>
          <w:tcPr>
            <w:tcW w:type="dxa" w:w="1879"/>
          </w:tcPr>
          <w:p>
            <w:pPr>
              <w:pStyle w:val="Compact"/>
              <w:spacing w:line="240" w:lineRule="auto" w:before="20" w:after="20"/>
              <w:ind w:firstLine="0"/>
              <w:jc w:val="left"/>
            </w:pPr>
            <w:r>
              <w:rPr>
                <w:rFonts w:ascii="Times New Roman" w:hAnsi="Times New Roman"/>
                <w:sz w:val="16"/>
              </w:rPr>
              <w:t xml:space="preserve">Palmas</w:t>
            </w:r>
          </w:p>
        </w:tc>
        <w:tc>
          <w:tcPr>
            <w:tcW w:type="dxa" w:w="1360"/>
          </w:tcPr>
          <w:p>
            <w:pPr>
              <w:pStyle w:val="Compact"/>
              <w:spacing w:line="240" w:lineRule="auto" w:before="20" w:after="20"/>
              <w:ind w:firstLine="0"/>
              <w:jc w:val="right"/>
            </w:pPr>
            <w:r>
              <w:rPr>
                <w:rFonts w:ascii="Times New Roman" w:hAnsi="Times New Roman"/>
                <w:sz w:val="16"/>
              </w:rPr>
              <w:t xml:space="preserve">0,047%</w:t>
            </w:r>
          </w:p>
        </w:tc>
        <w:tc>
          <w:tcPr>
            <w:tcW w:type="dxa" w:w="1101"/>
          </w:tcPr>
          <w:p>
            <w:pPr>
              <w:pStyle w:val="Compact"/>
              <w:spacing w:line="240" w:lineRule="auto" w:before="20" w:after="20"/>
              <w:ind w:firstLine="0"/>
              <w:jc w:val="right"/>
            </w:pPr>
            <w:r>
              <w:rPr>
                <w:rFonts w:ascii="Times New Roman" w:hAnsi="Times New Roman"/>
                <w:sz w:val="16"/>
              </w:rPr>
              <w:t>0,044%</w:t>
            </w:r>
          </w:p>
        </w:tc>
        <w:tc>
          <w:tcPr>
            <w:tcW w:type="dxa" w:w="1749"/>
          </w:tcPr>
          <w:p>
            <w:pPr>
              <w:pStyle w:val="Compact"/>
              <w:spacing w:line="240" w:lineRule="auto" w:before="20" w:after="20"/>
              <w:ind w:firstLine="0"/>
              <w:jc w:val="right"/>
            </w:pPr>
            <w:r>
              <w:rPr>
                <w:rFonts w:ascii="Times New Roman" w:hAnsi="Times New Roman"/>
                <w:sz w:val="16"/>
              </w:rPr>
              <w:t xml:space="preserve">0,60</w:t>
            </w:r>
          </w:p>
        </w:tc>
        <w:tc>
          <w:tcPr>
            <w:tcW w:type="dxa" w:w="1231"/>
          </w:tcPr>
          <w:p>
            <w:pPr>
              <w:pStyle w:val="Compact"/>
              <w:spacing w:line="240" w:lineRule="auto" w:before="20" w:after="20"/>
              <w:ind w:firstLine="0"/>
              <w:jc w:val="right"/>
            </w:pPr>
            <w:r>
              <w:rPr>
                <w:rFonts w:ascii="Times New Roman" w:hAnsi="Times New Roman"/>
                <w:sz w:val="16"/>
              </w:rPr>
              <w:t>0,56</w:t>
            </w:r>
          </w:p>
        </w:tc>
        <w:tc>
          <w:tcPr>
            <w:tcW w:type="dxa" w:w="1231"/>
          </w:tcPr>
          <w:p>
            <w:pPr>
              <w:pStyle w:val="Compact"/>
              <w:spacing w:line="240" w:lineRule="auto" w:before="20" w:after="20"/>
              <w:ind w:firstLine="0"/>
              <w:jc w:val="right"/>
            </w:pPr>
            <w:r>
              <w:rPr>
                <w:rFonts w:ascii="Times New Roman" w:hAnsi="Times New Roman"/>
                <w:sz w:val="16"/>
              </w:rPr>
              <w:t>−7,1%</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AP</w:t>
            </w:r>
          </w:p>
        </w:tc>
        <w:tc>
          <w:tcPr>
            <w:tcW w:type="dxa" w:w="1879"/>
          </w:tcPr>
          <w:p>
            <w:pPr>
              <w:pStyle w:val="Compact"/>
              <w:spacing w:line="240" w:lineRule="auto" w:before="20" w:after="20"/>
              <w:ind w:firstLine="0"/>
              <w:jc w:val="left"/>
            </w:pPr>
            <w:r>
              <w:rPr>
                <w:rFonts w:ascii="Times New Roman" w:hAnsi="Times New Roman"/>
                <w:sz w:val="16"/>
              </w:rPr>
              <w:t xml:space="preserve">Macapá</w:t>
            </w:r>
          </w:p>
        </w:tc>
        <w:tc>
          <w:tcPr>
            <w:tcW w:type="dxa" w:w="1360"/>
          </w:tcPr>
          <w:p>
            <w:pPr>
              <w:pStyle w:val="Compact"/>
              <w:spacing w:line="240" w:lineRule="auto" w:before="20" w:after="20"/>
              <w:ind w:firstLine="0"/>
              <w:jc w:val="right"/>
            </w:pPr>
            <w:r>
              <w:rPr>
                <w:rFonts w:ascii="Times New Roman" w:hAnsi="Times New Roman"/>
                <w:sz w:val="16"/>
              </w:rPr>
              <w:t xml:space="preserve">0,038%</w:t>
            </w:r>
          </w:p>
        </w:tc>
        <w:tc>
          <w:tcPr>
            <w:tcW w:type="dxa" w:w="1101"/>
          </w:tcPr>
          <w:p>
            <w:pPr>
              <w:pStyle w:val="Compact"/>
              <w:spacing w:line="240" w:lineRule="auto" w:before="20" w:after="20"/>
              <w:ind w:firstLine="0"/>
              <w:jc w:val="right"/>
            </w:pPr>
            <w:r>
              <w:rPr>
                <w:rFonts w:ascii="Times New Roman" w:hAnsi="Times New Roman"/>
                <w:sz w:val="16"/>
              </w:rPr>
              <w:t>0,063%</w:t>
            </w:r>
          </w:p>
        </w:tc>
        <w:tc>
          <w:tcPr>
            <w:tcW w:type="dxa" w:w="1749"/>
          </w:tcPr>
          <w:p>
            <w:pPr>
              <w:pStyle w:val="Compact"/>
              <w:spacing w:line="240" w:lineRule="auto" w:before="20" w:after="20"/>
              <w:ind w:firstLine="0"/>
              <w:jc w:val="right"/>
            </w:pPr>
            <w:r>
              <w:rPr>
                <w:rFonts w:ascii="Times New Roman" w:hAnsi="Times New Roman"/>
                <w:sz w:val="16"/>
              </w:rPr>
              <w:t xml:space="preserve">0,51</w:t>
            </w:r>
          </w:p>
        </w:tc>
        <w:tc>
          <w:tcPr>
            <w:tcW w:type="dxa" w:w="1231"/>
          </w:tcPr>
          <w:p>
            <w:pPr>
              <w:pStyle w:val="Compact"/>
              <w:spacing w:line="240" w:lineRule="auto" w:before="20" w:after="20"/>
              <w:ind w:firstLine="0"/>
              <w:jc w:val="right"/>
            </w:pPr>
            <w:r>
              <w:rPr>
                <w:rFonts w:ascii="Times New Roman" w:hAnsi="Times New Roman"/>
                <w:sz w:val="16"/>
              </w:rPr>
              <w:t>0,49</w:t>
            </w:r>
          </w:p>
        </w:tc>
        <w:tc>
          <w:tcPr>
            <w:tcW w:type="dxa" w:w="1231"/>
          </w:tcPr>
          <w:p>
            <w:pPr>
              <w:pStyle w:val="Compact"/>
              <w:spacing w:line="240" w:lineRule="auto" w:before="20" w:after="20"/>
              <w:ind w:firstLine="0"/>
              <w:jc w:val="right"/>
            </w:pPr>
            <w:r>
              <w:rPr>
                <w:rFonts w:ascii="Times New Roman" w:hAnsi="Times New Roman"/>
                <w:sz w:val="16"/>
              </w:rPr>
              <w:t>−5,6%</w:t>
            </w:r>
          </w:p>
        </w:tc>
      </w:tr>
      <w:tr>
        <w:trPr>
          <w:cantSplit/>
        </w:trPr>
        <w:tc>
          <w:tcPr>
            <w:tcW w:type="dxa" w:w="518"/>
            <w:shd w:val="clear" w:color="auto" w:fill="E7E6E6"/>
          </w:tcPr>
          <w:p>
            <w:pPr>
              <w:pStyle w:val="Compact"/>
              <w:spacing w:line="240" w:lineRule="auto" w:before="20" w:after="20"/>
              <w:ind w:firstLine="0"/>
              <w:jc w:val="left"/>
            </w:pPr>
            <w:r>
              <w:rPr>
                <w:rFonts w:ascii="Times New Roman" w:hAnsi="Times New Roman"/>
                <w:sz w:val="16"/>
              </w:rPr>
            </w:r>
            <w:r>
              <w:rPr>
                <w:rFonts w:ascii="Times New Roman" w:hAnsi="Times New Roman"/>
                <w:b/>
                <w:bCs/>
                <w:sz w:val="16"/>
              </w:rPr>
              <w:t xml:space="preserve">PR</w:t>
            </w:r>
          </w:p>
        </w:tc>
        <w:tc>
          <w:tcPr>
            <w:tcW w:type="dxa" w:w="1879"/>
            <w:shd w:val="clear" w:color="auto" w:fill="E7E6E6"/>
          </w:tcPr>
          <w:p>
            <w:pPr>
              <w:pStyle w:val="Compact"/>
              <w:spacing w:line="240" w:lineRule="auto" w:before="20" w:after="20"/>
              <w:ind w:firstLine="0"/>
              <w:jc w:val="left"/>
            </w:pPr>
            <w:r>
              <w:rPr>
                <w:rFonts w:ascii="Times New Roman" w:hAnsi="Times New Roman"/>
                <w:b/>
                <w:bCs/>
                <w:sz w:val="16"/>
              </w:rPr>
              <w:t xml:space="preserve">Curitiba</w:t>
            </w:r>
          </w:p>
        </w:tc>
        <w:tc>
          <w:tcPr>
            <w:tcW w:type="dxa" w:w="1360"/>
            <w:shd w:val="clear" w:color="auto" w:fill="E7E6E6"/>
          </w:tcPr>
          <w:p>
            <w:pPr>
              <w:pStyle w:val="Compact"/>
              <w:spacing w:line="240" w:lineRule="auto" w:before="20" w:after="20"/>
              <w:ind w:firstLine="0"/>
              <w:jc w:val="right"/>
            </w:pPr>
            <w:r>
              <w:rPr>
                <w:rFonts w:ascii="Times New Roman" w:hAnsi="Times New Roman"/>
                <w:b/>
                <w:bCs/>
                <w:sz w:val="16"/>
              </w:rPr>
              <w:t>0,368%</w:t>
            </w:r>
          </w:p>
        </w:tc>
        <w:tc>
          <w:tcPr>
            <w:tcW w:type="dxa" w:w="1101"/>
            <w:shd w:val="clear" w:color="auto" w:fill="E7E6E6"/>
          </w:tcPr>
          <w:p>
            <w:pPr>
              <w:pStyle w:val="Compact"/>
              <w:spacing w:line="240" w:lineRule="auto" w:before="20" w:after="20"/>
              <w:ind w:firstLine="0"/>
              <w:jc w:val="right"/>
            </w:pPr>
            <w:r>
              <w:rPr>
                <w:rFonts w:ascii="Times New Roman" w:hAnsi="Times New Roman"/>
                <w:b/>
                <w:bCs/>
                <w:sz w:val="16"/>
              </w:rPr>
              <w:t>0,391%</w:t>
            </w:r>
          </w:p>
        </w:tc>
        <w:tc>
          <w:tcPr>
            <w:tcW w:type="dxa" w:w="1749"/>
            <w:shd w:val="clear" w:color="auto" w:fill="E7E6E6"/>
          </w:tcPr>
          <w:p>
            <w:pPr>
              <w:pStyle w:val="Compact"/>
              <w:spacing w:line="240" w:lineRule="auto" w:before="20" w:after="20"/>
              <w:ind w:firstLine="0"/>
              <w:jc w:val="right"/>
            </w:pPr>
            <w:r>
              <w:rPr>
                <w:rFonts w:ascii="Times New Roman" w:hAnsi="Times New Roman"/>
                <w:b/>
                <w:bCs/>
                <w:sz w:val="16"/>
              </w:rPr>
              <w:t xml:space="preserve">4,62</w:t>
            </w:r>
          </w:p>
        </w:tc>
        <w:tc>
          <w:tcPr>
            <w:tcW w:type="dxa" w:w="1231"/>
            <w:shd w:val="clear" w:color="auto" w:fill="E7E6E6"/>
          </w:tcPr>
          <w:p>
            <w:pPr>
              <w:pStyle w:val="Compact"/>
              <w:spacing w:line="240" w:lineRule="auto" w:before="20" w:after="20"/>
              <w:ind w:firstLine="0"/>
              <w:jc w:val="right"/>
            </w:pPr>
            <w:r>
              <w:rPr>
                <w:rFonts w:ascii="Times New Roman" w:hAnsi="Times New Roman"/>
                <w:b/>
                <w:bCs/>
                <w:sz w:val="16"/>
              </w:rPr>
              <w:t>4,35</w:t>
            </w:r>
          </w:p>
        </w:tc>
        <w:tc>
          <w:tcPr>
            <w:tcW w:type="dxa" w:w="1231"/>
            <w:shd w:val="clear" w:color="auto" w:fill="E7E6E6"/>
          </w:tcPr>
          <w:p>
            <w:pPr>
              <w:pStyle w:val="Compact"/>
              <w:spacing w:line="240" w:lineRule="auto" w:before="20" w:after="20"/>
              <w:ind w:firstLine="0"/>
              <w:jc w:val="right"/>
            </w:pPr>
            <w:r>
              <w:rPr>
                <w:rFonts w:ascii="Times New Roman" w:hAnsi="Times New Roman"/>
                <w:b/>
                <w:bCs/>
                <w:sz w:val="16"/>
              </w:rPr>
              <w:t>−6,0%</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MT</w:t>
            </w:r>
          </w:p>
        </w:tc>
        <w:tc>
          <w:tcPr>
            <w:tcW w:type="dxa" w:w="1879"/>
          </w:tcPr>
          <w:p>
            <w:pPr>
              <w:pStyle w:val="Compact"/>
              <w:spacing w:line="240" w:lineRule="auto" w:before="20" w:after="20"/>
              <w:ind w:firstLine="0"/>
              <w:jc w:val="left"/>
            </w:pPr>
            <w:r>
              <w:rPr>
                <w:rFonts w:ascii="Times New Roman" w:hAnsi="Times New Roman"/>
                <w:sz w:val="16"/>
              </w:rPr>
              <w:t xml:space="preserve">Cuiabá</w:t>
            </w:r>
          </w:p>
        </w:tc>
        <w:tc>
          <w:tcPr>
            <w:tcW w:type="dxa" w:w="1360"/>
          </w:tcPr>
          <w:p>
            <w:pPr>
              <w:pStyle w:val="Compact"/>
              <w:spacing w:line="240" w:lineRule="auto" w:before="20" w:after="20"/>
              <w:ind w:firstLine="0"/>
              <w:jc w:val="right"/>
            </w:pPr>
            <w:r>
              <w:rPr>
                <w:rFonts w:ascii="Times New Roman" w:hAnsi="Times New Roman"/>
                <w:sz w:val="16"/>
              </w:rPr>
              <w:t>0,131%</w:t>
            </w:r>
          </w:p>
        </w:tc>
        <w:tc>
          <w:tcPr>
            <w:tcW w:type="dxa" w:w="1101"/>
          </w:tcPr>
          <w:p>
            <w:pPr>
              <w:pStyle w:val="Compact"/>
              <w:spacing w:line="240" w:lineRule="auto" w:before="20" w:after="20"/>
              <w:ind w:firstLine="0"/>
              <w:jc w:val="right"/>
            </w:pPr>
            <w:r>
              <w:rPr>
                <w:rFonts w:ascii="Times New Roman" w:hAnsi="Times New Roman"/>
                <w:sz w:val="16"/>
              </w:rPr>
              <w:t>0,132%</w:t>
            </w:r>
          </w:p>
        </w:tc>
        <w:tc>
          <w:tcPr>
            <w:tcW w:type="dxa" w:w="1749"/>
          </w:tcPr>
          <w:p>
            <w:pPr>
              <w:pStyle w:val="Compact"/>
              <w:spacing w:line="240" w:lineRule="auto" w:before="20" w:after="20"/>
              <w:ind w:firstLine="0"/>
              <w:jc w:val="right"/>
            </w:pPr>
            <w:r>
              <w:rPr>
                <w:rFonts w:ascii="Times New Roman" w:hAnsi="Times New Roman"/>
                <w:sz w:val="16"/>
              </w:rPr>
              <w:t xml:space="preserve">1,61</w:t>
            </w:r>
          </w:p>
        </w:tc>
        <w:tc>
          <w:tcPr>
            <w:tcW w:type="dxa" w:w="1231"/>
          </w:tcPr>
          <w:p>
            <w:pPr>
              <w:pStyle w:val="Compact"/>
              <w:spacing w:line="240" w:lineRule="auto" w:before="20" w:after="20"/>
              <w:ind w:firstLine="0"/>
              <w:jc w:val="right"/>
            </w:pPr>
            <w:r>
              <w:rPr>
                <w:rFonts w:ascii="Times New Roman" w:hAnsi="Times New Roman"/>
                <w:sz w:val="16"/>
              </w:rPr>
              <w:t>1,56</w:t>
            </w:r>
          </w:p>
        </w:tc>
        <w:tc>
          <w:tcPr>
            <w:tcW w:type="dxa" w:w="1231"/>
          </w:tcPr>
          <w:p>
            <w:pPr>
              <w:pStyle w:val="Compact"/>
              <w:spacing w:line="240" w:lineRule="auto" w:before="20" w:after="20"/>
              <w:ind w:firstLine="0"/>
              <w:jc w:val="right"/>
            </w:pPr>
            <w:r>
              <w:rPr>
                <w:rFonts w:ascii="Times New Roman" w:hAnsi="Times New Roman"/>
                <w:sz w:val="16"/>
              </w:rPr>
              <w:t>−3,0%</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MA</w:t>
            </w:r>
          </w:p>
        </w:tc>
        <w:tc>
          <w:tcPr>
            <w:tcW w:type="dxa" w:w="1879"/>
          </w:tcPr>
          <w:p>
            <w:pPr>
              <w:pStyle w:val="Compact"/>
              <w:spacing w:line="240" w:lineRule="auto" w:before="20" w:after="20"/>
              <w:ind w:firstLine="0"/>
              <w:jc w:val="left"/>
            </w:pPr>
            <w:r>
              <w:rPr>
                <w:rFonts w:ascii="Times New Roman" w:hAnsi="Times New Roman"/>
                <w:sz w:val="16"/>
              </w:rPr>
              <w:t xml:space="preserve">São Luís</w:t>
            </w:r>
          </w:p>
        </w:tc>
        <w:tc>
          <w:tcPr>
            <w:tcW w:type="dxa" w:w="1360"/>
          </w:tcPr>
          <w:p>
            <w:pPr>
              <w:pStyle w:val="Compact"/>
              <w:spacing w:line="240" w:lineRule="auto" w:before="20" w:after="20"/>
              <w:ind w:firstLine="0"/>
              <w:jc w:val="right"/>
            </w:pPr>
            <w:r>
              <w:rPr>
                <w:rFonts w:ascii="Times New Roman" w:hAnsi="Times New Roman"/>
                <w:sz w:val="16"/>
              </w:rPr>
              <w:t>0,210%</w:t>
            </w:r>
          </w:p>
        </w:tc>
        <w:tc>
          <w:tcPr>
            <w:tcW w:type="dxa" w:w="1101"/>
          </w:tcPr>
          <w:p>
            <w:pPr>
              <w:pStyle w:val="Compact"/>
              <w:spacing w:line="240" w:lineRule="auto" w:before="20" w:after="20"/>
              <w:ind w:firstLine="0"/>
              <w:jc w:val="right"/>
            </w:pPr>
            <w:r>
              <w:rPr>
                <w:rFonts w:ascii="Times New Roman" w:hAnsi="Times New Roman"/>
                <w:sz w:val="16"/>
              </w:rPr>
              <w:t>0,121%</w:t>
            </w:r>
          </w:p>
        </w:tc>
        <w:tc>
          <w:tcPr>
            <w:tcW w:type="dxa" w:w="1749"/>
          </w:tcPr>
          <w:p>
            <w:pPr>
              <w:pStyle w:val="Compact"/>
              <w:spacing w:line="240" w:lineRule="auto" w:before="20" w:after="20"/>
              <w:ind w:firstLine="0"/>
              <w:jc w:val="right"/>
            </w:pPr>
            <w:r>
              <w:rPr>
                <w:rFonts w:ascii="Times New Roman" w:hAnsi="Times New Roman"/>
                <w:sz w:val="16"/>
              </w:rPr>
              <w:t xml:space="preserve">2,53</w:t>
            </w:r>
          </w:p>
        </w:tc>
        <w:tc>
          <w:tcPr>
            <w:tcW w:type="dxa" w:w="1231"/>
          </w:tcPr>
          <w:p>
            <w:pPr>
              <w:pStyle w:val="Compact"/>
              <w:spacing w:line="240" w:lineRule="auto" w:before="20" w:after="20"/>
              <w:ind w:firstLine="0"/>
              <w:jc w:val="right"/>
            </w:pPr>
            <w:r>
              <w:rPr>
                <w:rFonts w:ascii="Times New Roman" w:hAnsi="Times New Roman"/>
                <w:sz w:val="16"/>
              </w:rPr>
              <w:t>2,39</w:t>
            </w:r>
          </w:p>
        </w:tc>
        <w:tc>
          <w:tcPr>
            <w:tcW w:type="dxa" w:w="1231"/>
          </w:tcPr>
          <w:p>
            <w:pPr>
              <w:pStyle w:val="Compact"/>
              <w:spacing w:line="240" w:lineRule="auto" w:before="20" w:after="20"/>
              <w:ind w:firstLine="0"/>
              <w:jc w:val="right"/>
            </w:pPr>
            <w:r>
              <w:rPr>
                <w:rFonts w:ascii="Times New Roman" w:hAnsi="Times New Roman"/>
                <w:sz w:val="16"/>
              </w:rPr>
              <w:t>−5,5%</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ES</w:t>
            </w:r>
          </w:p>
        </w:tc>
        <w:tc>
          <w:tcPr>
            <w:tcW w:type="dxa" w:w="1879"/>
          </w:tcPr>
          <w:p>
            <w:pPr>
              <w:pStyle w:val="Compact"/>
              <w:spacing w:line="240" w:lineRule="auto" w:before="20" w:after="20"/>
              <w:ind w:firstLine="0"/>
              <w:jc w:val="left"/>
            </w:pPr>
            <w:r>
              <w:rPr>
                <w:rFonts w:ascii="Times New Roman" w:hAnsi="Times New Roman"/>
                <w:sz w:val="16"/>
              </w:rPr>
              <w:t xml:space="preserve">Vitória</w:t>
            </w:r>
          </w:p>
        </w:tc>
        <w:tc>
          <w:tcPr>
            <w:tcW w:type="dxa" w:w="1360"/>
          </w:tcPr>
          <w:p>
            <w:pPr>
              <w:pStyle w:val="Compact"/>
              <w:spacing w:line="240" w:lineRule="auto" w:before="20" w:after="20"/>
              <w:ind w:firstLine="0"/>
              <w:jc w:val="right"/>
            </w:pPr>
            <w:r>
              <w:rPr>
                <w:rFonts w:ascii="Times New Roman" w:hAnsi="Times New Roman"/>
                <w:sz w:val="16"/>
              </w:rPr>
              <w:t xml:space="preserve">0,162%</w:t>
            </w:r>
          </w:p>
        </w:tc>
        <w:tc>
          <w:tcPr>
            <w:tcW w:type="dxa" w:w="1101"/>
          </w:tcPr>
          <w:p>
            <w:pPr>
              <w:pStyle w:val="Compact"/>
              <w:spacing w:line="240" w:lineRule="auto" w:before="20" w:after="20"/>
              <w:ind w:firstLine="0"/>
              <w:jc w:val="right"/>
            </w:pPr>
            <w:r>
              <w:rPr>
                <w:rFonts w:ascii="Times New Roman" w:hAnsi="Times New Roman"/>
                <w:sz w:val="16"/>
              </w:rPr>
              <w:t>0,074%</w:t>
            </w:r>
          </w:p>
        </w:tc>
        <w:tc>
          <w:tcPr>
            <w:tcW w:type="dxa" w:w="1749"/>
          </w:tcPr>
          <w:p>
            <w:pPr>
              <w:pStyle w:val="Compact"/>
              <w:spacing w:line="240" w:lineRule="auto" w:before="20" w:after="20"/>
              <w:ind w:firstLine="0"/>
              <w:jc w:val="right"/>
            </w:pPr>
            <w:r>
              <w:rPr>
                <w:rFonts w:ascii="Times New Roman" w:hAnsi="Times New Roman"/>
                <w:sz w:val="16"/>
              </w:rPr>
              <w:t xml:space="preserve">1,96</w:t>
            </w:r>
          </w:p>
        </w:tc>
        <w:tc>
          <w:tcPr>
            <w:tcW w:type="dxa" w:w="1231"/>
          </w:tcPr>
          <w:p>
            <w:pPr>
              <w:pStyle w:val="Compact"/>
              <w:spacing w:line="240" w:lineRule="auto" w:before="20" w:after="20"/>
              <w:ind w:firstLine="0"/>
              <w:jc w:val="right"/>
            </w:pPr>
            <w:r>
              <w:rPr>
                <w:rFonts w:ascii="Times New Roman" w:hAnsi="Times New Roman"/>
                <w:sz w:val="16"/>
              </w:rPr>
              <w:t>2,04</w:t>
            </w:r>
          </w:p>
        </w:tc>
        <w:tc>
          <w:tcPr>
            <w:tcW w:type="dxa" w:w="1231"/>
          </w:tcPr>
          <w:p>
            <w:pPr>
              <w:pStyle w:val="Compact"/>
              <w:spacing w:line="240" w:lineRule="auto" w:before="20" w:after="20"/>
              <w:ind w:firstLine="0"/>
              <w:jc w:val="right"/>
            </w:pPr>
            <w:r>
              <w:rPr>
                <w:rFonts w:ascii="Times New Roman" w:hAnsi="Times New Roman"/>
                <w:sz w:val="16"/>
              </w:rPr>
              <w:t>+3,9%</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MG</w:t>
            </w:r>
          </w:p>
        </w:tc>
        <w:tc>
          <w:tcPr>
            <w:tcW w:type="dxa" w:w="1879"/>
          </w:tcPr>
          <w:p>
            <w:pPr>
              <w:pStyle w:val="Compact"/>
              <w:spacing w:line="240" w:lineRule="auto" w:before="20" w:after="20"/>
              <w:ind w:firstLine="0"/>
              <w:jc w:val="left"/>
            </w:pPr>
            <w:r>
              <w:rPr>
                <w:rFonts w:ascii="Times New Roman" w:hAnsi="Times New Roman"/>
                <w:sz w:val="16"/>
              </w:rPr>
              <w:t xml:space="preserve">Belo Horizonte</w:t>
            </w:r>
          </w:p>
        </w:tc>
        <w:tc>
          <w:tcPr>
            <w:tcW w:type="dxa" w:w="1360"/>
          </w:tcPr>
          <w:p>
            <w:pPr>
              <w:pStyle w:val="Compact"/>
              <w:spacing w:line="240" w:lineRule="auto" w:before="20" w:after="20"/>
              <w:ind w:firstLine="0"/>
              <w:jc w:val="right"/>
            </w:pPr>
            <w:r>
              <w:rPr>
                <w:rFonts w:ascii="Times New Roman" w:hAnsi="Times New Roman"/>
                <w:sz w:val="16"/>
              </w:rPr>
              <w:t>0,432%</w:t>
            </w:r>
          </w:p>
        </w:tc>
        <w:tc>
          <w:tcPr>
            <w:tcW w:type="dxa" w:w="1101"/>
          </w:tcPr>
          <w:p>
            <w:pPr>
              <w:pStyle w:val="Compact"/>
              <w:spacing w:line="240" w:lineRule="auto" w:before="20" w:after="20"/>
              <w:ind w:firstLine="0"/>
              <w:jc w:val="right"/>
            </w:pPr>
            <w:r>
              <w:rPr>
                <w:rFonts w:ascii="Times New Roman" w:hAnsi="Times New Roman"/>
                <w:sz w:val="16"/>
              </w:rPr>
              <w:t>0,475%</w:t>
            </w:r>
          </w:p>
        </w:tc>
        <w:tc>
          <w:tcPr>
            <w:tcW w:type="dxa" w:w="1749"/>
          </w:tcPr>
          <w:p>
            <w:pPr>
              <w:pStyle w:val="Compact"/>
              <w:spacing w:line="240" w:lineRule="auto" w:before="20" w:after="20"/>
              <w:ind w:firstLine="0"/>
              <w:jc w:val="right"/>
            </w:pPr>
            <w:r>
              <w:rPr>
                <w:rFonts w:ascii="Times New Roman" w:hAnsi="Times New Roman"/>
                <w:sz w:val="16"/>
              </w:rPr>
              <w:t xml:space="preserve">5,38</w:t>
            </w:r>
          </w:p>
        </w:tc>
        <w:tc>
          <w:tcPr>
            <w:tcW w:type="dxa" w:w="1231"/>
          </w:tcPr>
          <w:p>
            <w:pPr>
              <w:pStyle w:val="Compact"/>
              <w:spacing w:line="240" w:lineRule="auto" w:before="20" w:after="20"/>
              <w:ind w:firstLine="0"/>
              <w:jc w:val="right"/>
            </w:pPr>
            <w:r>
              <w:rPr>
                <w:rFonts w:ascii="Times New Roman" w:hAnsi="Times New Roman"/>
                <w:sz w:val="16"/>
              </w:rPr>
              <w:t>5,18</w:t>
            </w:r>
          </w:p>
        </w:tc>
        <w:tc>
          <w:tcPr>
            <w:tcW w:type="dxa" w:w="1231"/>
          </w:tcPr>
          <w:p>
            <w:pPr>
              <w:pStyle w:val="Compact"/>
              <w:spacing w:line="240" w:lineRule="auto" w:before="20" w:after="20"/>
              <w:ind w:firstLine="0"/>
              <w:jc w:val="right"/>
            </w:pPr>
            <w:r>
              <w:rPr>
                <w:rFonts w:ascii="Times New Roman" w:hAnsi="Times New Roman"/>
                <w:sz w:val="16"/>
              </w:rPr>
              <w:t>−3,6%</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AL</w:t>
            </w:r>
          </w:p>
        </w:tc>
        <w:tc>
          <w:tcPr>
            <w:tcW w:type="dxa" w:w="1879"/>
          </w:tcPr>
          <w:p>
            <w:pPr>
              <w:pStyle w:val="Compact"/>
              <w:spacing w:line="240" w:lineRule="auto" w:before="20" w:after="20"/>
              <w:ind w:firstLine="0"/>
              <w:jc w:val="left"/>
            </w:pPr>
            <w:r>
              <w:rPr>
                <w:rFonts w:ascii="Times New Roman" w:hAnsi="Times New Roman"/>
                <w:sz w:val="16"/>
              </w:rPr>
              <w:t xml:space="preserve">Maceió</w:t>
            </w:r>
          </w:p>
        </w:tc>
        <w:tc>
          <w:tcPr>
            <w:tcW w:type="dxa" w:w="1360"/>
          </w:tcPr>
          <w:p>
            <w:pPr>
              <w:pStyle w:val="Compact"/>
              <w:spacing w:line="240" w:lineRule="auto" w:before="20" w:after="20"/>
              <w:ind w:firstLine="0"/>
              <w:jc w:val="right"/>
            </w:pPr>
            <w:r>
              <w:rPr>
                <w:rFonts w:ascii="Times New Roman" w:hAnsi="Times New Roman"/>
                <w:sz w:val="16"/>
              </w:rPr>
              <w:t xml:space="preserve">0,096%</w:t>
            </w:r>
          </w:p>
        </w:tc>
        <w:tc>
          <w:tcPr>
            <w:tcW w:type="dxa" w:w="1101"/>
          </w:tcPr>
          <w:p>
            <w:pPr>
              <w:pStyle w:val="Compact"/>
              <w:spacing w:line="240" w:lineRule="auto" w:before="20" w:after="20"/>
              <w:ind w:firstLine="0"/>
              <w:jc w:val="right"/>
            </w:pPr>
            <w:r>
              <w:rPr>
                <w:rFonts w:ascii="Times New Roman" w:hAnsi="Times New Roman"/>
                <w:sz w:val="16"/>
              </w:rPr>
              <w:t>0,111%</w:t>
            </w:r>
          </w:p>
        </w:tc>
        <w:tc>
          <w:tcPr>
            <w:tcW w:type="dxa" w:w="1749"/>
          </w:tcPr>
          <w:p>
            <w:pPr>
              <w:pStyle w:val="Compact"/>
              <w:spacing w:line="240" w:lineRule="auto" w:before="20" w:after="20"/>
              <w:ind w:firstLine="0"/>
              <w:jc w:val="right"/>
            </w:pPr>
            <w:r>
              <w:rPr>
                <w:rFonts w:ascii="Times New Roman" w:hAnsi="Times New Roman"/>
                <w:sz w:val="16"/>
              </w:rPr>
              <w:t xml:space="preserve">1,17</w:t>
            </w:r>
          </w:p>
        </w:tc>
        <w:tc>
          <w:tcPr>
            <w:tcW w:type="dxa" w:w="1231"/>
          </w:tcPr>
          <w:p>
            <w:pPr>
              <w:pStyle w:val="Compact"/>
              <w:spacing w:line="240" w:lineRule="auto" w:before="20" w:after="20"/>
              <w:ind w:firstLine="0"/>
              <w:jc w:val="right"/>
            </w:pPr>
            <w:r>
              <w:rPr>
                <w:rFonts w:ascii="Times New Roman" w:hAnsi="Times New Roman"/>
                <w:sz w:val="16"/>
              </w:rPr>
              <w:t>1,16</w:t>
            </w:r>
          </w:p>
        </w:tc>
        <w:tc>
          <w:tcPr>
            <w:tcW w:type="dxa" w:w="1231"/>
          </w:tcPr>
          <w:p>
            <w:pPr>
              <w:pStyle w:val="Compact"/>
              <w:spacing w:line="240" w:lineRule="auto" w:before="20" w:after="20"/>
              <w:ind w:firstLine="0"/>
              <w:jc w:val="right"/>
            </w:pPr>
            <w:r>
              <w:rPr>
                <w:rFonts w:ascii="Times New Roman" w:hAnsi="Times New Roman"/>
                <w:sz w:val="16"/>
              </w:rPr>
              <w:t>−1,2%</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GO</w:t>
            </w:r>
          </w:p>
        </w:tc>
        <w:tc>
          <w:tcPr>
            <w:tcW w:type="dxa" w:w="1879"/>
          </w:tcPr>
          <w:p>
            <w:pPr>
              <w:pStyle w:val="Compact"/>
              <w:spacing w:line="240" w:lineRule="auto" w:before="20" w:after="20"/>
              <w:ind w:firstLine="0"/>
              <w:jc w:val="left"/>
            </w:pPr>
            <w:r>
              <w:rPr>
                <w:rFonts w:ascii="Times New Roman" w:hAnsi="Times New Roman"/>
                <w:sz w:val="16"/>
              </w:rPr>
              <w:t xml:space="preserve">Goiânia</w:t>
            </w:r>
          </w:p>
        </w:tc>
        <w:tc>
          <w:tcPr>
            <w:tcW w:type="dxa" w:w="1360"/>
          </w:tcPr>
          <w:p>
            <w:pPr>
              <w:pStyle w:val="Compact"/>
              <w:spacing w:line="240" w:lineRule="auto" w:before="20" w:after="20"/>
              <w:ind w:firstLine="0"/>
              <w:jc w:val="right"/>
            </w:pPr>
            <w:r>
              <w:rPr>
                <w:rFonts w:ascii="Times New Roman" w:hAnsi="Times New Roman"/>
                <w:sz w:val="16"/>
              </w:rPr>
              <w:t>0,238%</w:t>
            </w:r>
          </w:p>
        </w:tc>
        <w:tc>
          <w:tcPr>
            <w:tcW w:type="dxa" w:w="1101"/>
          </w:tcPr>
          <w:p>
            <w:pPr>
              <w:pStyle w:val="Compact"/>
              <w:spacing w:line="240" w:lineRule="auto" w:before="20" w:after="20"/>
              <w:ind w:firstLine="0"/>
              <w:jc w:val="right"/>
            </w:pPr>
            <w:r>
              <w:rPr>
                <w:rFonts w:ascii="Times New Roman" w:hAnsi="Times New Roman"/>
                <w:sz w:val="16"/>
              </w:rPr>
              <w:t>0,285%</w:t>
            </w:r>
          </w:p>
        </w:tc>
        <w:tc>
          <w:tcPr>
            <w:tcW w:type="dxa" w:w="1749"/>
          </w:tcPr>
          <w:p>
            <w:pPr>
              <w:pStyle w:val="Compact"/>
              <w:spacing w:line="240" w:lineRule="auto" w:before="20" w:after="20"/>
              <w:ind w:firstLine="0"/>
              <w:jc w:val="right"/>
            </w:pPr>
            <w:r>
              <w:rPr>
                <w:rFonts w:ascii="Times New Roman" w:hAnsi="Times New Roman"/>
                <w:sz w:val="16"/>
              </w:rPr>
              <w:t xml:space="preserve">2,96</w:t>
            </w:r>
          </w:p>
        </w:tc>
        <w:tc>
          <w:tcPr>
            <w:tcW w:type="dxa" w:w="1231"/>
          </w:tcPr>
          <w:p>
            <w:pPr>
              <w:pStyle w:val="Compact"/>
              <w:spacing w:line="240" w:lineRule="auto" w:before="20" w:after="20"/>
              <w:ind w:firstLine="0"/>
              <w:jc w:val="right"/>
            </w:pPr>
            <w:r>
              <w:rPr>
                <w:rFonts w:ascii="Times New Roman" w:hAnsi="Times New Roman"/>
                <w:sz w:val="16"/>
              </w:rPr>
              <w:t>2,89</w:t>
            </w:r>
          </w:p>
        </w:tc>
        <w:tc>
          <w:tcPr>
            <w:tcW w:type="dxa" w:w="1231"/>
          </w:tcPr>
          <w:p>
            <w:pPr>
              <w:pStyle w:val="Compact"/>
              <w:spacing w:line="240" w:lineRule="auto" w:before="20" w:after="20"/>
              <w:ind w:firstLine="0"/>
              <w:jc w:val="right"/>
            </w:pPr>
            <w:r>
              <w:rPr>
                <w:rFonts w:ascii="Times New Roman" w:hAnsi="Times New Roman"/>
                <w:sz w:val="16"/>
              </w:rPr>
              <w:t>−2,5%</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BA</w:t>
            </w:r>
          </w:p>
        </w:tc>
        <w:tc>
          <w:tcPr>
            <w:tcW w:type="dxa" w:w="1879"/>
          </w:tcPr>
          <w:p>
            <w:pPr>
              <w:pStyle w:val="Compact"/>
              <w:spacing w:line="240" w:lineRule="auto" w:before="20" w:after="20"/>
              <w:ind w:firstLine="0"/>
              <w:jc w:val="left"/>
            </w:pPr>
            <w:r>
              <w:rPr>
                <w:rFonts w:ascii="Times New Roman" w:hAnsi="Times New Roman"/>
                <w:sz w:val="16"/>
              </w:rPr>
              <w:t xml:space="preserve">Salvador</w:t>
            </w:r>
          </w:p>
        </w:tc>
        <w:tc>
          <w:tcPr>
            <w:tcW w:type="dxa" w:w="1360"/>
          </w:tcPr>
          <w:p>
            <w:pPr>
              <w:pStyle w:val="Compact"/>
              <w:spacing w:line="240" w:lineRule="auto" w:before="20" w:after="20"/>
              <w:ind w:firstLine="0"/>
              <w:jc w:val="right"/>
            </w:pPr>
            <w:r>
              <w:rPr>
                <w:rFonts w:ascii="Times New Roman" w:hAnsi="Times New Roman"/>
                <w:sz w:val="16"/>
              </w:rPr>
              <w:t>0,320%</w:t>
            </w:r>
          </w:p>
        </w:tc>
        <w:tc>
          <w:tcPr>
            <w:tcW w:type="dxa" w:w="1101"/>
          </w:tcPr>
          <w:p>
            <w:pPr>
              <w:pStyle w:val="Compact"/>
              <w:spacing w:line="240" w:lineRule="auto" w:before="20" w:after="20"/>
              <w:ind w:firstLine="0"/>
              <w:jc w:val="right"/>
            </w:pPr>
            <w:r>
              <w:rPr>
                <w:rFonts w:ascii="Times New Roman" w:hAnsi="Times New Roman"/>
                <w:sz w:val="16"/>
              </w:rPr>
              <w:t>0,382%</w:t>
            </w:r>
          </w:p>
        </w:tc>
        <w:tc>
          <w:tcPr>
            <w:tcW w:type="dxa" w:w="1749"/>
          </w:tcPr>
          <w:p>
            <w:pPr>
              <w:pStyle w:val="Compact"/>
              <w:spacing w:line="240" w:lineRule="auto" w:before="20" w:after="20"/>
              <w:ind w:firstLine="0"/>
              <w:jc w:val="right"/>
            </w:pPr>
            <w:r>
              <w:rPr>
                <w:rFonts w:ascii="Times New Roman" w:hAnsi="Times New Roman"/>
                <w:sz w:val="16"/>
              </w:rPr>
              <w:t xml:space="preserve">3,99</w:t>
            </w:r>
          </w:p>
        </w:tc>
        <w:tc>
          <w:tcPr>
            <w:tcW w:type="dxa" w:w="1231"/>
          </w:tcPr>
          <w:p>
            <w:pPr>
              <w:pStyle w:val="Compact"/>
              <w:spacing w:line="240" w:lineRule="auto" w:before="20" w:after="20"/>
              <w:ind w:firstLine="0"/>
              <w:jc w:val="right"/>
            </w:pPr>
            <w:r>
              <w:rPr>
                <w:rFonts w:ascii="Times New Roman" w:hAnsi="Times New Roman"/>
                <w:sz w:val="16"/>
              </w:rPr>
              <w:t>3,88</w:t>
            </w:r>
          </w:p>
        </w:tc>
        <w:tc>
          <w:tcPr>
            <w:tcW w:type="dxa" w:w="1231"/>
          </w:tcPr>
          <w:p>
            <w:pPr>
              <w:pStyle w:val="Compact"/>
              <w:spacing w:line="240" w:lineRule="auto" w:before="20" w:after="20"/>
              <w:ind w:firstLine="0"/>
              <w:jc w:val="right"/>
            </w:pPr>
            <w:r>
              <w:rPr>
                <w:rFonts w:ascii="Times New Roman" w:hAnsi="Times New Roman"/>
                <w:sz w:val="16"/>
              </w:rPr>
              <w:t>−2,7%</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AC</w:t>
            </w:r>
          </w:p>
        </w:tc>
        <w:tc>
          <w:tcPr>
            <w:tcW w:type="dxa" w:w="1879"/>
          </w:tcPr>
          <w:p>
            <w:pPr>
              <w:pStyle w:val="Compact"/>
              <w:spacing w:line="240" w:lineRule="auto" w:before="20" w:after="20"/>
              <w:ind w:firstLine="0"/>
              <w:jc w:val="left"/>
            </w:pPr>
            <w:r>
              <w:rPr>
                <w:rFonts w:ascii="Times New Roman" w:hAnsi="Times New Roman"/>
                <w:sz w:val="16"/>
              </w:rPr>
              <w:t xml:space="preserve">Rio Branco</w:t>
            </w:r>
          </w:p>
        </w:tc>
        <w:tc>
          <w:tcPr>
            <w:tcW w:type="dxa" w:w="1360"/>
          </w:tcPr>
          <w:p>
            <w:pPr>
              <w:pStyle w:val="Compact"/>
              <w:spacing w:line="240" w:lineRule="auto" w:before="20" w:after="20"/>
              <w:ind w:firstLine="0"/>
              <w:jc w:val="right"/>
            </w:pPr>
            <w:r>
              <w:rPr>
                <w:rFonts w:ascii="Times New Roman" w:hAnsi="Times New Roman"/>
                <w:sz w:val="16"/>
              </w:rPr>
              <w:t xml:space="preserve">0,041%</w:t>
            </w:r>
          </w:p>
        </w:tc>
        <w:tc>
          <w:tcPr>
            <w:tcW w:type="dxa" w:w="1101"/>
          </w:tcPr>
          <w:p>
            <w:pPr>
              <w:pStyle w:val="Compact"/>
              <w:spacing w:line="240" w:lineRule="auto" w:before="20" w:after="20"/>
              <w:ind w:firstLine="0"/>
              <w:jc w:val="right"/>
            </w:pPr>
            <w:r>
              <w:rPr>
                <w:rFonts w:ascii="Times New Roman" w:hAnsi="Times New Roman"/>
                <w:sz w:val="16"/>
              </w:rPr>
              <w:t>0,052%</w:t>
            </w:r>
          </w:p>
        </w:tc>
        <w:tc>
          <w:tcPr>
            <w:tcW w:type="dxa" w:w="1749"/>
          </w:tcPr>
          <w:p>
            <w:pPr>
              <w:pStyle w:val="Compact"/>
              <w:spacing w:line="240" w:lineRule="auto" w:before="20" w:after="20"/>
              <w:ind w:firstLine="0"/>
              <w:jc w:val="right"/>
            </w:pPr>
            <w:r>
              <w:rPr>
                <w:rFonts w:ascii="Times New Roman" w:hAnsi="Times New Roman"/>
                <w:sz w:val="16"/>
              </w:rPr>
              <w:t xml:space="preserve">0,50</w:t>
            </w:r>
          </w:p>
        </w:tc>
        <w:tc>
          <w:tcPr>
            <w:tcW w:type="dxa" w:w="1231"/>
          </w:tcPr>
          <w:p>
            <w:pPr>
              <w:pStyle w:val="Compact"/>
              <w:spacing w:line="240" w:lineRule="auto" w:before="20" w:after="20"/>
              <w:ind w:firstLine="0"/>
              <w:jc w:val="right"/>
            </w:pPr>
            <w:r>
              <w:rPr>
                <w:rFonts w:ascii="Times New Roman" w:hAnsi="Times New Roman"/>
                <w:sz w:val="16"/>
              </w:rPr>
              <w:t xml:space="preserve">0,50</w:t>
            </w:r>
          </w:p>
        </w:tc>
        <w:tc>
          <w:tcPr>
            <w:tcW w:type="dxa" w:w="1231"/>
          </w:tcPr>
          <w:p>
            <w:pPr>
              <w:pStyle w:val="Compact"/>
              <w:spacing w:line="240" w:lineRule="auto" w:before="20" w:after="20"/>
              <w:ind w:firstLine="0"/>
              <w:jc w:val="right"/>
            </w:pPr>
            <w:r>
              <w:rPr>
                <w:rFonts w:ascii="Times New Roman" w:hAnsi="Times New Roman"/>
                <w:sz w:val="16"/>
              </w:rPr>
              <w:t>+0,2%</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SE</w:t>
            </w:r>
          </w:p>
        </w:tc>
        <w:tc>
          <w:tcPr>
            <w:tcW w:type="dxa" w:w="1879"/>
          </w:tcPr>
          <w:p>
            <w:pPr>
              <w:pStyle w:val="Compact"/>
              <w:spacing w:line="240" w:lineRule="auto" w:before="20" w:after="20"/>
              <w:ind w:firstLine="0"/>
              <w:jc w:val="left"/>
            </w:pPr>
            <w:r>
              <w:rPr>
                <w:rFonts w:ascii="Times New Roman" w:hAnsi="Times New Roman"/>
                <w:sz w:val="16"/>
              </w:rPr>
              <w:t xml:space="preserve">Aracaju</w:t>
            </w:r>
          </w:p>
        </w:tc>
        <w:tc>
          <w:tcPr>
            <w:tcW w:type="dxa" w:w="1360"/>
          </w:tcPr>
          <w:p>
            <w:pPr>
              <w:pStyle w:val="Compact"/>
              <w:spacing w:line="240" w:lineRule="auto" w:before="20" w:after="20"/>
              <w:ind w:firstLine="0"/>
              <w:jc w:val="right"/>
            </w:pPr>
            <w:r>
              <w:rPr>
                <w:rFonts w:ascii="Times New Roman" w:hAnsi="Times New Roman"/>
                <w:sz w:val="16"/>
              </w:rPr>
              <w:t xml:space="preserve">0,090%</w:t>
            </w:r>
          </w:p>
        </w:tc>
        <w:tc>
          <w:tcPr>
            <w:tcW w:type="dxa" w:w="1101"/>
          </w:tcPr>
          <w:p>
            <w:pPr>
              <w:pStyle w:val="Compact"/>
              <w:spacing w:line="240" w:lineRule="auto" w:before="20" w:after="20"/>
              <w:ind w:firstLine="0"/>
              <w:jc w:val="right"/>
            </w:pPr>
            <w:r>
              <w:rPr>
                <w:rFonts w:ascii="Times New Roman" w:hAnsi="Times New Roman"/>
                <w:sz w:val="16"/>
              </w:rPr>
              <w:t>0,108%</w:t>
            </w:r>
          </w:p>
        </w:tc>
        <w:tc>
          <w:tcPr>
            <w:tcW w:type="dxa" w:w="1749"/>
          </w:tcPr>
          <w:p>
            <w:pPr>
              <w:pStyle w:val="Compact"/>
              <w:spacing w:line="240" w:lineRule="auto" w:before="20" w:after="20"/>
              <w:ind w:firstLine="0"/>
              <w:jc w:val="right"/>
            </w:pPr>
            <w:r>
              <w:rPr>
                <w:rFonts w:ascii="Times New Roman" w:hAnsi="Times New Roman"/>
                <w:sz w:val="16"/>
              </w:rPr>
              <w:t xml:space="preserve">1,09</w:t>
            </w:r>
          </w:p>
        </w:tc>
        <w:tc>
          <w:tcPr>
            <w:tcW w:type="dxa" w:w="1231"/>
          </w:tcPr>
          <w:p>
            <w:pPr>
              <w:pStyle w:val="Compact"/>
              <w:spacing w:line="240" w:lineRule="auto" w:before="20" w:after="20"/>
              <w:ind w:firstLine="0"/>
              <w:jc w:val="right"/>
            </w:pPr>
            <w:r>
              <w:rPr>
                <w:rFonts w:ascii="Times New Roman" w:hAnsi="Times New Roman"/>
                <w:sz w:val="16"/>
              </w:rPr>
              <w:t>1,09</w:t>
            </w:r>
          </w:p>
        </w:tc>
        <w:tc>
          <w:tcPr>
            <w:tcW w:type="dxa" w:w="1231"/>
          </w:tcPr>
          <w:p>
            <w:pPr>
              <w:pStyle w:val="Compact"/>
              <w:spacing w:line="240" w:lineRule="auto" w:before="20" w:after="20"/>
              <w:ind w:firstLine="0"/>
              <w:jc w:val="right"/>
            </w:pPr>
            <w:r>
              <w:rPr>
                <w:rFonts w:ascii="Times New Roman" w:hAnsi="Times New Roman"/>
                <w:sz w:val="16"/>
              </w:rPr>
              <w:t>+0,1%</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PE</w:t>
            </w:r>
          </w:p>
        </w:tc>
        <w:tc>
          <w:tcPr>
            <w:tcW w:type="dxa" w:w="1879"/>
          </w:tcPr>
          <w:p>
            <w:pPr>
              <w:pStyle w:val="Compact"/>
              <w:spacing w:line="240" w:lineRule="auto" w:before="20" w:after="20"/>
              <w:ind w:firstLine="0"/>
              <w:jc w:val="left"/>
            </w:pPr>
            <w:r>
              <w:rPr>
                <w:rFonts w:ascii="Times New Roman" w:hAnsi="Times New Roman"/>
                <w:sz w:val="16"/>
              </w:rPr>
              <w:t xml:space="preserve">Recife</w:t>
            </w:r>
          </w:p>
        </w:tc>
        <w:tc>
          <w:tcPr>
            <w:tcW w:type="dxa" w:w="1360"/>
          </w:tcPr>
          <w:p>
            <w:pPr>
              <w:pStyle w:val="Compact"/>
              <w:spacing w:line="240" w:lineRule="auto" w:before="20" w:after="20"/>
              <w:ind w:firstLine="0"/>
              <w:jc w:val="right"/>
            </w:pPr>
            <w:r>
              <w:rPr>
                <w:rFonts w:ascii="Times New Roman" w:hAnsi="Times New Roman"/>
                <w:sz w:val="16"/>
              </w:rPr>
              <w:t>0,275%</w:t>
            </w:r>
          </w:p>
        </w:tc>
        <w:tc>
          <w:tcPr>
            <w:tcW w:type="dxa" w:w="1101"/>
          </w:tcPr>
          <w:p>
            <w:pPr>
              <w:pStyle w:val="Compact"/>
              <w:spacing w:line="240" w:lineRule="auto" w:before="20" w:after="20"/>
              <w:ind w:firstLine="0"/>
              <w:jc w:val="right"/>
            </w:pPr>
            <w:r>
              <w:rPr>
                <w:rFonts w:ascii="Times New Roman" w:hAnsi="Times New Roman"/>
                <w:sz w:val="16"/>
              </w:rPr>
              <w:t>0,236%</w:t>
            </w:r>
          </w:p>
        </w:tc>
        <w:tc>
          <w:tcPr>
            <w:tcW w:type="dxa" w:w="1749"/>
          </w:tcPr>
          <w:p>
            <w:pPr>
              <w:pStyle w:val="Compact"/>
              <w:spacing w:line="240" w:lineRule="auto" w:before="20" w:after="20"/>
              <w:ind w:firstLine="0"/>
              <w:jc w:val="right"/>
            </w:pPr>
            <w:r>
              <w:rPr>
                <w:rFonts w:ascii="Times New Roman" w:hAnsi="Times New Roman"/>
                <w:sz w:val="16"/>
              </w:rPr>
              <w:t xml:space="preserve">3,22</w:t>
            </w:r>
          </w:p>
        </w:tc>
        <w:tc>
          <w:tcPr>
            <w:tcW w:type="dxa" w:w="1231"/>
          </w:tcPr>
          <w:p>
            <w:pPr>
              <w:pStyle w:val="Compact"/>
              <w:spacing w:line="240" w:lineRule="auto" w:before="20" w:after="20"/>
              <w:ind w:firstLine="0"/>
              <w:jc w:val="right"/>
            </w:pPr>
            <w:r>
              <w:rPr>
                <w:rFonts w:ascii="Times New Roman" w:hAnsi="Times New Roman"/>
                <w:sz w:val="16"/>
              </w:rPr>
              <w:t>3,23</w:t>
            </w:r>
          </w:p>
        </w:tc>
        <w:tc>
          <w:tcPr>
            <w:tcW w:type="dxa" w:w="1231"/>
          </w:tcPr>
          <w:p>
            <w:pPr>
              <w:pStyle w:val="Compact"/>
              <w:spacing w:line="240" w:lineRule="auto" w:before="20" w:after="20"/>
              <w:ind w:firstLine="0"/>
              <w:jc w:val="right"/>
            </w:pPr>
            <w:r>
              <w:rPr>
                <w:rFonts w:ascii="Times New Roman" w:hAnsi="Times New Roman"/>
                <w:sz w:val="16"/>
              </w:rPr>
              <w:t>+0,4%</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CE</w:t>
            </w:r>
          </w:p>
        </w:tc>
        <w:tc>
          <w:tcPr>
            <w:tcW w:type="dxa" w:w="1879"/>
          </w:tcPr>
          <w:p>
            <w:pPr>
              <w:pStyle w:val="Compact"/>
              <w:spacing w:line="240" w:lineRule="auto" w:before="20" w:after="20"/>
              <w:ind w:firstLine="0"/>
              <w:jc w:val="left"/>
            </w:pPr>
            <w:r>
              <w:rPr>
                <w:rFonts w:ascii="Times New Roman" w:hAnsi="Times New Roman"/>
                <w:sz w:val="16"/>
              </w:rPr>
              <w:t xml:space="preserve">Fortaleza</w:t>
            </w:r>
          </w:p>
        </w:tc>
        <w:tc>
          <w:tcPr>
            <w:tcW w:type="dxa" w:w="1360"/>
          </w:tcPr>
          <w:p>
            <w:pPr>
              <w:pStyle w:val="Compact"/>
              <w:spacing w:line="240" w:lineRule="auto" w:before="20" w:after="20"/>
              <w:ind w:firstLine="0"/>
              <w:jc w:val="right"/>
            </w:pPr>
            <w:r>
              <w:rPr>
                <w:rFonts w:ascii="Times New Roman" w:hAnsi="Times New Roman"/>
                <w:sz w:val="16"/>
              </w:rPr>
              <w:t>0,312%</w:t>
            </w:r>
          </w:p>
        </w:tc>
        <w:tc>
          <w:tcPr>
            <w:tcW w:type="dxa" w:w="1101"/>
          </w:tcPr>
          <w:p>
            <w:pPr>
              <w:pStyle w:val="Compact"/>
              <w:spacing w:line="240" w:lineRule="auto" w:before="20" w:after="20"/>
              <w:ind w:firstLine="0"/>
              <w:jc w:val="right"/>
            </w:pPr>
            <w:r>
              <w:rPr>
                <w:rFonts w:ascii="Times New Roman" w:hAnsi="Times New Roman"/>
                <w:sz w:val="16"/>
              </w:rPr>
              <w:t>0,296%</w:t>
            </w:r>
          </w:p>
        </w:tc>
        <w:tc>
          <w:tcPr>
            <w:tcW w:type="dxa" w:w="1749"/>
          </w:tcPr>
          <w:p>
            <w:pPr>
              <w:pStyle w:val="Compact"/>
              <w:spacing w:line="240" w:lineRule="auto" w:before="20" w:after="20"/>
              <w:ind w:firstLine="0"/>
              <w:jc w:val="right"/>
            </w:pPr>
            <w:r>
              <w:rPr>
                <w:rFonts w:ascii="Times New Roman" w:hAnsi="Times New Roman"/>
                <w:sz w:val="16"/>
              </w:rPr>
              <w:t xml:space="preserve">3,65</w:t>
            </w:r>
          </w:p>
        </w:tc>
        <w:tc>
          <w:tcPr>
            <w:tcW w:type="dxa" w:w="1231"/>
          </w:tcPr>
          <w:p>
            <w:pPr>
              <w:pStyle w:val="Compact"/>
              <w:spacing w:line="240" w:lineRule="auto" w:before="20" w:after="20"/>
              <w:ind w:firstLine="0"/>
              <w:jc w:val="right"/>
            </w:pPr>
            <w:r>
              <w:rPr>
                <w:rFonts w:ascii="Times New Roman" w:hAnsi="Times New Roman"/>
                <w:sz w:val="16"/>
              </w:rPr>
              <w:t>3,70</w:t>
            </w:r>
          </w:p>
        </w:tc>
        <w:tc>
          <w:tcPr>
            <w:tcW w:type="dxa" w:w="1231"/>
          </w:tcPr>
          <w:p>
            <w:pPr>
              <w:pStyle w:val="Compact"/>
              <w:spacing w:line="240" w:lineRule="auto" w:before="20" w:after="20"/>
              <w:ind w:firstLine="0"/>
              <w:jc w:val="right"/>
            </w:pPr>
            <w:r>
              <w:rPr>
                <w:rFonts w:ascii="Times New Roman" w:hAnsi="Times New Roman"/>
                <w:sz w:val="16"/>
              </w:rPr>
              <w:t>+1,2%</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RJ</w:t>
            </w:r>
          </w:p>
        </w:tc>
        <w:tc>
          <w:tcPr>
            <w:tcW w:type="dxa" w:w="1879"/>
          </w:tcPr>
          <w:p>
            <w:pPr>
              <w:pStyle w:val="Compact"/>
              <w:spacing w:line="240" w:lineRule="auto" w:before="20" w:after="20"/>
              <w:ind w:firstLine="0"/>
              <w:jc w:val="left"/>
            </w:pPr>
            <w:r>
              <w:rPr>
                <w:rFonts w:ascii="Times New Roman" w:hAnsi="Times New Roman"/>
                <w:sz w:val="16"/>
              </w:rPr>
              <w:t xml:space="preserve">Rio de Janeiro</w:t>
            </w:r>
          </w:p>
        </w:tc>
        <w:tc>
          <w:tcPr>
            <w:tcW w:type="dxa" w:w="1360"/>
          </w:tcPr>
          <w:p>
            <w:pPr>
              <w:pStyle w:val="Compact"/>
              <w:spacing w:line="240" w:lineRule="auto" w:before="20" w:after="20"/>
              <w:ind w:firstLine="0"/>
              <w:jc w:val="right"/>
            </w:pPr>
            <w:r>
              <w:rPr>
                <w:rFonts w:ascii="Times New Roman" w:hAnsi="Times New Roman"/>
                <w:sz w:val="16"/>
              </w:rPr>
              <w:t>1,283%</w:t>
            </w:r>
          </w:p>
        </w:tc>
        <w:tc>
          <w:tcPr>
            <w:tcW w:type="dxa" w:w="1101"/>
          </w:tcPr>
          <w:p>
            <w:pPr>
              <w:pStyle w:val="Compact"/>
              <w:spacing w:line="240" w:lineRule="auto" w:before="20" w:after="20"/>
              <w:ind w:firstLine="0"/>
              <w:jc w:val="right"/>
            </w:pPr>
            <w:r>
              <w:rPr>
                <w:rFonts w:ascii="Times New Roman" w:hAnsi="Times New Roman"/>
                <w:sz w:val="16"/>
              </w:rPr>
              <w:t>1,074%</w:t>
            </w:r>
          </w:p>
        </w:tc>
        <w:tc>
          <w:tcPr>
            <w:tcW w:type="dxa" w:w="1749"/>
          </w:tcPr>
          <w:p>
            <w:pPr>
              <w:pStyle w:val="Compact"/>
              <w:spacing w:line="240" w:lineRule="auto" w:before="20" w:after="20"/>
              <w:ind w:firstLine="0"/>
              <w:jc w:val="right"/>
            </w:pPr>
            <w:r>
              <w:rPr>
                <w:rFonts w:ascii="Times New Roman" w:hAnsi="Times New Roman"/>
                <w:sz w:val="16"/>
              </w:rPr>
              <w:t xml:space="preserve">14,79</w:t>
            </w:r>
          </w:p>
        </w:tc>
        <w:tc>
          <w:tcPr>
            <w:tcW w:type="dxa" w:w="1231"/>
          </w:tcPr>
          <w:p>
            <w:pPr>
              <w:pStyle w:val="Compact"/>
              <w:spacing w:line="240" w:lineRule="auto" w:before="20" w:after="20"/>
              <w:ind w:firstLine="0"/>
              <w:jc w:val="right"/>
            </w:pPr>
            <w:r>
              <w:rPr>
                <w:rFonts w:ascii="Times New Roman" w:hAnsi="Times New Roman"/>
                <w:sz w:val="16"/>
              </w:rPr>
              <w:t>15,02</w:t>
            </w:r>
          </w:p>
        </w:tc>
        <w:tc>
          <w:tcPr>
            <w:tcW w:type="dxa" w:w="1231"/>
          </w:tcPr>
          <w:p>
            <w:pPr>
              <w:pStyle w:val="Compact"/>
              <w:spacing w:line="240" w:lineRule="auto" w:before="20" w:after="20"/>
              <w:ind w:firstLine="0"/>
              <w:jc w:val="right"/>
            </w:pPr>
            <w:r>
              <w:rPr>
                <w:rFonts w:ascii="Times New Roman" w:hAnsi="Times New Roman"/>
                <w:sz w:val="16"/>
              </w:rPr>
              <w:t>+1,6%</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RO</w:t>
            </w:r>
          </w:p>
        </w:tc>
        <w:tc>
          <w:tcPr>
            <w:tcW w:type="dxa" w:w="1879"/>
          </w:tcPr>
          <w:p>
            <w:pPr>
              <w:pStyle w:val="Compact"/>
              <w:spacing w:line="240" w:lineRule="auto" w:before="20" w:after="20"/>
              <w:ind w:firstLine="0"/>
              <w:jc w:val="left"/>
            </w:pPr>
            <w:r>
              <w:rPr>
                <w:rFonts w:ascii="Times New Roman" w:hAnsi="Times New Roman"/>
                <w:sz w:val="16"/>
              </w:rPr>
              <w:t xml:space="preserve">Porto Velho</w:t>
            </w:r>
          </w:p>
        </w:tc>
        <w:tc>
          <w:tcPr>
            <w:tcW w:type="dxa" w:w="1360"/>
          </w:tcPr>
          <w:p>
            <w:pPr>
              <w:pStyle w:val="Compact"/>
              <w:spacing w:line="240" w:lineRule="auto" w:before="20" w:after="20"/>
              <w:ind w:firstLine="0"/>
              <w:jc w:val="right"/>
            </w:pPr>
            <w:r>
              <w:rPr>
                <w:rFonts w:ascii="Times New Roman" w:hAnsi="Times New Roman"/>
                <w:sz w:val="16"/>
              </w:rPr>
              <w:t xml:space="preserve">0,073%</w:t>
            </w:r>
          </w:p>
        </w:tc>
        <w:tc>
          <w:tcPr>
            <w:tcW w:type="dxa" w:w="1101"/>
          </w:tcPr>
          <w:p>
            <w:pPr>
              <w:pStyle w:val="Compact"/>
              <w:spacing w:line="240" w:lineRule="auto" w:before="20" w:after="20"/>
              <w:ind w:firstLine="0"/>
              <w:jc w:val="right"/>
            </w:pPr>
            <w:r>
              <w:rPr>
                <w:rFonts w:ascii="Times New Roman" w:hAnsi="Times New Roman"/>
                <w:sz w:val="16"/>
              </w:rPr>
              <w:t>0,062%</w:t>
            </w:r>
          </w:p>
        </w:tc>
        <w:tc>
          <w:tcPr>
            <w:tcW w:type="dxa" w:w="1749"/>
          </w:tcPr>
          <w:p>
            <w:pPr>
              <w:pStyle w:val="Compact"/>
              <w:spacing w:line="240" w:lineRule="auto" w:before="20" w:after="20"/>
              <w:ind w:firstLine="0"/>
              <w:jc w:val="right"/>
            </w:pPr>
            <w:r>
              <w:rPr>
                <w:rFonts w:ascii="Times New Roman" w:hAnsi="Times New Roman"/>
                <w:sz w:val="16"/>
              </w:rPr>
              <w:t xml:space="preserve">0,82</w:t>
            </w:r>
          </w:p>
        </w:tc>
        <w:tc>
          <w:tcPr>
            <w:tcW w:type="dxa" w:w="1231"/>
          </w:tcPr>
          <w:p>
            <w:pPr>
              <w:pStyle w:val="Compact"/>
              <w:spacing w:line="240" w:lineRule="auto" w:before="20" w:after="20"/>
              <w:ind w:firstLine="0"/>
              <w:jc w:val="right"/>
            </w:pPr>
            <w:r>
              <w:rPr>
                <w:rFonts w:ascii="Times New Roman" w:hAnsi="Times New Roman"/>
                <w:sz w:val="16"/>
              </w:rPr>
              <w:t>0,85</w:t>
            </w:r>
          </w:p>
        </w:tc>
        <w:tc>
          <w:tcPr>
            <w:tcW w:type="dxa" w:w="1231"/>
          </w:tcPr>
          <w:p>
            <w:pPr>
              <w:pStyle w:val="Compact"/>
              <w:spacing w:line="240" w:lineRule="auto" w:before="20" w:after="20"/>
              <w:ind w:firstLine="0"/>
              <w:jc w:val="right"/>
            </w:pPr>
            <w:r>
              <w:rPr>
                <w:rFonts w:ascii="Times New Roman" w:hAnsi="Times New Roman"/>
                <w:sz w:val="16"/>
              </w:rPr>
              <w:t>+4,3%</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MS</w:t>
            </w:r>
          </w:p>
        </w:tc>
        <w:tc>
          <w:tcPr>
            <w:tcW w:type="dxa" w:w="1879"/>
          </w:tcPr>
          <w:p>
            <w:pPr>
              <w:pStyle w:val="Compact"/>
              <w:spacing w:line="240" w:lineRule="auto" w:before="20" w:after="20"/>
              <w:ind w:firstLine="0"/>
              <w:jc w:val="left"/>
            </w:pPr>
            <w:r>
              <w:rPr>
                <w:rFonts w:ascii="Times New Roman" w:hAnsi="Times New Roman"/>
                <w:sz w:val="16"/>
              </w:rPr>
              <w:t xml:space="preserve">Campo Grande</w:t>
            </w:r>
          </w:p>
        </w:tc>
        <w:tc>
          <w:tcPr>
            <w:tcW w:type="dxa" w:w="1360"/>
          </w:tcPr>
          <w:p>
            <w:pPr>
              <w:pStyle w:val="Compact"/>
              <w:spacing w:line="240" w:lineRule="auto" w:before="20" w:after="20"/>
              <w:ind w:firstLine="0"/>
              <w:jc w:val="right"/>
            </w:pPr>
            <w:r>
              <w:rPr>
                <w:rFonts w:ascii="Times New Roman" w:hAnsi="Times New Roman"/>
                <w:sz w:val="16"/>
              </w:rPr>
              <w:t>0,131%</w:t>
            </w:r>
          </w:p>
        </w:tc>
        <w:tc>
          <w:tcPr>
            <w:tcW w:type="dxa" w:w="1101"/>
          </w:tcPr>
          <w:p>
            <w:pPr>
              <w:pStyle w:val="Compact"/>
              <w:spacing w:line="240" w:lineRule="auto" w:before="20" w:after="20"/>
              <w:ind w:firstLine="0"/>
              <w:jc w:val="right"/>
            </w:pPr>
            <w:r>
              <w:rPr>
                <w:rFonts w:ascii="Times New Roman" w:hAnsi="Times New Roman"/>
                <w:sz w:val="16"/>
              </w:rPr>
              <w:t>0,179%</w:t>
            </w:r>
          </w:p>
        </w:tc>
        <w:tc>
          <w:tcPr>
            <w:tcW w:type="dxa" w:w="1749"/>
          </w:tcPr>
          <w:p>
            <w:pPr>
              <w:pStyle w:val="Compact"/>
              <w:spacing w:line="240" w:lineRule="auto" w:before="20" w:after="20"/>
              <w:ind w:firstLine="0"/>
              <w:jc w:val="right"/>
            </w:pPr>
            <w:r>
              <w:rPr>
                <w:rFonts w:ascii="Times New Roman" w:hAnsi="Times New Roman"/>
                <w:sz w:val="16"/>
              </w:rPr>
              <w:t xml:space="preserve">1,53</w:t>
            </w:r>
          </w:p>
        </w:tc>
        <w:tc>
          <w:tcPr>
            <w:tcW w:type="dxa" w:w="1231"/>
          </w:tcPr>
          <w:p>
            <w:pPr>
              <w:pStyle w:val="Compact"/>
              <w:spacing w:line="240" w:lineRule="auto" w:before="20" w:after="20"/>
              <w:ind w:firstLine="0"/>
              <w:jc w:val="right"/>
            </w:pPr>
            <w:r>
              <w:rPr>
                <w:rFonts w:ascii="Times New Roman" w:hAnsi="Times New Roman"/>
                <w:sz w:val="16"/>
              </w:rPr>
              <w:t>1,61</w:t>
            </w:r>
          </w:p>
        </w:tc>
        <w:tc>
          <w:tcPr>
            <w:tcW w:type="dxa" w:w="1231"/>
          </w:tcPr>
          <w:p>
            <w:pPr>
              <w:pStyle w:val="Compact"/>
              <w:spacing w:line="240" w:lineRule="auto" w:before="20" w:after="20"/>
              <w:ind w:firstLine="0"/>
              <w:jc w:val="right"/>
            </w:pPr>
            <w:r>
              <w:rPr>
                <w:rFonts w:ascii="Times New Roman" w:hAnsi="Times New Roman"/>
                <w:sz w:val="16"/>
              </w:rPr>
              <w:t>+5,4%</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PI</w:t>
            </w:r>
          </w:p>
        </w:tc>
        <w:tc>
          <w:tcPr>
            <w:tcW w:type="dxa" w:w="1879"/>
          </w:tcPr>
          <w:p>
            <w:pPr>
              <w:pStyle w:val="Compact"/>
              <w:spacing w:line="240" w:lineRule="auto" w:before="20" w:after="20"/>
              <w:ind w:firstLine="0"/>
              <w:jc w:val="left"/>
            </w:pPr>
            <w:r>
              <w:rPr>
                <w:rFonts w:ascii="Times New Roman" w:hAnsi="Times New Roman"/>
                <w:sz w:val="16"/>
              </w:rPr>
              <w:t xml:space="preserve">Teresina</w:t>
            </w:r>
          </w:p>
        </w:tc>
        <w:tc>
          <w:tcPr>
            <w:tcW w:type="dxa" w:w="1360"/>
          </w:tcPr>
          <w:p>
            <w:pPr>
              <w:pStyle w:val="Compact"/>
              <w:spacing w:line="240" w:lineRule="auto" w:before="20" w:after="20"/>
              <w:ind w:firstLine="0"/>
              <w:jc w:val="right"/>
            </w:pPr>
            <w:r>
              <w:rPr>
                <w:rFonts w:ascii="Times New Roman" w:hAnsi="Times New Roman"/>
                <w:sz w:val="16"/>
              </w:rPr>
              <w:t>0,114%</w:t>
            </w:r>
          </w:p>
        </w:tc>
        <w:tc>
          <w:tcPr>
            <w:tcW w:type="dxa" w:w="1101"/>
          </w:tcPr>
          <w:p>
            <w:pPr>
              <w:pStyle w:val="Compact"/>
              <w:spacing w:line="240" w:lineRule="auto" w:before="20" w:after="20"/>
              <w:ind w:firstLine="0"/>
              <w:jc w:val="right"/>
            </w:pPr>
            <w:r>
              <w:rPr>
                <w:rFonts w:ascii="Times New Roman" w:hAnsi="Times New Roman"/>
                <w:sz w:val="16"/>
              </w:rPr>
              <w:t>0,114%</w:t>
            </w:r>
          </w:p>
        </w:tc>
        <w:tc>
          <w:tcPr>
            <w:tcW w:type="dxa" w:w="1749"/>
          </w:tcPr>
          <w:p>
            <w:pPr>
              <w:pStyle w:val="Compact"/>
              <w:spacing w:line="240" w:lineRule="auto" w:before="20" w:after="20"/>
              <w:ind w:firstLine="0"/>
              <w:jc w:val="right"/>
            </w:pPr>
            <w:r>
              <w:rPr>
                <w:rFonts w:ascii="Times New Roman" w:hAnsi="Times New Roman"/>
                <w:sz w:val="16"/>
              </w:rPr>
              <w:t xml:space="preserve">1,28</w:t>
            </w:r>
          </w:p>
        </w:tc>
        <w:tc>
          <w:tcPr>
            <w:tcW w:type="dxa" w:w="1231"/>
          </w:tcPr>
          <w:p>
            <w:pPr>
              <w:pStyle w:val="Compact"/>
              <w:spacing w:line="240" w:lineRule="auto" w:before="20" w:after="20"/>
              <w:ind w:firstLine="0"/>
              <w:jc w:val="right"/>
            </w:pPr>
            <w:r>
              <w:rPr>
                <w:rFonts w:ascii="Times New Roman" w:hAnsi="Times New Roman"/>
                <w:sz w:val="16"/>
              </w:rPr>
              <w:t xml:space="preserve">1,36</w:t>
            </w:r>
          </w:p>
        </w:tc>
        <w:tc>
          <w:tcPr>
            <w:tcW w:type="dxa" w:w="1231"/>
          </w:tcPr>
          <w:p>
            <w:pPr>
              <w:pStyle w:val="Compact"/>
              <w:spacing w:line="240" w:lineRule="auto" w:before="20" w:after="20"/>
              <w:ind w:firstLine="0"/>
              <w:jc w:val="right"/>
            </w:pPr>
            <w:r>
              <w:rPr>
                <w:rFonts w:ascii="Times New Roman" w:hAnsi="Times New Roman"/>
                <w:sz w:val="16"/>
              </w:rPr>
              <w:t>+6,0%</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DF</w:t>
            </w:r>
          </w:p>
        </w:tc>
        <w:tc>
          <w:tcPr>
            <w:tcW w:type="dxa" w:w="1879"/>
          </w:tcPr>
          <w:p>
            <w:pPr>
              <w:pStyle w:val="Compact"/>
              <w:spacing w:line="240" w:lineRule="auto" w:before="20" w:after="20"/>
              <w:ind w:firstLine="0"/>
              <w:jc w:val="left"/>
            </w:pPr>
            <w:r>
              <w:rPr>
                <w:rFonts w:ascii="Times New Roman" w:hAnsi="Times New Roman"/>
                <w:sz w:val="16"/>
              </w:rPr>
              <w:t xml:space="preserve">Brasília</w:t>
            </w:r>
          </w:p>
        </w:tc>
        <w:tc>
          <w:tcPr>
            <w:tcW w:type="dxa" w:w="1360"/>
          </w:tcPr>
          <w:p>
            <w:pPr>
              <w:pStyle w:val="Compact"/>
              <w:spacing w:line="240" w:lineRule="auto" w:before="20" w:after="20"/>
              <w:ind w:firstLine="0"/>
              <w:jc w:val="right"/>
            </w:pPr>
            <w:r>
              <w:rPr>
                <w:rFonts w:ascii="Times New Roman" w:hAnsi="Times New Roman"/>
                <w:sz w:val="16"/>
              </w:rPr>
              <w:t>1,640%</w:t>
            </w:r>
          </w:p>
        </w:tc>
        <w:tc>
          <w:tcPr>
            <w:tcW w:type="dxa" w:w="1101"/>
          </w:tcPr>
          <w:p>
            <w:pPr>
              <w:pStyle w:val="Compact"/>
              <w:spacing w:line="240" w:lineRule="auto" w:before="20" w:after="20"/>
              <w:ind w:firstLine="0"/>
              <w:jc w:val="right"/>
            </w:pPr>
            <w:r>
              <w:rPr>
                <w:rFonts w:ascii="Times New Roman" w:hAnsi="Times New Roman"/>
                <w:sz w:val="16"/>
              </w:rPr>
              <w:t>2,479%</w:t>
            </w:r>
          </w:p>
        </w:tc>
        <w:tc>
          <w:tcPr>
            <w:tcW w:type="dxa" w:w="1749"/>
          </w:tcPr>
          <w:p>
            <w:pPr>
              <w:pStyle w:val="Compact"/>
              <w:spacing w:line="240" w:lineRule="auto" w:before="20" w:after="20"/>
              <w:ind w:firstLine="0"/>
              <w:jc w:val="right"/>
            </w:pPr>
            <w:r>
              <w:rPr>
                <w:rFonts w:ascii="Times New Roman" w:hAnsi="Times New Roman"/>
                <w:sz w:val="16"/>
              </w:rPr>
              <w:t xml:space="preserve">19,34</w:t>
            </w:r>
          </w:p>
        </w:tc>
        <w:tc>
          <w:tcPr>
            <w:tcW w:type="dxa" w:w="1231"/>
          </w:tcPr>
          <w:p>
            <w:pPr>
              <w:pStyle w:val="Compact"/>
              <w:spacing w:line="240" w:lineRule="auto" w:before="20" w:after="20"/>
              <w:ind w:firstLine="0"/>
              <w:jc w:val="right"/>
            </w:pPr>
            <w:r>
              <w:rPr>
                <w:rFonts w:ascii="Times New Roman" w:hAnsi="Times New Roman"/>
                <w:sz w:val="16"/>
              </w:rPr>
              <w:t>20,47</w:t>
            </w:r>
          </w:p>
        </w:tc>
        <w:tc>
          <w:tcPr>
            <w:tcW w:type="dxa" w:w="1231"/>
          </w:tcPr>
          <w:p>
            <w:pPr>
              <w:pStyle w:val="Compact"/>
              <w:spacing w:line="240" w:lineRule="auto" w:before="20" w:after="20"/>
              <w:ind w:firstLine="0"/>
              <w:jc w:val="right"/>
            </w:pPr>
            <w:r>
              <w:rPr>
                <w:rFonts w:ascii="Times New Roman" w:hAnsi="Times New Roman"/>
                <w:sz w:val="16"/>
              </w:rPr>
              <w:t>+5,8%</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RS</w:t>
            </w:r>
          </w:p>
        </w:tc>
        <w:tc>
          <w:tcPr>
            <w:tcW w:type="dxa" w:w="1879"/>
          </w:tcPr>
          <w:p>
            <w:pPr>
              <w:pStyle w:val="Compact"/>
              <w:spacing w:line="240" w:lineRule="auto" w:before="20" w:after="20"/>
              <w:ind w:firstLine="0"/>
              <w:jc w:val="left"/>
            </w:pPr>
            <w:r>
              <w:rPr>
                <w:rFonts w:ascii="Times New Roman" w:hAnsi="Times New Roman"/>
                <w:sz w:val="16"/>
              </w:rPr>
              <w:t xml:space="preserve">Porto Alegre</w:t>
            </w:r>
          </w:p>
        </w:tc>
        <w:tc>
          <w:tcPr>
            <w:tcW w:type="dxa" w:w="1360"/>
          </w:tcPr>
          <w:p>
            <w:pPr>
              <w:pStyle w:val="Compact"/>
              <w:spacing w:line="240" w:lineRule="auto" w:before="20" w:after="20"/>
              <w:ind w:firstLine="0"/>
              <w:jc w:val="right"/>
            </w:pPr>
            <w:r>
              <w:rPr>
                <w:rFonts w:ascii="Times New Roman" w:hAnsi="Times New Roman"/>
                <w:sz w:val="16"/>
              </w:rPr>
              <w:t>0,274%</w:t>
            </w:r>
          </w:p>
        </w:tc>
        <w:tc>
          <w:tcPr>
            <w:tcW w:type="dxa" w:w="1101"/>
          </w:tcPr>
          <w:p>
            <w:pPr>
              <w:pStyle w:val="Compact"/>
              <w:spacing w:line="240" w:lineRule="auto" w:before="20" w:after="20"/>
              <w:ind w:firstLine="0"/>
              <w:jc w:val="right"/>
            </w:pPr>
            <w:r>
              <w:rPr>
                <w:rFonts w:ascii="Times New Roman" w:hAnsi="Times New Roman"/>
                <w:sz w:val="16"/>
              </w:rPr>
              <w:t>0,312%</w:t>
            </w:r>
          </w:p>
        </w:tc>
        <w:tc>
          <w:tcPr>
            <w:tcW w:type="dxa" w:w="1749"/>
          </w:tcPr>
          <w:p>
            <w:pPr>
              <w:pStyle w:val="Compact"/>
              <w:spacing w:line="240" w:lineRule="auto" w:before="20" w:after="20"/>
              <w:ind w:firstLine="0"/>
              <w:jc w:val="right"/>
            </w:pPr>
            <w:r>
              <w:rPr>
                <w:rFonts w:ascii="Times New Roman" w:hAnsi="Times New Roman"/>
                <w:sz w:val="16"/>
              </w:rPr>
              <w:t xml:space="preserve">3,14</w:t>
            </w:r>
          </w:p>
        </w:tc>
        <w:tc>
          <w:tcPr>
            <w:tcW w:type="dxa" w:w="1231"/>
          </w:tcPr>
          <w:p>
            <w:pPr>
              <w:pStyle w:val="Compact"/>
              <w:spacing w:line="240" w:lineRule="auto" w:before="20" w:after="20"/>
              <w:ind w:firstLine="0"/>
              <w:jc w:val="right"/>
            </w:pPr>
            <w:r>
              <w:rPr>
                <w:rFonts w:ascii="Times New Roman" w:hAnsi="Times New Roman"/>
                <w:sz w:val="16"/>
              </w:rPr>
              <w:t>3,31</w:t>
            </w:r>
          </w:p>
        </w:tc>
        <w:tc>
          <w:tcPr>
            <w:tcW w:type="dxa" w:w="1231"/>
          </w:tcPr>
          <w:p>
            <w:pPr>
              <w:pStyle w:val="Compact"/>
              <w:spacing w:line="240" w:lineRule="auto" w:before="20" w:after="20"/>
              <w:ind w:firstLine="0"/>
              <w:jc w:val="right"/>
            </w:pPr>
            <w:r>
              <w:rPr>
                <w:rFonts w:ascii="Times New Roman" w:hAnsi="Times New Roman"/>
                <w:sz w:val="16"/>
              </w:rPr>
              <w:t>+5,1%</w:t>
            </w:r>
          </w:p>
        </w:tc>
      </w:tr>
      <w:tr>
        <w:trPr>
          <w:cantSplit/>
        </w:trPr>
        <w:tc>
          <w:tcPr>
            <w:tcW w:type="dxa" w:w="518"/>
          </w:tcPr>
          <w:p>
            <w:pPr>
              <w:pStyle w:val="Compact"/>
              <w:spacing w:line="240" w:lineRule="auto" w:before="20" w:after="20"/>
              <w:ind w:firstLine="0"/>
              <w:jc w:val="left"/>
            </w:pPr>
            <w:r>
              <w:rPr>
                <w:rFonts w:ascii="Times New Roman" w:hAnsi="Times New Roman"/>
                <w:sz w:val="16"/>
              </w:rPr>
              <w:t xml:space="preserve">RN</w:t>
            </w:r>
          </w:p>
        </w:tc>
        <w:tc>
          <w:tcPr>
            <w:tcW w:type="dxa" w:w="1879"/>
          </w:tcPr>
          <w:p>
            <w:pPr>
              <w:pStyle w:val="Compact"/>
              <w:spacing w:line="240" w:lineRule="auto" w:before="20" w:after="20"/>
              <w:ind w:firstLine="0"/>
              <w:jc w:val="left"/>
            </w:pPr>
            <w:r>
              <w:rPr>
                <w:rFonts w:ascii="Times New Roman" w:hAnsi="Times New Roman"/>
                <w:sz w:val="16"/>
              </w:rPr>
              <w:t xml:space="preserve">Natal</w:t>
            </w:r>
          </w:p>
        </w:tc>
        <w:tc>
          <w:tcPr>
            <w:tcW w:type="dxa" w:w="1360"/>
          </w:tcPr>
          <w:p>
            <w:pPr>
              <w:pStyle w:val="Compact"/>
              <w:spacing w:line="240" w:lineRule="auto" w:before="20" w:after="20"/>
              <w:ind w:firstLine="0"/>
              <w:jc w:val="right"/>
            </w:pPr>
            <w:r>
              <w:rPr>
                <w:rFonts w:ascii="Times New Roman" w:hAnsi="Times New Roman"/>
                <w:sz w:val="16"/>
              </w:rPr>
              <w:t>0,106%</w:t>
            </w:r>
          </w:p>
        </w:tc>
        <w:tc>
          <w:tcPr>
            <w:tcW w:type="dxa" w:w="1101"/>
          </w:tcPr>
          <w:p>
            <w:pPr>
              <w:pStyle w:val="Compact"/>
              <w:spacing w:line="240" w:lineRule="auto" w:before="20" w:after="20"/>
              <w:ind w:firstLine="0"/>
              <w:jc w:val="right"/>
            </w:pPr>
            <w:r>
              <w:rPr>
                <w:rFonts w:ascii="Times New Roman" w:hAnsi="Times New Roman"/>
                <w:sz w:val="16"/>
              </w:rPr>
              <w:t>0,126%</w:t>
            </w:r>
          </w:p>
        </w:tc>
        <w:tc>
          <w:tcPr>
            <w:tcW w:type="dxa" w:w="1749"/>
          </w:tcPr>
          <w:p>
            <w:pPr>
              <w:pStyle w:val="Compact"/>
              <w:spacing w:line="240" w:lineRule="auto" w:before="20" w:after="20"/>
              <w:ind w:firstLine="0"/>
              <w:jc w:val="right"/>
            </w:pPr>
            <w:r>
              <w:rPr>
                <w:rFonts w:ascii="Times New Roman" w:hAnsi="Times New Roman"/>
                <w:sz w:val="16"/>
              </w:rPr>
              <w:t xml:space="preserve">1,20</w:t>
            </w:r>
          </w:p>
        </w:tc>
        <w:tc>
          <w:tcPr>
            <w:tcW w:type="dxa" w:w="1231"/>
          </w:tcPr>
          <w:p>
            <w:pPr>
              <w:pStyle w:val="Compact"/>
              <w:spacing w:line="240" w:lineRule="auto" w:before="20" w:after="20"/>
              <w:ind w:firstLine="0"/>
              <w:jc w:val="right"/>
            </w:pPr>
            <w:r>
              <w:rPr>
                <w:rFonts w:ascii="Times New Roman" w:hAnsi="Times New Roman"/>
                <w:sz w:val="16"/>
              </w:rPr>
              <w:t>1,28</w:t>
            </w:r>
          </w:p>
        </w:tc>
        <w:tc>
          <w:tcPr>
            <w:tcW w:type="dxa" w:w="1231"/>
          </w:tcPr>
          <w:p>
            <w:pPr>
              <w:pStyle w:val="Compact"/>
              <w:spacing w:line="240" w:lineRule="auto" w:before="20" w:after="20"/>
              <w:ind w:firstLine="0"/>
              <w:jc w:val="right"/>
            </w:pPr>
            <w:r>
              <w:rPr>
                <w:rFonts w:ascii="Times New Roman" w:hAnsi="Times New Roman"/>
                <w:sz w:val="16"/>
              </w:rPr>
              <w:t>+6,8%</w:t>
            </w:r>
          </w:p>
        </w:tc>
      </w:tr>
    </w:tbl>
    <w:bookmarkEnd w:id="69"/>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As capitais estão ordenadas da maior perda para o maior ganho relativo em 2033. A variação compara a receita projetada sob a reforma com o cenário sem reforma no mesmo ano. Brasília é apresentada apenas como referência comparativa, pois o Distrito Federal não possui esfera municipal própria.</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SICONFI/STN; IBGE; Censo Demográfico 2022; parâmetros do modelo. Elaboração própria.</w:t>
      </w:r>
    </w:p>
    <w:bookmarkStart w:id="70" w:name="tab:simbolos"/>
    <w:p>
      <w:pPr>
        <w:pStyle w:val="TableCaption"/>
      </w:pPr>
      <w:r>
        <w:rPr>
          <w:b/>
          <w:bCs/>
        </w:rPr>
        <w:t xml:space="preserve">Tabela A.5:</w:t>
      </w:r>
      <w:r>
        <w:t xml:space="preserve"> Símbolos e definições do modelo de projeção</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A.5: Símbolos e definições do modelo de projeção"/>
      </w:tblPr>
      <w:tblGrid>
        <w:gridCol w:w="2225"/>
        <w:gridCol w:w="6846"/>
      </w:tblGrid>
      <w:tr>
        <w:trPr>
          <w:tblHeader w:val="on"/>
          <w:cantSplit/>
          <w:tblHeader/>
        </w:trPr>
        <w:tc>
          <w:tcPr>
            <w:tcW w:type="dxa" w:w="222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Termo</w:t>
            </w:r>
          </w:p>
        </w:tc>
        <w:tc>
          <w:tcPr>
            <w:tcW w:type="dxa" w:w="684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Definição</w:t>
            </w:r>
          </w:p>
        </w:tc>
      </w:tr>
      <w:tr>
        <w:trPr>
          <w:cantSplit/>
        </w:trPr>
        <w:tc>
          <w:tcPr>
            <w:tcW w:type="dxa" w:w="2225"/>
          </w:tcPr>
          <w:p>
            <w:pPr>
              <w:pStyle w:val="Compact"/>
              <w:spacing w:line="240" w:lineRule="auto" w:before="20" w:after="20"/>
              <w:ind w:firstLine="0"/>
              <w:jc w:val="left"/>
            </w:pPr>
            <m:oMath>
              <m:sSubSup>
                <m:e>
                  <m:r>
                    <m:t>R</m:t>
                  </m:r>
                </m:e>
                <m:sub>
                  <m:r>
                    <m:t>i</m:t>
                  </m:r>
                  <m:r>
                    <m:t>t</m:t>
                  </m:r>
                </m:sub>
                <m:sup>
                  <m:r>
                    <m:t>R</m:t>
                  </m:r>
                </m:sup>
              </m:sSubSup>
            </m:oMath>
          </w:p>
        </w:tc>
        <w:tc>
          <w:tcPr>
            <w:tcW w:type="dxa" w:w="6846"/>
          </w:tcPr>
          <w:p>
            <w:pPr>
              <w:pStyle w:val="Compact"/>
              <w:spacing w:line="240" w:lineRule="auto" w:before="20" w:after="20"/>
              <w:ind w:firstLine="0"/>
              <w:jc w:val="left"/>
            </w:pPr>
            <w:r>
              <w:rPr>
                <w:rFonts w:ascii="Times New Roman" w:hAnsi="Times New Roman"/>
                <w:sz w:val="18"/>
              </w:rPr>
              <w:t xml:space="preserve">Receita projetada do ente</w:t>
            </w:r>
            <w:r>
              <w:rPr>
                <w:rFonts w:ascii="Times New Roman" w:hAnsi="Times New Roman"/>
                <w:sz w:val="18"/>
              </w:rPr>
              <w:t xml:space="preserve"> </w:t>
            </w:r>
            <m:oMath>
              <m:r>
                <m:t>i</m:t>
              </m:r>
            </m:oMath>
            <w:r>
              <w:rPr>
                <w:rFonts w:ascii="Times New Roman" w:hAnsi="Times New Roman"/>
                <w:sz w:val="18"/>
              </w:rPr>
              <w:t xml:space="preserve">, no ano</w:t>
            </w:r>
            <w:r>
              <w:rPr>
                <w:rFonts w:ascii="Times New Roman" w:hAnsi="Times New Roman"/>
                <w:sz w:val="18"/>
              </w:rPr>
              <w:t xml:space="preserve"> </w:t>
            </w:r>
            <m:oMath>
              <m:r>
                <m:t>t</m:t>
              </m:r>
            </m:oMath>
            <w:r>
              <w:rPr>
                <w:rFonts w:ascii="Times New Roman" w:hAnsi="Times New Roman"/>
                <w:sz w:val="18"/>
              </w:rPr>
              <w:t xml:space="preserve">, sob o regime da reforma.</w:t>
            </w:r>
          </w:p>
        </w:tc>
      </w:tr>
      <w:tr>
        <w:trPr>
          <w:cantSplit/>
        </w:trPr>
        <w:tc>
          <w:tcPr>
            <w:tcW w:type="dxa" w:w="2225"/>
          </w:tcPr>
          <w:p>
            <w:pPr>
              <w:pStyle w:val="Compact"/>
              <w:spacing w:line="240" w:lineRule="auto" w:before="20" w:after="20"/>
              <w:ind w:firstLine="0"/>
              <w:jc w:val="left"/>
            </w:pPr>
            <m:oMath>
              <m:sSub>
                <m:e>
                  <m:r>
                    <m:t>A</m:t>
                  </m:r>
                </m:e>
                <m:sub>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Arrecadação nacional de referência no ano</w:t>
            </w:r>
            <w:r>
              <w:rPr>
                <w:rFonts w:ascii="Times New Roman" w:hAnsi="Times New Roman"/>
                <w:sz w:val="18"/>
              </w:rPr>
              <w:t xml:space="preserve"> </w:t>
            </w:r>
            <m:oMath>
              <m:r>
                <m:t>t</m:t>
              </m:r>
            </m:oMath>
            <w:r>
              <w:rPr>
                <w:rFonts w:ascii="Times New Roman" w:hAnsi="Times New Roman"/>
                <w:sz w:val="18"/>
              </w:rPr>
              <w:t xml:space="preserve">.</w:t>
            </w:r>
          </w:p>
        </w:tc>
      </w:tr>
      <w:tr>
        <w:trPr>
          <w:cantSplit/>
        </w:trPr>
        <w:tc>
          <w:tcPr>
            <w:tcW w:type="dxa" w:w="2225"/>
          </w:tcPr>
          <w:p>
            <w:pPr>
              <w:pStyle w:val="Compact"/>
              <w:spacing w:line="240" w:lineRule="auto" w:before="20" w:after="20"/>
              <w:ind w:firstLine="0"/>
              <w:jc w:val="left"/>
            </w:pPr>
            <m:oMath>
              <m:sSub>
                <m:e>
                  <m:r>
                    <m:t>f</m:t>
                  </m:r>
                </m:e>
                <m:sub>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Fração de</w:t>
            </w:r>
            <w:r>
              <w:rPr>
                <w:rFonts w:ascii="Times New Roman" w:hAnsi="Times New Roman"/>
                <w:sz w:val="18"/>
              </w:rPr>
              <w:t xml:space="preserve"> </w:t>
            </w:r>
            <m:oMath>
              <m:sSub>
                <m:e>
                  <m:r>
                    <m:t>A</m:t>
                  </m:r>
                </m:e>
                <m:sub>
                  <m:r>
                    <m:t>t</m:t>
                  </m:r>
                </m:sub>
              </m:sSub>
            </m:oMath>
            <w:r>
              <w:rPr>
                <w:rFonts w:ascii="Times New Roman" w:hAnsi="Times New Roman"/>
                <w:sz w:val="18"/>
              </w:rPr>
              <w:t xml:space="preserve"> </w:t>
            </w:r>
            <w:r>
              <w:rPr>
                <w:rFonts w:ascii="Times New Roman" w:hAnsi="Times New Roman"/>
                <w:sz w:val="18"/>
              </w:rPr>
              <w:t xml:space="preserve">ainda correspondente ao ICMS ou ISS.</w:t>
            </w:r>
          </w:p>
        </w:tc>
      </w:tr>
      <w:tr>
        <w:trPr>
          <w:cantSplit/>
        </w:trPr>
        <w:tc>
          <w:tcPr>
            <w:tcW w:type="dxa" w:w="2225"/>
          </w:tcPr>
          <w:p>
            <w:pPr>
              <w:pStyle w:val="Compact"/>
              <w:spacing w:line="240" w:lineRule="auto" w:before="20" w:after="20"/>
              <w:ind w:firstLine="0"/>
              <w:jc w:val="left"/>
            </w:pPr>
            <m:oMath>
              <m:sSub>
                <m:e>
                  <m:r>
                    <m:t>s</m:t>
                  </m:r>
                </m:e>
                <m:sub>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Fração de</w:t>
            </w:r>
            <w:r>
              <w:rPr>
                <w:rFonts w:ascii="Times New Roman" w:hAnsi="Times New Roman"/>
                <w:sz w:val="18"/>
              </w:rPr>
              <w:t xml:space="preserve"> </w:t>
            </w:r>
            <m:oMath>
              <m:sSub>
                <m:e>
                  <m:r>
                    <m:t>A</m:t>
                  </m:r>
                </m:e>
                <m:sub>
                  <m:r>
                    <m:t>t</m:t>
                  </m:r>
                </m:sub>
              </m:sSub>
            </m:oMath>
            <w:r>
              <w:rPr>
                <w:rFonts w:ascii="Times New Roman" w:hAnsi="Times New Roman"/>
                <w:sz w:val="18"/>
              </w:rPr>
              <w:t xml:space="preserve"> </w:t>
            </w:r>
            <w:r>
              <w:rPr>
                <w:rFonts w:ascii="Times New Roman" w:hAnsi="Times New Roman"/>
                <w:sz w:val="18"/>
              </w:rPr>
              <w:t xml:space="preserve">convertida em IBS, com</w:t>
            </w:r>
            <w:r>
              <w:rPr>
                <w:rFonts w:ascii="Times New Roman" w:hAnsi="Times New Roman"/>
                <w:sz w:val="18"/>
              </w:rPr>
              <w:t xml:space="preserve"> </w:t>
            </w:r>
            <m:oMath>
              <m:sSub>
                <m:e>
                  <m:r>
                    <m:t>s</m:t>
                  </m:r>
                </m:e>
                <m:sub>
                  <m:r>
                    <m:t>t</m:t>
                  </m:r>
                </m:sub>
              </m:sSub>
              <m:r>
                <m:rPr>
                  <m:sty m:val="p"/>
                </m:rPr>
                <m:t>=</m:t>
              </m:r>
              <m:r>
                <m:t>1</m:t>
              </m:r>
              <m:r>
                <m:rPr>
                  <m:sty m:val="p"/>
                </m:rPr>
                <m:t>−</m:t>
              </m:r>
              <m:sSub>
                <m:e>
                  <m:r>
                    <m:t>f</m:t>
                  </m:r>
                </m:e>
                <m:sub>
                  <m:r>
                    <m:t>t</m:t>
                  </m:r>
                </m:sub>
              </m:sSub>
            </m:oMath>
            <w:r>
              <w:rPr>
                <w:rFonts w:ascii="Times New Roman" w:hAnsi="Times New Roman"/>
                <w:sz w:val="18"/>
              </w:rPr>
              <w:t xml:space="preserve">.</w:t>
            </w:r>
          </w:p>
        </w:tc>
      </w:tr>
      <w:tr>
        <w:trPr>
          <w:cantSplit/>
        </w:trPr>
        <w:tc>
          <w:tcPr>
            <w:tcW w:type="dxa" w:w="2225"/>
          </w:tcPr>
          <w:p>
            <w:pPr>
              <w:pStyle w:val="Compact"/>
              <w:spacing w:line="240" w:lineRule="auto" w:before="20" w:after="20"/>
              <w:ind w:firstLine="0"/>
              <w:jc w:val="left"/>
            </w:pPr>
            <m:oMath>
              <m:sSubSup>
                <m:e>
                  <m:r>
                    <m:t>w</m:t>
                  </m:r>
                </m:e>
                <m:sub>
                  <m:r>
                    <m:t>i</m:t>
                  </m:r>
                </m:sub>
                <m:sup>
                  <m:r>
                    <m:t>0</m:t>
                  </m:r>
                </m:sup>
              </m:sSubSup>
            </m:oMath>
          </w:p>
        </w:tc>
        <w:tc>
          <w:tcPr>
            <w:tcW w:type="dxa" w:w="6846"/>
          </w:tcPr>
          <w:p>
            <w:pPr>
              <w:pStyle w:val="Compact"/>
              <w:spacing w:line="240" w:lineRule="auto" w:before="20" w:after="20"/>
              <w:ind w:firstLine="0"/>
              <w:jc w:val="left"/>
            </w:pPr>
            <w:r>
              <w:rPr>
                <w:rFonts w:ascii="Times New Roman" w:hAnsi="Times New Roman"/>
                <w:sz w:val="18"/>
              </w:rPr>
              <w:t xml:space="preserve">Participação do ente na receita nacional de referência em 2025.</w:t>
            </w:r>
          </w:p>
        </w:tc>
      </w:tr>
      <w:tr>
        <w:trPr>
          <w:cantSplit/>
        </w:trPr>
        <w:tc>
          <w:tcPr>
            <w:tcW w:type="dxa" w:w="2225"/>
          </w:tcPr>
          <w:p>
            <w:pPr>
              <w:pStyle w:val="Compact"/>
              <w:spacing w:line="240" w:lineRule="auto" w:before="20" w:after="20"/>
              <w:ind w:firstLine="0"/>
              <w:jc w:val="left"/>
            </w:pPr>
            <m:oMath>
              <m:sSub>
                <m:e>
                  <m:r>
                    <m:t>λ</m:t>
                  </m:r>
                </m:e>
                <m:sub>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Parcela do IBS distribuída segundo a transição federativa.</w:t>
            </w:r>
          </w:p>
        </w:tc>
      </w:tr>
      <w:tr>
        <w:trPr>
          <w:cantSplit/>
        </w:trPr>
        <w:tc>
          <w:tcPr>
            <w:tcW w:type="dxa" w:w="2225"/>
          </w:tcPr>
          <w:p>
            <w:pPr>
              <w:pStyle w:val="Compact"/>
              <w:spacing w:line="240" w:lineRule="auto" w:before="20" w:after="20"/>
              <w:ind w:firstLine="0"/>
              <w:jc w:val="left"/>
            </w:pPr>
            <m:oMath>
              <m:sSubSup>
                <m:e>
                  <m:r>
                    <m:t>w</m:t>
                  </m:r>
                </m:e>
                <m:sub>
                  <m:r>
                    <m:t>i</m:t>
                  </m:r>
                </m:sub>
                <m:sup>
                  <m:r>
                    <m:t>H</m:t>
                  </m:r>
                </m:sup>
              </m:sSubSup>
            </m:oMath>
          </w:p>
        </w:tc>
        <w:tc>
          <w:tcPr>
            <w:tcW w:type="dxa" w:w="6846"/>
          </w:tcPr>
          <w:p>
            <w:pPr>
              <w:pStyle w:val="Compact"/>
              <w:spacing w:line="240" w:lineRule="auto" w:before="20" w:after="20"/>
              <w:ind w:firstLine="0"/>
              <w:jc w:val="left"/>
            </w:pPr>
            <w:r>
              <w:rPr>
                <w:rFonts w:ascii="Times New Roman" w:hAnsi="Times New Roman"/>
                <w:sz w:val="18"/>
              </w:rPr>
              <w:t xml:space="preserve">Coeficiente de participação do ente na transição federativa.</w:t>
            </w:r>
          </w:p>
        </w:tc>
      </w:tr>
      <w:tr>
        <w:trPr>
          <w:cantSplit/>
        </w:trPr>
        <w:tc>
          <w:tcPr>
            <w:tcW w:type="dxa" w:w="2225"/>
          </w:tcPr>
          <w:p>
            <w:pPr>
              <w:pStyle w:val="Compact"/>
              <w:spacing w:line="240" w:lineRule="auto" w:before="20" w:after="20"/>
              <w:ind w:firstLine="0"/>
              <w:jc w:val="left"/>
            </w:pPr>
            <m:oMath>
              <m:sSub>
                <m:e>
                  <m:r>
                    <m:t>ρ</m:t>
                  </m:r>
                </m:e>
                <m:sub>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Percentual retido para constituição do Seguro-Receita.</w:t>
            </w:r>
          </w:p>
        </w:tc>
      </w:tr>
      <w:tr>
        <w:trPr>
          <w:cantSplit/>
        </w:trPr>
        <w:tc>
          <w:tcPr>
            <w:tcW w:type="dxa" w:w="2225"/>
          </w:tcPr>
          <w:p>
            <w:pPr>
              <w:pStyle w:val="Compact"/>
              <w:spacing w:line="240" w:lineRule="auto" w:before="20" w:after="20"/>
              <w:ind w:firstLine="0"/>
              <w:jc w:val="left"/>
            </w:pPr>
            <m:oMath>
              <m:sSubSup>
                <m:e>
                  <m:r>
                    <m:t>w</m:t>
                  </m:r>
                </m:e>
                <m:sub>
                  <m:r>
                    <m:t>i</m:t>
                  </m:r>
                </m:sub>
                <m:sup>
                  <m:r>
                    <m:t>D</m:t>
                  </m:r>
                </m:sup>
              </m:sSubSup>
            </m:oMath>
          </w:p>
        </w:tc>
        <w:tc>
          <w:tcPr>
            <w:tcW w:type="dxa" w:w="6846"/>
          </w:tcPr>
          <w:p>
            <w:pPr>
              <w:pStyle w:val="Compact"/>
              <w:spacing w:line="240" w:lineRule="auto" w:before="20" w:after="20"/>
              <w:ind w:firstLine="0"/>
              <w:jc w:val="left"/>
            </w:pPr>
            <w:r>
              <w:rPr>
                <w:rFonts w:ascii="Times New Roman" w:hAnsi="Times New Roman"/>
                <w:sz w:val="18"/>
              </w:rPr>
              <w:t xml:space="preserve">Coeficiente de participação do ente na distribuição pelo destino.</w:t>
            </w:r>
          </w:p>
        </w:tc>
      </w:tr>
      <w:tr>
        <w:trPr>
          <w:cantSplit/>
        </w:trPr>
        <w:tc>
          <w:tcPr>
            <w:tcW w:type="dxa" w:w="2225"/>
          </w:tcPr>
          <w:p>
            <w:pPr>
              <w:pStyle w:val="Compact"/>
              <w:spacing w:line="240" w:lineRule="auto" w:before="20" w:after="20"/>
              <w:ind w:firstLine="0"/>
              <w:jc w:val="left"/>
            </w:pPr>
            <m:oMath>
              <m:sSub>
                <m:e>
                  <m:r>
                    <m:t>S</m:t>
                  </m:r>
                </m:e>
                <m:sub>
                  <m:r>
                    <m:t>i</m:t>
                  </m:r>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Valor recebido pelo Seguro-Receita no ano</w:t>
            </w:r>
            <w:r>
              <w:rPr>
                <w:rFonts w:ascii="Times New Roman" w:hAnsi="Times New Roman"/>
                <w:sz w:val="18"/>
              </w:rPr>
              <w:t xml:space="preserve"> </w:t>
            </w:r>
            <m:oMath>
              <m:r>
                <m:t>t</m:t>
              </m:r>
            </m:oMath>
            <w:r>
              <w:rPr>
                <w:rFonts w:ascii="Times New Roman" w:hAnsi="Times New Roman"/>
                <w:sz w:val="18"/>
              </w:rPr>
              <w:t xml:space="preserve">.</w:t>
            </w:r>
          </w:p>
        </w:tc>
      </w:tr>
      <w:tr>
        <w:trPr>
          <w:cantSplit/>
        </w:trPr>
        <w:tc>
          <w:tcPr>
            <w:tcW w:type="dxa" w:w="2225"/>
          </w:tcPr>
          <w:p>
            <w:pPr>
              <w:pStyle w:val="Compact"/>
              <w:spacing w:line="240" w:lineRule="auto" w:before="20" w:after="20"/>
              <w:ind w:firstLine="0"/>
              <w:jc w:val="left"/>
            </w:pPr>
            <m:oMath>
              <m:sSub>
                <m:e>
                  <m:r>
                    <m:t>G</m:t>
                  </m:r>
                </m:e>
                <m:sub>
                  <m:r>
                    <m:t>i</m:t>
                  </m:r>
                  <m:r>
                    <m:t>t</m:t>
                  </m:r>
                </m:sub>
              </m:sSub>
            </m:oMath>
          </w:p>
        </w:tc>
        <w:tc>
          <w:tcPr>
            <w:tcW w:type="dxa" w:w="6846"/>
          </w:tcPr>
          <w:p>
            <w:pPr>
              <w:pStyle w:val="Compact"/>
              <w:spacing w:line="240" w:lineRule="auto" w:before="20" w:after="20"/>
              <w:ind w:firstLine="0"/>
              <w:jc w:val="left"/>
            </w:pPr>
            <w:r>
              <w:rPr>
                <w:rFonts w:ascii="Times New Roman" w:hAnsi="Times New Roman"/>
                <w:sz w:val="18"/>
              </w:rPr>
              <w:t xml:space="preserve">Dedução destinada ao financiamento do CGIBS no ano</w:t>
            </w:r>
            <w:r>
              <w:rPr>
                <w:rFonts w:ascii="Times New Roman" w:hAnsi="Times New Roman"/>
                <w:sz w:val="18"/>
              </w:rPr>
              <w:t xml:space="preserve"> </w:t>
            </w:r>
            <m:oMath>
              <m:r>
                <m:t>t</m:t>
              </m:r>
            </m:oMath>
            <w:r>
              <w:rPr>
                <w:rFonts w:ascii="Times New Roman" w:hAnsi="Times New Roman"/>
                <w:sz w:val="18"/>
              </w:rPr>
              <w:t xml:space="preserve">.</w:t>
            </w:r>
          </w:p>
        </w:tc>
      </w:tr>
    </w:tbl>
    <w:bookmarkEnd w:id="70"/>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w:t>
      </w:r>
    </w:p>
    <w:p>
      <w:pPr>
        <w:pStyle w:val="TableCaption"/>
      </w:pPr>
      <w:r>
        <w:rPr>
          <w:b/>
          <w:bCs/>
        </w:rPr>
        <w:t>Tabela A.6:</w:t>
      </w:r>
      <w:r>
        <w:t xml:space="preserve"> Sensibilidade da variação da receita estadual do Paraná em 2033 ao ano-base do contrafactual e ao coeficiente de destino</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3: Projeção da receita estadual do Paraná, 2029 a 2033"/>
      </w:tblPr>
      <w:tblGrid>
        <w:gridCol w:w="968"/>
        <w:gridCol w:w="2290"/>
        <w:gridCol w:w="2290"/>
        <w:gridCol w:w="1673"/>
        <w:gridCol w:w="1849"/>
      </w:tblGrid>
      <w:tr>
        <w:trPr>
          <w:tblHeader w:val="on"/>
          <w:cantSplit/>
          <w:tblHeader/>
        </w:trPr>
        <w:tc>
          <w:tcPr>
            <w:tcW w:type="dxa" w:w="968"/>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Ano-base do contrafactual</w:t>
            </w:r>
          </w:p>
        </w:tc>
        <w:tc>
          <w:tcPr>
            <w:tcW w:type="dxa" w:w="229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Participação do Estado (%)</w:t>
            </w:r>
            <w:r>
              <w:rPr>
                <w:rFonts w:ascii="Times New Roman" w:hAnsi="Times New Roman"/>
                <w:b/>
                <w:sz w:val="18"/>
              </w:rPr>
            </w:r>
            <w:r>
              <w:rPr>
                <w:rFonts w:ascii="Times New Roman" w:hAnsi="Times New Roman"/>
                <w:b/>
                <w:bCs/>
                <w:sz w:val="18"/>
              </w:rPr>
            </w:r>
          </w:p>
        </w:tc>
        <w:tc>
          <w:tcPr>
            <w:tcW w:type="dxa" w:w="229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Destino −8%</w:t>
            </w:r>
            <w:r>
              <w:rPr>
                <w:rFonts w:ascii="Times New Roman" w:hAnsi="Times New Roman"/>
                <w:b/>
                <w:sz w:val="18"/>
              </w:rPr>
            </w:r>
            <w:r>
              <w:rPr>
                <w:rFonts w:ascii="Times New Roman" w:hAnsi="Times New Roman"/>
                <w:b/>
                <w:bCs/>
                <w:sz w:val="18"/>
              </w:rPr>
            </w:r>
          </w:p>
        </w:tc>
        <w:tc>
          <w:tcPr>
            <w:tcW w:type="dxa" w:w="1673"/>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Destino central</w:t>
            </w:r>
          </w:p>
        </w:tc>
        <w:tc>
          <w:tcPr>
            <w:tcW w:type="dxa" w:w="1849"/>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Destino +8%</w:t>
            </w:r>
            <w:r>
              <w:rPr>
                <w:rFonts w:ascii="Times New Roman" w:hAnsi="Times New Roman"/>
                <w:b/>
                <w:sz w:val="18"/>
              </w:rPr>
            </w:r>
            <w:r>
              <w:rPr>
                <w:rFonts w:ascii="Times New Roman" w:hAnsi="Times New Roman"/>
                <w:b/>
                <w:bCs/>
                <w:sz w:val="18"/>
              </w:rPr>
            </w:r>
          </w:p>
        </w:tc>
      </w:tr>
      <w:tr>
        <w:trPr>
          <w:cantSplit/>
        </w:trPr>
        <w:tc>
          <w:tcPr>
            <w:tcW w:type="dxa" w:w="968"/>
          </w:tcPr>
          <w:p>
            <w:pPr>
              <w:pStyle w:val="Compact"/>
              <w:spacing w:line="240" w:lineRule="auto" w:before="20" w:after="20"/>
              <w:ind w:firstLine="0"/>
              <w:jc w:val="left"/>
            </w:pPr>
            <w:r>
              <w:rPr>
                <w:rFonts w:ascii="Times New Roman" w:hAnsi="Times New Roman"/>
                <w:sz w:val="18"/>
              </w:rPr>
              <w:t>2025 (ano-base adotado)</w:t>
            </w:r>
          </w:p>
        </w:tc>
        <w:tc>
          <w:tcPr>
            <w:tcW w:type="dxa" w:w="2290"/>
          </w:tcPr>
          <w:p>
            <w:pPr>
              <w:pStyle w:val="Compact"/>
              <w:spacing w:line="240" w:lineRule="auto" w:before="20" w:after="20"/>
              <w:ind w:firstLine="0"/>
              <w:jc w:val="right"/>
            </w:pPr>
            <w:r>
              <w:rPr>
                <w:rFonts w:ascii="Times New Roman" w:hAnsi="Times New Roman"/>
                <w:sz w:val="18"/>
              </w:rPr>
              <w:t>3,9360</w:t>
            </w:r>
          </w:p>
        </w:tc>
        <w:tc>
          <w:tcPr>
            <w:tcW w:type="dxa" w:w="2290"/>
          </w:tcPr>
          <w:p>
            <w:pPr>
              <w:pStyle w:val="Compact"/>
              <w:spacing w:line="240" w:lineRule="auto" w:before="20" w:after="20"/>
              <w:ind w:firstLine="0"/>
              <w:jc w:val="right"/>
            </w:pPr>
            <w:r>
              <w:rPr>
                <w:rFonts w:ascii="Times New Roman" w:hAnsi="Times New Roman"/>
                <w:sz w:val="18"/>
              </w:rPr>
              <w:t>−0,03%</w:t>
            </w:r>
          </w:p>
        </w:tc>
        <w:tc>
          <w:tcPr>
            <w:tcW w:type="dxa" w:w="1673"/>
          </w:tcPr>
          <w:p>
            <w:pPr>
              <w:pStyle w:val="Compact"/>
              <w:spacing w:line="240" w:lineRule="auto" w:before="20" w:after="20"/>
              <w:ind w:firstLine="0"/>
              <w:jc w:val="right"/>
            </w:pPr>
            <w:r>
              <w:rPr>
                <w:rFonts w:ascii="Times New Roman" w:hAnsi="Times New Roman"/>
                <w:sz w:val="18"/>
              </w:rPr>
              <w:t>+0,77%</w:t>
            </w:r>
          </w:p>
        </w:tc>
        <w:tc>
          <w:tcPr>
            <w:tcW w:type="dxa" w:w="1849"/>
          </w:tcPr>
          <w:p>
            <w:pPr>
              <w:pStyle w:val="Compact"/>
              <w:spacing w:line="240" w:lineRule="auto" w:before="20" w:after="20"/>
              <w:ind w:firstLine="0"/>
              <w:jc w:val="right"/>
            </w:pPr>
            <w:r>
              <w:rPr>
                <w:rFonts w:ascii="Times New Roman" w:hAnsi="Times New Roman"/>
                <w:sz w:val="18"/>
              </w:rPr>
              <w:t>+1,56%</w:t>
            </w:r>
          </w:p>
        </w:tc>
      </w:tr>
      <w:tr>
        <w:trPr>
          <w:cantSplit/>
        </w:trPr>
        <w:tc>
          <w:tcPr>
            <w:tcW w:type="dxa" w:w="968"/>
          </w:tcPr>
          <w:p>
            <w:pPr>
              <w:pStyle w:val="Compact"/>
              <w:spacing w:line="240" w:lineRule="auto" w:before="20" w:after="20"/>
              <w:ind w:firstLine="0"/>
              <w:jc w:val="left"/>
            </w:pPr>
            <w:r>
              <w:rPr>
                <w:rFonts w:ascii="Times New Roman" w:hAnsi="Times New Roman"/>
                <w:sz w:val="18"/>
              </w:rPr>
              <w:t>2026 (estimado)</w:t>
            </w:r>
          </w:p>
        </w:tc>
        <w:tc>
          <w:tcPr>
            <w:tcW w:type="dxa" w:w="2290"/>
          </w:tcPr>
          <w:p>
            <w:pPr>
              <w:pStyle w:val="Compact"/>
              <w:spacing w:line="240" w:lineRule="auto" w:before="20" w:after="20"/>
              <w:ind w:firstLine="0"/>
              <w:jc w:val="right"/>
            </w:pPr>
            <w:r>
              <w:rPr>
                <w:rFonts w:ascii="Times New Roman" w:hAnsi="Times New Roman"/>
                <w:sz w:val="18"/>
              </w:rPr>
              <w:t>3,8645</w:t>
            </w:r>
          </w:p>
        </w:tc>
        <w:tc>
          <w:tcPr>
            <w:tcW w:type="dxa" w:w="2290"/>
          </w:tcPr>
          <w:p>
            <w:pPr>
              <w:pStyle w:val="Compact"/>
              <w:spacing w:line="240" w:lineRule="auto" w:before="20" w:after="20"/>
              <w:ind w:firstLine="0"/>
              <w:jc w:val="right"/>
            </w:pPr>
            <w:r>
              <w:rPr>
                <w:rFonts w:ascii="Times New Roman" w:hAnsi="Times New Roman"/>
                <w:sz w:val="18"/>
              </w:rPr>
              <w:t>+1,82%</w:t>
            </w:r>
          </w:p>
        </w:tc>
        <w:tc>
          <w:tcPr>
            <w:tcW w:type="dxa" w:w="1673"/>
          </w:tcPr>
          <w:p>
            <w:pPr>
              <w:pStyle w:val="Compact"/>
              <w:spacing w:line="240" w:lineRule="auto" w:before="20" w:after="20"/>
              <w:ind w:firstLine="0"/>
              <w:jc w:val="right"/>
            </w:pPr>
            <w:r>
              <w:rPr>
                <w:rFonts w:ascii="Times New Roman" w:hAnsi="Times New Roman"/>
                <w:sz w:val="18"/>
              </w:rPr>
              <w:t>+2,63%</w:t>
            </w:r>
          </w:p>
        </w:tc>
        <w:tc>
          <w:tcPr>
            <w:tcW w:type="dxa" w:w="1849"/>
          </w:tcPr>
          <w:p>
            <w:pPr>
              <w:pStyle w:val="Compact"/>
              <w:spacing w:line="240" w:lineRule="auto" w:before="20" w:after="20"/>
              <w:ind w:firstLine="0"/>
              <w:jc w:val="right"/>
            </w:pPr>
            <w:r>
              <w:rPr>
                <w:rFonts w:ascii="Times New Roman" w:hAnsi="Times New Roman"/>
                <w:sz w:val="18"/>
              </w:rPr>
              <w:t>+3,44%</w:t>
            </w:r>
          </w:p>
        </w:tc>
      </w:tr>
      <w:tr>
        <w:trPr>
          <w:cantSplit/>
        </w:trPr>
        <w:tc>
          <w:tcPr>
            <w:tcW w:type="dxa" w:w="968"/>
          </w:tcPr>
          <w:p>
            <w:pPr>
              <w:pStyle w:val="Compact"/>
              <w:spacing w:line="240" w:lineRule="auto" w:before="20" w:after="20"/>
              <w:ind w:firstLine="0"/>
              <w:jc w:val="left"/>
            </w:pPr>
            <w:r>
              <w:rPr>
                <w:rFonts w:ascii="Times New Roman" w:hAnsi="Times New Roman"/>
                <w:sz w:val="18"/>
              </w:rPr>
              <w:t>Média de 2019 a 2026</w:t>
            </w:r>
          </w:p>
        </w:tc>
        <w:tc>
          <w:tcPr>
            <w:tcW w:type="dxa" w:w="2290"/>
          </w:tcPr>
          <w:p>
            <w:pPr>
              <w:pStyle w:val="Compact"/>
              <w:spacing w:line="240" w:lineRule="auto" w:before="20" w:after="20"/>
              <w:ind w:firstLine="0"/>
              <w:jc w:val="right"/>
            </w:pPr>
            <w:r>
              <w:rPr>
                <w:rFonts w:ascii="Times New Roman" w:hAnsi="Times New Roman"/>
                <w:sz w:val="18"/>
              </w:rPr>
              <w:t>3,9798</w:t>
            </w:r>
          </w:p>
        </w:tc>
        <w:tc>
          <w:tcPr>
            <w:tcW w:type="dxa" w:w="2290"/>
          </w:tcPr>
          <w:p>
            <w:pPr>
              <w:pStyle w:val="Compact"/>
              <w:spacing w:line="240" w:lineRule="auto" w:before="20" w:after="20"/>
              <w:ind w:firstLine="0"/>
              <w:jc w:val="right"/>
            </w:pPr>
            <w:r>
              <w:rPr>
                <w:rFonts w:ascii="Times New Roman" w:hAnsi="Times New Roman"/>
                <w:sz w:val="18"/>
              </w:rPr>
              <w:t>−1,13%</w:t>
            </w:r>
          </w:p>
        </w:tc>
        <w:tc>
          <w:tcPr>
            <w:tcW w:type="dxa" w:w="1673"/>
          </w:tcPr>
          <w:p>
            <w:pPr>
              <w:pStyle w:val="Compact"/>
              <w:spacing w:line="240" w:lineRule="auto" w:before="20" w:after="20"/>
              <w:ind w:firstLine="0"/>
              <w:jc w:val="right"/>
            </w:pPr>
            <w:r>
              <w:rPr>
                <w:rFonts w:ascii="Times New Roman" w:hAnsi="Times New Roman"/>
                <w:sz w:val="18"/>
              </w:rPr>
              <w:t>−0,34%</w:t>
            </w:r>
          </w:p>
        </w:tc>
        <w:tc>
          <w:tcPr>
            <w:tcW w:type="dxa" w:w="1849"/>
          </w:tcPr>
          <w:p>
            <w:pPr>
              <w:pStyle w:val="Compact"/>
              <w:spacing w:line="240" w:lineRule="auto" w:before="20" w:after="20"/>
              <w:ind w:firstLine="0"/>
              <w:jc w:val="right"/>
            </w:pPr>
            <w:r>
              <w:rPr>
                <w:rFonts w:ascii="Times New Roman" w:hAnsi="Times New Roman"/>
                <w:sz w:val="18"/>
              </w:rPr>
              <w:t>+0,45%</w:t>
            </w:r>
          </w:p>
        </w:tc>
      </w:tr>
      <w:tr>
        <w:trPr>
          <w:cantSplit/>
        </w:trPr>
        <w:tc>
          <w:tcPr>
            <w:tcW w:type="dxa" w:w="968"/>
          </w:tcPr>
          <w:p>
            <w:pPr>
              <w:pStyle w:val="Compact"/>
              <w:spacing w:line="240" w:lineRule="auto" w:before="20" w:after="20"/>
              <w:ind w:firstLine="0"/>
              <w:jc w:val="left"/>
            </w:pPr>
            <w:r>
              <w:rPr>
                <w:rFonts w:ascii="Times New Roman" w:hAnsi="Times New Roman"/>
                <w:sz w:val="18"/>
              </w:rPr>
              <w:t>2019</w:t>
            </w:r>
          </w:p>
        </w:tc>
        <w:tc>
          <w:tcPr>
            <w:tcW w:type="dxa" w:w="2290"/>
          </w:tcPr>
          <w:p>
            <w:pPr>
              <w:pStyle w:val="Compact"/>
              <w:spacing w:line="240" w:lineRule="auto" w:before="20" w:after="20"/>
              <w:ind w:firstLine="0"/>
              <w:jc w:val="right"/>
            </w:pPr>
            <w:r>
              <w:rPr>
                <w:rFonts w:ascii="Times New Roman" w:hAnsi="Times New Roman"/>
                <w:sz w:val="18"/>
              </w:rPr>
              <w:t>4,0325</w:t>
            </w:r>
          </w:p>
        </w:tc>
        <w:tc>
          <w:tcPr>
            <w:tcW w:type="dxa" w:w="2290"/>
          </w:tcPr>
          <w:p>
            <w:pPr>
              <w:pStyle w:val="Compact"/>
              <w:spacing w:line="240" w:lineRule="auto" w:before="20" w:after="20"/>
              <w:ind w:firstLine="0"/>
              <w:jc w:val="right"/>
            </w:pPr>
            <w:r>
              <w:rPr>
                <w:rFonts w:ascii="Times New Roman" w:hAnsi="Times New Roman"/>
                <w:sz w:val="18"/>
              </w:rPr>
              <w:t>−2,42%</w:t>
            </w:r>
          </w:p>
        </w:tc>
        <w:tc>
          <w:tcPr>
            <w:tcW w:type="dxa" w:w="1673"/>
          </w:tcPr>
          <w:p>
            <w:pPr>
              <w:pStyle w:val="Compact"/>
              <w:spacing w:line="240" w:lineRule="auto" w:before="20" w:after="20"/>
              <w:ind w:firstLine="0"/>
              <w:jc w:val="right"/>
            </w:pPr>
            <w:r>
              <w:rPr>
                <w:rFonts w:ascii="Times New Roman" w:hAnsi="Times New Roman"/>
                <w:sz w:val="18"/>
              </w:rPr>
              <w:t>−1,64%</w:t>
            </w:r>
          </w:p>
        </w:tc>
        <w:tc>
          <w:tcPr>
            <w:tcW w:type="dxa" w:w="1849"/>
          </w:tcPr>
          <w:p>
            <w:pPr>
              <w:pStyle w:val="Compact"/>
              <w:spacing w:line="240" w:lineRule="auto" w:before="20" w:after="20"/>
              <w:ind w:firstLine="0"/>
              <w:jc w:val="right"/>
            </w:pPr>
            <w:r>
              <w:rPr>
                <w:rFonts w:ascii="Times New Roman" w:hAnsi="Times New Roman"/>
                <w:sz w:val="18"/>
              </w:rPr>
              <w:t>−0,87%</w:t>
            </w:r>
          </w:p>
        </w:tc>
      </w:tr>
    </w:tbl>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Variação da receita estadual projetada para 2033 em relação ao cenário sem reforma definido pelo ano-base indicado. A variação do coeficiente de destino é de 8% para mais e para menos, correspondente à incerteza relativa estimada para o coeficiente. Variar o peso das compras públicas no IBS estadual entre 0% e 12% altera o coeficiente de destino estadual entre 4,14% e 4,12% e a variação de 2033 entre +0,79% e +0,74%, no ano-base de 2025.</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Elaboração própria, com base nos coeficientes estimados e nas projeções nacionais do modelo.</w:t>
      </w:r>
    </w:p>
    <w:bookmarkEnd w:id="71"/>
    <w:bookmarkStart w:id="75" w:name="X72e72ea8d9dd46fde6e445fc8485680d11923df"/>
    <w:p>
      <w:pPr>
        <w:pStyle w:val="Heading1"/>
        <w:pageBreakBefore/>
      </w:pPr>
      <w:r>
        <w:t xml:space="preserve">Anexo B: Auditoria dos dados municipais e comparação de fontes</w:t>
      </w:r>
    </w:p>
    <w:p>
      <w:pPr>
        <w:pStyle w:val="FirstParagraph"/>
      </w:pPr>
      <w:r>
        <w:t xml:space="preserve">Este anexo documenta como a escolha e a reconciliação das fontes afetam os resultados municipais. A primeira coluna utiliza diretamente os registros municipais disponíveis na DCA/SICONFI. A metodologia adotada no cenário principal mantém o agregado estadual da cota-parte, mas utiliza o Portal da Transparência do Paraná para sua distribuição entre municípios; para o ISS, mantém a DCA como fonte principal e substitui observações apenas quando uma divergência material é confirmada pelo PIT/TCE-PR.</w:t>
      </w:r>
    </w:p>
    <w:bookmarkStart w:id="72" w:name="tab:auditoria_resumo"/>
    <w:p>
      <w:pPr>
        <w:pStyle w:val="TableCaption"/>
      </w:pPr>
      <w:r>
        <w:rPr>
          <w:b/>
          <w:bCs/>
        </w:rPr>
        <w:t xml:space="preserve">Tabela B.1:</w:t>
      </w:r>
      <w:r>
        <w:t xml:space="preserve"> Resultados com uso direto da DCA municipal e com a base auditada</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B.1: Resultados com uso direto da DCA municipal e com a base auditada"/>
      </w:tblPr>
      <w:tblGrid>
        <w:gridCol w:w="4536"/>
        <w:gridCol w:w="2381"/>
        <w:gridCol w:w="2154"/>
      </w:tblGrid>
      <w:tr>
        <w:trPr>
          <w:tblHeader w:val="on"/>
          <w:cantSplit/>
          <w:tblHeader/>
        </w:trPr>
        <w:tc>
          <w:tcPr>
            <w:tcW w:type="dxa" w:w="453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Indicador</w:t>
            </w:r>
          </w:p>
        </w:tc>
        <w:tc>
          <w:tcPr>
            <w:tcW w:type="dxa" w:w="238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DCA municipal</w:t>
            </w:r>
          </w:p>
        </w:tc>
        <w:tc>
          <w:tcPr>
            <w:tcW w:type="dxa" w:w="215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Base auditada</w:t>
            </w:r>
          </w:p>
        </w:tc>
      </w:tr>
      <w:tr>
        <w:trPr>
          <w:cantSplit/>
        </w:trPr>
        <w:tc>
          <w:tcPr>
            <w:tcW w:type="dxa" w:w="4536"/>
          </w:tcPr>
          <w:p>
            <w:pPr>
              <w:pStyle w:val="Compact"/>
              <w:spacing w:line="240" w:lineRule="auto" w:before="20" w:after="20"/>
              <w:ind w:firstLine="0"/>
              <w:jc w:val="left"/>
            </w:pPr>
            <w:r>
              <w:rPr>
                <w:rFonts w:ascii="Times New Roman" w:hAnsi="Times New Roman"/>
                <w:sz w:val="18"/>
              </w:rPr>
              <w:t>Municípios</w:t>
            </w:r>
          </w:p>
        </w:tc>
        <w:tc>
          <w:tcPr>
            <w:tcW w:type="dxa" w:w="2381"/>
          </w:tcPr>
          <w:p>
            <w:pPr>
              <w:pStyle w:val="Compact"/>
              <w:spacing w:line="240" w:lineRule="auto" w:before="20" w:after="20"/>
              <w:ind w:firstLine="0"/>
              <w:jc w:val="right"/>
            </w:pPr>
            <w:r>
              <w:rPr>
                <w:rFonts w:ascii="Times New Roman" w:hAnsi="Times New Roman"/>
                <w:sz w:val="18"/>
              </w:rPr>
              <w:t>399</w:t>
            </w:r>
          </w:p>
        </w:tc>
        <w:tc>
          <w:tcPr>
            <w:tcW w:type="dxa" w:w="2154"/>
          </w:tcPr>
          <w:p>
            <w:pPr>
              <w:pStyle w:val="Compact"/>
              <w:spacing w:line="240" w:lineRule="auto" w:before="20" w:after="20"/>
              <w:ind w:firstLine="0"/>
              <w:jc w:val="right"/>
            </w:pPr>
            <w:r>
              <w:rPr>
                <w:rFonts w:ascii="Times New Roman" w:hAnsi="Times New Roman"/>
                <w:sz w:val="18"/>
              </w:rPr>
              <w:t>399</w:t>
            </w:r>
          </w:p>
        </w:tc>
      </w:tr>
      <w:tr>
        <w:trPr>
          <w:cantSplit/>
        </w:trPr>
        <w:tc>
          <w:tcPr>
            <w:tcW w:type="dxa" w:w="4536"/>
          </w:tcPr>
          <w:p>
            <w:pPr>
              <w:pStyle w:val="Compact"/>
              <w:spacing w:line="240" w:lineRule="auto" w:before="20" w:after="20"/>
              <w:ind w:firstLine="0"/>
              <w:jc w:val="left"/>
            </w:pPr>
            <w:r>
              <w:rPr>
                <w:rFonts w:ascii="Times New Roman" w:hAnsi="Times New Roman"/>
                <w:sz w:val="18"/>
              </w:rPr>
              <w:t xml:space="preserve">Resultado negativo em 2033</w:t>
            </w:r>
          </w:p>
        </w:tc>
        <w:tc>
          <w:tcPr>
            <w:tcW w:type="dxa" w:w="2381"/>
          </w:tcPr>
          <w:p>
            <w:pPr>
              <w:pStyle w:val="Compact"/>
              <w:spacing w:line="240" w:lineRule="auto" w:before="20" w:after="20"/>
              <w:ind w:firstLine="0"/>
              <w:jc w:val="right"/>
            </w:pPr>
            <w:r>
              <w:rPr>
                <w:rFonts w:ascii="Times New Roman" w:hAnsi="Times New Roman"/>
                <w:sz w:val="18"/>
              </w:rPr>
              <w:t>315</w:t>
            </w:r>
          </w:p>
        </w:tc>
        <w:tc>
          <w:tcPr>
            <w:tcW w:type="dxa" w:w="2154"/>
          </w:tcPr>
          <w:p>
            <w:pPr>
              <w:pStyle w:val="Compact"/>
              <w:spacing w:line="240" w:lineRule="auto" w:before="20" w:after="20"/>
              <w:ind w:firstLine="0"/>
              <w:jc w:val="right"/>
            </w:pPr>
            <w:r>
              <w:rPr>
                <w:rFonts w:ascii="Times New Roman" w:hAnsi="Times New Roman"/>
                <w:sz w:val="18"/>
              </w:rPr>
              <w:t>229</w:t>
            </w:r>
          </w:p>
        </w:tc>
      </w:tr>
      <w:tr>
        <w:trPr>
          <w:cantSplit/>
        </w:trPr>
        <w:tc>
          <w:tcPr>
            <w:tcW w:type="dxa" w:w="4536"/>
          </w:tcPr>
          <w:p>
            <w:pPr>
              <w:pStyle w:val="Compact"/>
              <w:spacing w:line="240" w:lineRule="auto" w:before="20" w:after="20"/>
              <w:ind w:firstLine="0"/>
              <w:jc w:val="left"/>
            </w:pPr>
            <w:r>
              <w:rPr>
                <w:rFonts w:ascii="Times New Roman" w:hAnsi="Times New Roman"/>
                <w:sz w:val="18"/>
              </w:rPr>
              <w:t xml:space="preserve">Resultado positivo em 2033</w:t>
            </w:r>
          </w:p>
        </w:tc>
        <w:tc>
          <w:tcPr>
            <w:tcW w:type="dxa" w:w="2381"/>
          </w:tcPr>
          <w:p>
            <w:pPr>
              <w:pStyle w:val="Compact"/>
              <w:spacing w:line="240" w:lineRule="auto" w:before="20" w:after="20"/>
              <w:ind w:firstLine="0"/>
              <w:jc w:val="right"/>
            </w:pPr>
            <w:r>
              <w:rPr>
                <w:rFonts w:ascii="Times New Roman" w:hAnsi="Times New Roman"/>
                <w:sz w:val="18"/>
              </w:rPr>
              <w:t>84</w:t>
            </w:r>
          </w:p>
        </w:tc>
        <w:tc>
          <w:tcPr>
            <w:tcW w:type="dxa" w:w="2154"/>
          </w:tcPr>
          <w:p>
            <w:pPr>
              <w:pStyle w:val="Compact"/>
              <w:spacing w:line="240" w:lineRule="auto" w:before="20" w:after="20"/>
              <w:ind w:firstLine="0"/>
              <w:jc w:val="right"/>
            </w:pPr>
            <w:r>
              <w:rPr>
                <w:rFonts w:ascii="Times New Roman" w:hAnsi="Times New Roman"/>
                <w:sz w:val="18"/>
              </w:rPr>
              <w:t>170</w:t>
            </w:r>
          </w:p>
        </w:tc>
      </w:tr>
      <w:tr>
        <w:trPr>
          <w:cantSplit/>
        </w:trPr>
        <w:tc>
          <w:tcPr>
            <w:tcW w:type="dxa" w:w="4536"/>
          </w:tcPr>
          <w:p>
            <w:pPr>
              <w:pStyle w:val="Compact"/>
              <w:spacing w:line="240" w:lineRule="auto" w:before="20" w:after="20"/>
              <w:ind w:firstLine="0"/>
              <w:jc w:val="left"/>
            </w:pPr>
            <w:r>
              <w:rPr>
                <w:rFonts w:ascii="Times New Roman" w:hAnsi="Times New Roman"/>
                <w:sz w:val="18"/>
              </w:rPr>
              <w:t xml:space="preserve">Mediana da variação em 2033</w:t>
            </w:r>
          </w:p>
        </w:tc>
        <w:tc>
          <w:tcPr>
            <w:tcW w:type="dxa" w:w="2381"/>
          </w:tcPr>
          <w:p>
            <w:pPr>
              <w:pStyle w:val="Compact"/>
              <w:spacing w:line="240" w:lineRule="auto" w:before="20" w:after="20"/>
              <w:ind w:firstLine="0"/>
              <w:jc w:val="right"/>
            </w:pPr>
            <w:r>
              <w:rPr>
                <w:rFonts w:ascii="Times New Roman" w:hAnsi="Times New Roman"/>
                <w:sz w:val="18"/>
              </w:rPr>
              <w:t>−5,78%</w:t>
            </w:r>
          </w:p>
        </w:tc>
        <w:tc>
          <w:tcPr>
            <w:tcW w:type="dxa" w:w="2154"/>
          </w:tcPr>
          <w:p>
            <w:pPr>
              <w:pStyle w:val="Compact"/>
              <w:spacing w:line="240" w:lineRule="auto" w:before="20" w:after="20"/>
              <w:ind w:firstLine="0"/>
              <w:jc w:val="right"/>
            </w:pPr>
            <w:r>
              <w:rPr>
                <w:rFonts w:ascii="Times New Roman" w:hAnsi="Times New Roman"/>
                <w:sz w:val="18"/>
              </w:rPr>
              <w:t>−1,16%</w:t>
            </w:r>
          </w:p>
        </w:tc>
      </w:tr>
      <w:tr>
        <w:trPr>
          <w:cantSplit/>
        </w:trPr>
        <w:tc>
          <w:tcPr>
            <w:tcW w:type="dxa" w:w="4536"/>
          </w:tcPr>
          <w:p>
            <w:pPr>
              <w:pStyle w:val="Compact"/>
              <w:spacing w:line="240" w:lineRule="auto" w:before="20" w:after="20"/>
              <w:ind w:firstLine="0"/>
              <w:jc w:val="left"/>
            </w:pPr>
            <w:r>
              <w:rPr>
                <w:rFonts w:ascii="Times New Roman" w:hAnsi="Times New Roman"/>
                <w:sz w:val="18"/>
              </w:rPr>
              <w:t xml:space="preserve">Repasse municipal do Seguro-Receita, 2029 a 2033</w:t>
            </w:r>
          </w:p>
        </w:tc>
        <w:tc>
          <w:tcPr>
            <w:tcW w:type="dxa" w:w="2381"/>
          </w:tcPr>
          <w:p>
            <w:pPr>
              <w:pStyle w:val="Compact"/>
              <w:spacing w:line="240" w:lineRule="auto" w:before="20" w:after="20"/>
              <w:ind w:firstLine="0"/>
              <w:jc w:val="right"/>
            </w:pPr>
            <w:r>
              <w:rPr>
                <w:rFonts w:ascii="Times New Roman" w:hAnsi="Times New Roman"/>
                <w:sz w:val="18"/>
              </w:rPr>
              <w:t>R$ 598,8 mi</w:t>
            </w:r>
          </w:p>
        </w:tc>
        <w:tc>
          <w:tcPr>
            <w:tcW w:type="dxa" w:w="2154"/>
          </w:tcPr>
          <w:p>
            <w:pPr>
              <w:pStyle w:val="Compact"/>
              <w:spacing w:line="240" w:lineRule="auto" w:before="20" w:after="20"/>
              <w:ind w:firstLine="0"/>
              <w:jc w:val="right"/>
            </w:pPr>
            <w:r>
              <w:rPr>
                <w:rFonts w:ascii="Times New Roman" w:hAnsi="Times New Roman"/>
                <w:sz w:val="18"/>
              </w:rPr>
              <w:t>R$ 562,3 mi</w:t>
            </w:r>
          </w:p>
        </w:tc>
      </w:tr>
      <w:tr>
        <w:trPr>
          <w:cantSplit/>
        </w:trPr>
        <w:tc>
          <w:tcPr>
            <w:tcW w:type="dxa" w:w="4536"/>
          </w:tcPr>
          <w:p>
            <w:pPr>
              <w:pStyle w:val="Compact"/>
              <w:spacing w:line="240" w:lineRule="auto" w:before="20" w:after="20"/>
              <w:ind w:firstLine="0"/>
              <w:jc w:val="left"/>
            </w:pPr>
            <w:r>
              <w:rPr>
                <w:rFonts w:ascii="Times New Roman" w:hAnsi="Times New Roman"/>
                <w:sz w:val="18"/>
              </w:rPr>
              <w:t xml:space="preserve">Variação agregada dos municípios em 2033</w:t>
            </w:r>
          </w:p>
        </w:tc>
        <w:tc>
          <w:tcPr>
            <w:tcW w:type="dxa" w:w="2381"/>
          </w:tcPr>
          <w:p>
            <w:pPr>
              <w:pStyle w:val="Compact"/>
              <w:spacing w:line="240" w:lineRule="auto" w:before="20" w:after="20"/>
              <w:ind w:firstLine="0"/>
              <w:jc w:val="right"/>
            </w:pPr>
            <w:r>
              <w:rPr>
                <w:rFonts w:ascii="Times New Roman" w:hAnsi="Times New Roman"/>
                <w:sz w:val="18"/>
              </w:rPr>
              <w:t>−0,78%</w:t>
            </w:r>
          </w:p>
        </w:tc>
        <w:tc>
          <w:tcPr>
            <w:tcW w:type="dxa" w:w="2154"/>
          </w:tcPr>
          <w:p>
            <w:pPr>
              <w:pStyle w:val="Compact"/>
              <w:spacing w:line="240" w:lineRule="auto" w:before="20" w:after="20"/>
              <w:ind w:firstLine="0"/>
              <w:jc w:val="right"/>
            </w:pPr>
            <w:r>
              <w:rPr>
                <w:rFonts w:ascii="Times New Roman" w:hAnsi="Times New Roman"/>
                <w:sz w:val="18"/>
              </w:rPr>
              <w:t>−2,94%</w:t>
            </w:r>
          </w:p>
        </w:tc>
      </w:tr>
    </w:tbl>
    <w:bookmarkEnd w:id="72"/>
    <w:p>
      <w:pPr>
        <w:pStyle w:val="BodyText"/>
        <w:spacing w:line="240" w:lineRule="auto" w:before="40" w:after="0"/>
        <w:ind w:firstLine="0"/>
        <w:jc w:val="both"/>
      </w:pPr>
      <w:r>
        <w:rPr>
          <w:rFonts w:ascii="Times New Roman" w:hAnsi="Times New Roman"/>
          <w:i/>
          <w:iCs/>
          <w:sz w:val="18"/>
        </w:rPr>
        <w:t>Nota: Nos 399 municípios, 104 mudam de sinal entre as metodologias e a revisão absoluta média da variação de 2033 é de 6,65 pontos percentuais.</w:t>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 a partir das bases auditadas de DCA/SICONFI, Portal da Transparência do Paraná e PIT/TCE-PR.</w:t>
      </w:r>
    </w:p>
    <w:bookmarkStart w:id="73" w:name="tab:auditoria_casos"/>
    <w:p>
      <w:pPr>
        <w:pStyle w:val="TableCaption"/>
      </w:pPr>
      <w:r>
        <w:rPr>
          <w:b/>
          <w:bCs/>
        </w:rPr>
        <w:t xml:space="preserve">Tabela B.2:</w:t>
      </w:r>
      <w:r>
        <w:t xml:space="preserve"> Casos selecionados: uso direto da DCA municipal e base auditada em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B.2: Casos selecionados: uso direto da DCA municipal e base auditada em 2033"/>
      </w:tblPr>
      <w:tblGrid>
        <w:gridCol w:w="2007"/>
        <w:gridCol w:w="1561"/>
        <w:gridCol w:w="1412"/>
        <w:gridCol w:w="1115"/>
        <w:gridCol w:w="2974"/>
      </w:tblGrid>
      <w:tr>
        <w:trPr>
          <w:tblHeader w:val="on"/>
          <w:cantSplit/>
          <w:tblHeader/>
        </w:trPr>
        <w:tc>
          <w:tcPr>
            <w:tcW w:type="dxa" w:w="200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Município</w:t>
            </w:r>
          </w:p>
        </w:tc>
        <w:tc>
          <w:tcPr>
            <w:tcW w:type="dxa" w:w="156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DCA municipal</w:t>
            </w:r>
          </w:p>
        </w:tc>
        <w:tc>
          <w:tcPr>
            <w:tcW w:type="dxa" w:w="141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Auditada</w:t>
            </w:r>
          </w:p>
        </w:tc>
        <w:tc>
          <w:tcPr>
            <w:tcW w:type="dxa" w:w="1115"/>
            <w:tcBorders>
              <w:top w:val="single" w:sz="12" w:space="0" w:color="000000"/>
              <w:bottom w:val="single" w:sz="6" w:space="0" w:color="000000"/>
            </w:tcBorders>
          </w:tcPr>
          <w:p>
            <w:pPr>
              <w:pStyle w:val="Compact"/>
              <w:spacing w:line="240" w:lineRule="auto" w:before="20" w:after="20"/>
              <w:ind w:firstLine="0"/>
              <w:jc w:val="center"/>
            </w:pPr>
            <m:oMath>
              <m:r>
                <m:rPr>
                  <m:sty m:val="p"/>
                </m:rPr>
                <m:t>Δ</m:t>
              </m:r>
            </m:oMath>
            <w:r>
              <w:rPr>
                <w:rFonts w:ascii="Times New Roman" w:hAnsi="Times New Roman"/>
                <w:b/>
                <w:bCs/>
                <w:sz w:val="18"/>
              </w:rPr>
              <w:t xml:space="preserve"> </w:t>
            </w:r>
            <w:r>
              <w:rPr>
                <w:rFonts w:ascii="Times New Roman" w:hAnsi="Times New Roman"/>
                <w:b/>
                <w:bCs/>
                <w:sz w:val="18"/>
              </w:rPr>
              <w:t xml:space="preserve">p.p.</w:t>
            </w:r>
          </w:p>
        </w:tc>
        <w:tc>
          <w:tcPr>
            <w:tcW w:type="dxa" w:w="297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Principal diagnóstico</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Barbosa Ferraz</w:t>
            </w:r>
          </w:p>
        </w:tc>
        <w:tc>
          <w:tcPr>
            <w:tcW w:type="dxa" w:w="1561"/>
          </w:tcPr>
          <w:p>
            <w:pPr>
              <w:pStyle w:val="Compact"/>
              <w:spacing w:line="240" w:lineRule="auto" w:before="20" w:after="20"/>
              <w:ind w:firstLine="0"/>
              <w:jc w:val="right"/>
            </w:pPr>
            <w:r>
              <w:rPr>
                <w:rFonts w:ascii="Times New Roman" w:hAnsi="Times New Roman"/>
                <w:sz w:val="18"/>
              </w:rPr>
              <w:t>+451,9%</w:t>
            </w:r>
          </w:p>
        </w:tc>
        <w:tc>
          <w:tcPr>
            <w:tcW w:type="dxa" w:w="1412"/>
          </w:tcPr>
          <w:p>
            <w:pPr>
              <w:pStyle w:val="Compact"/>
              <w:spacing w:line="240" w:lineRule="auto" w:before="20" w:after="20"/>
              <w:ind w:firstLine="0"/>
              <w:jc w:val="right"/>
            </w:pPr>
            <w:r>
              <w:rPr>
                <w:rFonts w:ascii="Times New Roman" w:hAnsi="Times New Roman"/>
                <w:sz w:val="18"/>
              </w:rPr>
              <w:t>+4,2%</w:t>
            </w:r>
          </w:p>
        </w:tc>
        <w:tc>
          <w:tcPr>
            <w:tcW w:type="dxa" w:w="1115"/>
          </w:tcPr>
          <w:p>
            <w:pPr>
              <w:pStyle w:val="Compact"/>
              <w:spacing w:line="240" w:lineRule="auto" w:before="20" w:after="20"/>
              <w:ind w:firstLine="0"/>
              <w:jc w:val="right"/>
            </w:pPr>
            <w:r>
              <w:rPr>
                <w:rFonts w:ascii="Times New Roman" w:hAnsi="Times New Roman"/>
                <w:sz w:val="18"/>
              </w:rPr>
              <w:t>−447,7</w:t>
            </w:r>
          </w:p>
        </w:tc>
        <w:tc>
          <w:tcPr>
            <w:tcW w:type="dxa" w:w="2974"/>
          </w:tcPr>
          <w:p>
            <w:pPr>
              <w:pStyle w:val="Compact"/>
              <w:spacing w:line="240" w:lineRule="auto" w:before="20" w:after="20"/>
              <w:ind w:firstLine="0"/>
              <w:jc w:val="left"/>
            </w:pPr>
            <w:r>
              <w:rPr>
                <w:rFonts w:ascii="Times New Roman" w:hAnsi="Times New Roman"/>
                <w:sz w:val="18"/>
              </w:rPr>
              <w:t xml:space="preserve">Cota-parte de 2025 incompatível com o repasse estadual.</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Guaraqueçaba</w:t>
            </w:r>
          </w:p>
        </w:tc>
        <w:tc>
          <w:tcPr>
            <w:tcW w:type="dxa" w:w="1561"/>
          </w:tcPr>
          <w:p>
            <w:pPr>
              <w:pStyle w:val="Compact"/>
              <w:spacing w:line="240" w:lineRule="auto" w:before="20" w:after="20"/>
              <w:ind w:firstLine="0"/>
              <w:jc w:val="right"/>
            </w:pPr>
            <w:r>
              <w:rPr>
                <w:rFonts w:ascii="Times New Roman" w:hAnsi="Times New Roman"/>
                <w:sz w:val="18"/>
              </w:rPr>
              <w:t>−58,7%</w:t>
            </w:r>
          </w:p>
        </w:tc>
        <w:tc>
          <w:tcPr>
            <w:tcW w:type="dxa" w:w="1412"/>
          </w:tcPr>
          <w:p>
            <w:pPr>
              <w:pStyle w:val="Compact"/>
              <w:spacing w:line="240" w:lineRule="auto" w:before="20" w:after="20"/>
              <w:ind w:firstLine="0"/>
              <w:jc w:val="right"/>
            </w:pPr>
            <w:r>
              <w:rPr>
                <w:rFonts w:ascii="Times New Roman" w:hAnsi="Times New Roman"/>
                <w:sz w:val="18"/>
              </w:rPr>
              <w:t>+5,5%</w:t>
            </w:r>
          </w:p>
        </w:tc>
        <w:tc>
          <w:tcPr>
            <w:tcW w:type="dxa" w:w="1115"/>
          </w:tcPr>
          <w:p>
            <w:pPr>
              <w:pStyle w:val="Compact"/>
              <w:spacing w:line="240" w:lineRule="auto" w:before="20" w:after="20"/>
              <w:ind w:firstLine="0"/>
              <w:jc w:val="right"/>
            </w:pPr>
            <w:r>
              <w:rPr>
                <w:rFonts w:ascii="Times New Roman" w:hAnsi="Times New Roman"/>
                <w:sz w:val="18"/>
              </w:rPr>
              <w:t>+64,3</w:t>
            </w:r>
          </w:p>
        </w:tc>
        <w:tc>
          <w:tcPr>
            <w:tcW w:type="dxa" w:w="2974"/>
          </w:tcPr>
          <w:p>
            <w:pPr>
              <w:pStyle w:val="Compact"/>
              <w:spacing w:line="240" w:lineRule="auto" w:before="20" w:after="20"/>
              <w:ind w:firstLine="0"/>
              <w:jc w:val="left"/>
            </w:pPr>
            <w:r>
              <w:rPr>
                <w:rFonts w:ascii="Times New Roman" w:hAnsi="Times New Roman"/>
                <w:sz w:val="18"/>
              </w:rPr>
              <w:t xml:space="preserve">Divergência na cota-parte e ISS de 2025; ISS corrigido após confirmação no TCE-PR.</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Jataizinho</w:t>
            </w:r>
          </w:p>
        </w:tc>
        <w:tc>
          <w:tcPr>
            <w:tcW w:type="dxa" w:w="1561"/>
          </w:tcPr>
          <w:p>
            <w:pPr>
              <w:pStyle w:val="Compact"/>
              <w:spacing w:line="240" w:lineRule="auto" w:before="20" w:after="20"/>
              <w:ind w:firstLine="0"/>
              <w:jc w:val="right"/>
            </w:pPr>
            <w:r>
              <w:rPr>
                <w:rFonts w:ascii="Times New Roman" w:hAnsi="Times New Roman"/>
                <w:sz w:val="18"/>
              </w:rPr>
              <w:t>−25,9%</w:t>
            </w:r>
          </w:p>
        </w:tc>
        <w:tc>
          <w:tcPr>
            <w:tcW w:type="dxa" w:w="1412"/>
          </w:tcPr>
          <w:p>
            <w:pPr>
              <w:pStyle w:val="Compact"/>
              <w:spacing w:line="240" w:lineRule="auto" w:before="20" w:after="20"/>
              <w:ind w:firstLine="0"/>
              <w:jc w:val="right"/>
            </w:pPr>
            <w:r>
              <w:rPr>
                <w:rFonts w:ascii="Times New Roman" w:hAnsi="Times New Roman"/>
                <w:sz w:val="18"/>
              </w:rPr>
              <w:t>+11,4%</w:t>
            </w:r>
          </w:p>
        </w:tc>
        <w:tc>
          <w:tcPr>
            <w:tcW w:type="dxa" w:w="1115"/>
          </w:tcPr>
          <w:p>
            <w:pPr>
              <w:pStyle w:val="Compact"/>
              <w:spacing w:line="240" w:lineRule="auto" w:before="20" w:after="20"/>
              <w:ind w:firstLine="0"/>
              <w:jc w:val="right"/>
            </w:pPr>
            <w:r>
              <w:rPr>
                <w:rFonts w:ascii="Times New Roman" w:hAnsi="Times New Roman"/>
                <w:sz w:val="18"/>
              </w:rPr>
              <w:t>+37,3</w:t>
            </w:r>
          </w:p>
        </w:tc>
        <w:tc>
          <w:tcPr>
            <w:tcW w:type="dxa" w:w="2974"/>
          </w:tcPr>
          <w:p>
            <w:pPr>
              <w:pStyle w:val="Compact"/>
              <w:spacing w:line="240" w:lineRule="auto" w:before="20" w:after="20"/>
              <w:ind w:firstLine="0"/>
              <w:jc w:val="left"/>
            </w:pPr>
            <w:r>
              <w:rPr>
                <w:rFonts w:ascii="Times New Roman" w:hAnsi="Times New Roman"/>
                <w:sz w:val="18"/>
              </w:rPr>
              <w:t xml:space="preserve">Série incompleta; tratamento de faltantes alterava a média histórica.</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Alto Piquiri</w:t>
            </w:r>
          </w:p>
        </w:tc>
        <w:tc>
          <w:tcPr>
            <w:tcW w:type="dxa" w:w="1561"/>
          </w:tcPr>
          <w:p>
            <w:pPr>
              <w:pStyle w:val="Compact"/>
              <w:spacing w:line="240" w:lineRule="auto" w:before="20" w:after="20"/>
              <w:ind w:firstLine="0"/>
              <w:jc w:val="right"/>
            </w:pPr>
            <w:r>
              <w:rPr>
                <w:rFonts w:ascii="Times New Roman" w:hAnsi="Times New Roman"/>
                <w:sz w:val="18"/>
              </w:rPr>
              <w:t>−27,2%</w:t>
            </w:r>
          </w:p>
        </w:tc>
        <w:tc>
          <w:tcPr>
            <w:tcW w:type="dxa" w:w="1412"/>
          </w:tcPr>
          <w:p>
            <w:pPr>
              <w:pStyle w:val="Compact"/>
              <w:spacing w:line="240" w:lineRule="auto" w:before="20" w:after="20"/>
              <w:ind w:firstLine="0"/>
              <w:jc w:val="right"/>
            </w:pPr>
            <w:r>
              <w:rPr>
                <w:rFonts w:ascii="Times New Roman" w:hAnsi="Times New Roman"/>
                <w:sz w:val="18"/>
              </w:rPr>
              <w:t>−1,4%</w:t>
            </w:r>
          </w:p>
        </w:tc>
        <w:tc>
          <w:tcPr>
            <w:tcW w:type="dxa" w:w="1115"/>
          </w:tcPr>
          <w:p>
            <w:pPr>
              <w:pStyle w:val="Compact"/>
              <w:spacing w:line="240" w:lineRule="auto" w:before="20" w:after="20"/>
              <w:ind w:firstLine="0"/>
              <w:jc w:val="right"/>
            </w:pPr>
            <w:r>
              <w:rPr>
                <w:rFonts w:ascii="Times New Roman" w:hAnsi="Times New Roman"/>
                <w:sz w:val="18"/>
              </w:rPr>
              <w:t>+25,8</w:t>
            </w:r>
          </w:p>
        </w:tc>
        <w:tc>
          <w:tcPr>
            <w:tcW w:type="dxa" w:w="2974"/>
          </w:tcPr>
          <w:p>
            <w:pPr>
              <w:pStyle w:val="Compact"/>
              <w:spacing w:line="240" w:lineRule="auto" w:before="20" w:after="20"/>
              <w:ind w:firstLine="0"/>
              <w:jc w:val="left"/>
            </w:pPr>
            <w:r>
              <w:rPr>
                <w:rFonts w:ascii="Times New Roman" w:hAnsi="Times New Roman"/>
                <w:sz w:val="18"/>
              </w:rPr>
              <w:t xml:space="preserve">Cobertura parcial em anos da série histórica.</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Icaraíma</w:t>
            </w:r>
          </w:p>
        </w:tc>
        <w:tc>
          <w:tcPr>
            <w:tcW w:type="dxa" w:w="1561"/>
          </w:tcPr>
          <w:p>
            <w:pPr>
              <w:pStyle w:val="Compact"/>
              <w:spacing w:line="240" w:lineRule="auto" w:before="20" w:after="20"/>
              <w:ind w:firstLine="0"/>
              <w:jc w:val="right"/>
            </w:pPr>
            <w:r>
              <w:rPr>
                <w:rFonts w:ascii="Times New Roman" w:hAnsi="Times New Roman"/>
                <w:sz w:val="18"/>
              </w:rPr>
              <w:t>−18,7%</w:t>
            </w:r>
          </w:p>
        </w:tc>
        <w:tc>
          <w:tcPr>
            <w:tcW w:type="dxa" w:w="1412"/>
          </w:tcPr>
          <w:p>
            <w:pPr>
              <w:pStyle w:val="Compact"/>
              <w:spacing w:line="240" w:lineRule="auto" w:before="20" w:after="20"/>
              <w:ind w:firstLine="0"/>
              <w:jc w:val="right"/>
            </w:pPr>
            <w:r>
              <w:rPr>
                <w:rFonts w:ascii="Times New Roman" w:hAnsi="Times New Roman"/>
                <w:sz w:val="18"/>
              </w:rPr>
              <w:t>+4,2%</w:t>
            </w:r>
          </w:p>
        </w:tc>
        <w:tc>
          <w:tcPr>
            <w:tcW w:type="dxa" w:w="1115"/>
          </w:tcPr>
          <w:p>
            <w:pPr>
              <w:pStyle w:val="Compact"/>
              <w:spacing w:line="240" w:lineRule="auto" w:before="20" w:after="20"/>
              <w:ind w:firstLine="0"/>
              <w:jc w:val="right"/>
            </w:pPr>
            <w:r>
              <w:rPr>
                <w:rFonts w:ascii="Times New Roman" w:hAnsi="Times New Roman"/>
                <w:sz w:val="18"/>
              </w:rPr>
              <w:t>+22,9</w:t>
            </w:r>
          </w:p>
        </w:tc>
        <w:tc>
          <w:tcPr>
            <w:tcW w:type="dxa" w:w="2974"/>
          </w:tcPr>
          <w:p>
            <w:pPr>
              <w:pStyle w:val="Compact"/>
              <w:spacing w:line="240" w:lineRule="auto" w:before="20" w:after="20"/>
              <w:ind w:firstLine="0"/>
              <w:jc w:val="left"/>
            </w:pPr>
            <w:r>
              <w:rPr>
                <w:rFonts w:ascii="Times New Roman" w:hAnsi="Times New Roman"/>
                <w:sz w:val="18"/>
              </w:rPr>
              <w:t xml:space="preserve">Divergências na distribuição da cota-parte ao longo da série.</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Guaratuba</w:t>
            </w:r>
          </w:p>
        </w:tc>
        <w:tc>
          <w:tcPr>
            <w:tcW w:type="dxa" w:w="1561"/>
          </w:tcPr>
          <w:p>
            <w:pPr>
              <w:pStyle w:val="Compact"/>
              <w:spacing w:line="240" w:lineRule="auto" w:before="20" w:after="20"/>
              <w:ind w:firstLine="0"/>
              <w:jc w:val="right"/>
            </w:pPr>
            <w:r>
              <w:rPr>
                <w:rFonts w:ascii="Times New Roman" w:hAnsi="Times New Roman"/>
                <w:sz w:val="18"/>
              </w:rPr>
              <w:t>+9,4%</w:t>
            </w:r>
          </w:p>
        </w:tc>
        <w:tc>
          <w:tcPr>
            <w:tcW w:type="dxa" w:w="1412"/>
          </w:tcPr>
          <w:p>
            <w:pPr>
              <w:pStyle w:val="Compact"/>
              <w:spacing w:line="240" w:lineRule="auto" w:before="20" w:after="20"/>
              <w:ind w:firstLine="0"/>
              <w:jc w:val="right"/>
            </w:pPr>
            <w:r>
              <w:rPr>
                <w:rFonts w:ascii="Times New Roman" w:hAnsi="Times New Roman"/>
                <w:sz w:val="18"/>
              </w:rPr>
              <w:t>−15,0%</w:t>
            </w:r>
          </w:p>
        </w:tc>
        <w:tc>
          <w:tcPr>
            <w:tcW w:type="dxa" w:w="1115"/>
          </w:tcPr>
          <w:p>
            <w:pPr>
              <w:pStyle w:val="Compact"/>
              <w:spacing w:line="240" w:lineRule="auto" w:before="20" w:after="20"/>
              <w:ind w:firstLine="0"/>
              <w:jc w:val="right"/>
            </w:pPr>
            <w:r>
              <w:rPr>
                <w:rFonts w:ascii="Times New Roman" w:hAnsi="Times New Roman"/>
                <w:sz w:val="18"/>
              </w:rPr>
              <w:t>−24,4</w:t>
            </w:r>
          </w:p>
        </w:tc>
        <w:tc>
          <w:tcPr>
            <w:tcW w:type="dxa" w:w="2974"/>
          </w:tcPr>
          <w:p>
            <w:pPr>
              <w:pStyle w:val="Compact"/>
              <w:spacing w:line="240" w:lineRule="auto" w:before="20" w:after="20"/>
              <w:ind w:firstLine="0"/>
              <w:jc w:val="left"/>
            </w:pPr>
            <w:r>
              <w:rPr>
                <w:rFonts w:ascii="Times New Roman" w:hAnsi="Times New Roman"/>
                <w:sz w:val="18"/>
              </w:rPr>
              <w:t xml:space="preserve">Fotografia anterior de 2025 subestimava a cota-parte; nova coleta coincide com o Portal estadual.</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São João do Caiuá</w:t>
            </w:r>
          </w:p>
        </w:tc>
        <w:tc>
          <w:tcPr>
            <w:tcW w:type="dxa" w:w="1561"/>
          </w:tcPr>
          <w:p>
            <w:pPr>
              <w:pStyle w:val="Compact"/>
              <w:spacing w:line="240" w:lineRule="auto" w:before="20" w:after="20"/>
              <w:ind w:firstLine="0"/>
              <w:jc w:val="right"/>
            </w:pPr>
            <w:r>
              <w:rPr>
                <w:rFonts w:ascii="Times New Roman" w:hAnsi="Times New Roman"/>
                <w:sz w:val="18"/>
              </w:rPr>
              <w:t>+18,8%</w:t>
            </w:r>
          </w:p>
        </w:tc>
        <w:tc>
          <w:tcPr>
            <w:tcW w:type="dxa" w:w="1412"/>
          </w:tcPr>
          <w:p>
            <w:pPr>
              <w:pStyle w:val="Compact"/>
              <w:spacing w:line="240" w:lineRule="auto" w:before="20" w:after="20"/>
              <w:ind w:firstLine="0"/>
              <w:jc w:val="right"/>
            </w:pPr>
            <w:r>
              <w:rPr>
                <w:rFonts w:ascii="Times New Roman" w:hAnsi="Times New Roman"/>
                <w:sz w:val="18"/>
              </w:rPr>
              <w:t>−5,9%</w:t>
            </w:r>
          </w:p>
        </w:tc>
        <w:tc>
          <w:tcPr>
            <w:tcW w:type="dxa" w:w="1115"/>
          </w:tcPr>
          <w:p>
            <w:pPr>
              <w:pStyle w:val="Compact"/>
              <w:spacing w:line="240" w:lineRule="auto" w:before="20" w:after="20"/>
              <w:ind w:firstLine="0"/>
              <w:jc w:val="right"/>
            </w:pPr>
            <w:r>
              <w:rPr>
                <w:rFonts w:ascii="Times New Roman" w:hAnsi="Times New Roman"/>
                <w:sz w:val="18"/>
              </w:rPr>
              <w:t>−24,7</w:t>
            </w:r>
          </w:p>
        </w:tc>
        <w:tc>
          <w:tcPr>
            <w:tcW w:type="dxa" w:w="2974"/>
          </w:tcPr>
          <w:p>
            <w:pPr>
              <w:pStyle w:val="Compact"/>
              <w:spacing w:line="240" w:lineRule="auto" w:before="20" w:after="20"/>
              <w:ind w:firstLine="0"/>
              <w:jc w:val="left"/>
            </w:pPr>
            <w:r>
              <w:rPr>
                <w:rFonts w:ascii="Times New Roman" w:hAnsi="Times New Roman"/>
                <w:sz w:val="18"/>
              </w:rPr>
              <w:t xml:space="preserve">ISS de 2020 corrigido após confronto com o PIT/TCE-PR.</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Campo do Tenente</w:t>
            </w:r>
          </w:p>
        </w:tc>
        <w:tc>
          <w:tcPr>
            <w:tcW w:type="dxa" w:w="1561"/>
          </w:tcPr>
          <w:p>
            <w:pPr>
              <w:pStyle w:val="Compact"/>
              <w:spacing w:line="240" w:lineRule="auto" w:before="20" w:after="20"/>
              <w:ind w:firstLine="0"/>
              <w:jc w:val="right"/>
            </w:pPr>
            <w:r>
              <w:rPr>
                <w:rFonts w:ascii="Times New Roman" w:hAnsi="Times New Roman"/>
                <w:sz w:val="18"/>
              </w:rPr>
              <w:t>−21,7%</w:t>
            </w:r>
          </w:p>
        </w:tc>
        <w:tc>
          <w:tcPr>
            <w:tcW w:type="dxa" w:w="1412"/>
          </w:tcPr>
          <w:p>
            <w:pPr>
              <w:pStyle w:val="Compact"/>
              <w:spacing w:line="240" w:lineRule="auto" w:before="20" w:after="20"/>
              <w:ind w:firstLine="0"/>
              <w:jc w:val="right"/>
            </w:pPr>
            <w:r>
              <w:rPr>
                <w:rFonts w:ascii="Times New Roman" w:hAnsi="Times New Roman"/>
                <w:sz w:val="18"/>
              </w:rPr>
              <w:t>−4,3%</w:t>
            </w:r>
          </w:p>
        </w:tc>
        <w:tc>
          <w:tcPr>
            <w:tcW w:type="dxa" w:w="1115"/>
          </w:tcPr>
          <w:p>
            <w:pPr>
              <w:pStyle w:val="Compact"/>
              <w:spacing w:line="240" w:lineRule="auto" w:before="20" w:after="20"/>
              <w:ind w:firstLine="0"/>
              <w:jc w:val="right"/>
            </w:pPr>
            <w:r>
              <w:rPr>
                <w:rFonts w:ascii="Times New Roman" w:hAnsi="Times New Roman"/>
                <w:sz w:val="18"/>
              </w:rPr>
              <w:t>+17,5</w:t>
            </w:r>
          </w:p>
        </w:tc>
        <w:tc>
          <w:tcPr>
            <w:tcW w:type="dxa" w:w="2974"/>
          </w:tcPr>
          <w:p>
            <w:pPr>
              <w:pStyle w:val="Compact"/>
              <w:spacing w:line="240" w:lineRule="auto" w:before="20" w:after="20"/>
              <w:ind w:firstLine="0"/>
              <w:jc w:val="left"/>
            </w:pPr>
            <w:r>
              <w:rPr>
                <w:rFonts w:ascii="Times New Roman" w:hAnsi="Times New Roman"/>
                <w:sz w:val="18"/>
              </w:rPr>
              <w:t xml:space="preserve">Revisão da série de referência após reconciliação.</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Reserva do Iguaçu</w:t>
            </w:r>
          </w:p>
        </w:tc>
        <w:tc>
          <w:tcPr>
            <w:tcW w:type="dxa" w:w="1561"/>
          </w:tcPr>
          <w:p>
            <w:pPr>
              <w:pStyle w:val="Compact"/>
              <w:spacing w:line="240" w:lineRule="auto" w:before="20" w:after="20"/>
              <w:ind w:firstLine="0"/>
              <w:jc w:val="right"/>
            </w:pPr>
            <w:r>
              <w:rPr>
                <w:rFonts w:ascii="Times New Roman" w:hAnsi="Times New Roman"/>
                <w:sz w:val="18"/>
              </w:rPr>
              <w:t>+0,9%</w:t>
            </w:r>
          </w:p>
        </w:tc>
        <w:tc>
          <w:tcPr>
            <w:tcW w:type="dxa" w:w="1412"/>
          </w:tcPr>
          <w:p>
            <w:pPr>
              <w:pStyle w:val="Compact"/>
              <w:spacing w:line="240" w:lineRule="auto" w:before="20" w:after="20"/>
              <w:ind w:firstLine="0"/>
              <w:jc w:val="right"/>
            </w:pPr>
            <w:r>
              <w:rPr>
                <w:rFonts w:ascii="Times New Roman" w:hAnsi="Times New Roman"/>
                <w:sz w:val="18"/>
              </w:rPr>
              <w:t>−17,3%</w:t>
            </w:r>
          </w:p>
        </w:tc>
        <w:tc>
          <w:tcPr>
            <w:tcW w:type="dxa" w:w="1115"/>
          </w:tcPr>
          <w:p>
            <w:pPr>
              <w:pStyle w:val="Compact"/>
              <w:spacing w:line="240" w:lineRule="auto" w:before="20" w:after="20"/>
              <w:ind w:firstLine="0"/>
              <w:jc w:val="right"/>
            </w:pPr>
            <w:r>
              <w:rPr>
                <w:rFonts w:ascii="Times New Roman" w:hAnsi="Times New Roman"/>
                <w:sz w:val="18"/>
              </w:rPr>
              <w:t>−18,2</w:t>
            </w:r>
          </w:p>
        </w:tc>
        <w:tc>
          <w:tcPr>
            <w:tcW w:type="dxa" w:w="2974"/>
          </w:tcPr>
          <w:p>
            <w:pPr>
              <w:pStyle w:val="Compact"/>
              <w:spacing w:line="240" w:lineRule="auto" w:before="20" w:after="20"/>
              <w:ind w:firstLine="0"/>
              <w:jc w:val="left"/>
            </w:pPr>
            <w:r>
              <w:rPr>
                <w:rFonts w:ascii="Times New Roman" w:hAnsi="Times New Roman"/>
                <w:sz w:val="18"/>
              </w:rPr>
              <w:t xml:space="preserve">Nova série altera a relação entre base de 2025 e média histórica.</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Campina da Lagoa</w:t>
            </w:r>
          </w:p>
        </w:tc>
        <w:tc>
          <w:tcPr>
            <w:tcW w:type="dxa" w:w="1561"/>
          </w:tcPr>
          <w:p>
            <w:pPr>
              <w:pStyle w:val="Compact"/>
              <w:spacing w:line="240" w:lineRule="auto" w:before="20" w:after="20"/>
              <w:ind w:firstLine="0"/>
              <w:jc w:val="right"/>
            </w:pPr>
            <w:r>
              <w:rPr>
                <w:rFonts w:ascii="Times New Roman" w:hAnsi="Times New Roman"/>
                <w:sz w:val="18"/>
              </w:rPr>
              <w:t>−14,9%</w:t>
            </w:r>
          </w:p>
        </w:tc>
        <w:tc>
          <w:tcPr>
            <w:tcW w:type="dxa" w:w="1412"/>
          </w:tcPr>
          <w:p>
            <w:pPr>
              <w:pStyle w:val="Compact"/>
              <w:spacing w:line="240" w:lineRule="auto" w:before="20" w:after="20"/>
              <w:ind w:firstLine="0"/>
              <w:jc w:val="right"/>
            </w:pPr>
            <w:r>
              <w:rPr>
                <w:rFonts w:ascii="Times New Roman" w:hAnsi="Times New Roman"/>
                <w:sz w:val="18"/>
              </w:rPr>
              <w:t>+0,1%</w:t>
            </w:r>
          </w:p>
        </w:tc>
        <w:tc>
          <w:tcPr>
            <w:tcW w:type="dxa" w:w="1115"/>
          </w:tcPr>
          <w:p>
            <w:pPr>
              <w:pStyle w:val="Compact"/>
              <w:spacing w:line="240" w:lineRule="auto" w:before="20" w:after="20"/>
              <w:ind w:firstLine="0"/>
              <w:jc w:val="right"/>
            </w:pPr>
            <w:r>
              <w:rPr>
                <w:rFonts w:ascii="Times New Roman" w:hAnsi="Times New Roman"/>
                <w:sz w:val="18"/>
              </w:rPr>
              <w:t>+15,0</w:t>
            </w:r>
          </w:p>
        </w:tc>
        <w:tc>
          <w:tcPr>
            <w:tcW w:type="dxa" w:w="2974"/>
          </w:tcPr>
          <w:p>
            <w:pPr>
              <w:pStyle w:val="Compact"/>
              <w:spacing w:line="240" w:lineRule="auto" w:before="20" w:after="20"/>
              <w:ind w:firstLine="0"/>
              <w:jc w:val="left"/>
            </w:pPr>
            <w:r>
              <w:rPr>
                <w:rFonts w:ascii="Times New Roman" w:hAnsi="Times New Roman"/>
                <w:sz w:val="18"/>
              </w:rPr>
              <w:t xml:space="preserve">Cobertura da série e reconstrução da cota-parte.</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Almirante Tamandaré</w:t>
            </w:r>
          </w:p>
        </w:tc>
        <w:tc>
          <w:tcPr>
            <w:tcW w:type="dxa" w:w="1561"/>
          </w:tcPr>
          <w:p>
            <w:pPr>
              <w:pStyle w:val="Compact"/>
              <w:spacing w:line="240" w:lineRule="auto" w:before="20" w:after="20"/>
              <w:ind w:firstLine="0"/>
              <w:jc w:val="right"/>
            </w:pPr>
            <w:r>
              <w:rPr>
                <w:rFonts w:ascii="Times New Roman" w:hAnsi="Times New Roman"/>
                <w:sz w:val="18"/>
              </w:rPr>
              <w:t>+32,5%</w:t>
            </w:r>
          </w:p>
        </w:tc>
        <w:tc>
          <w:tcPr>
            <w:tcW w:type="dxa" w:w="1412"/>
          </w:tcPr>
          <w:p>
            <w:pPr>
              <w:pStyle w:val="Compact"/>
              <w:spacing w:line="240" w:lineRule="auto" w:before="20" w:after="20"/>
              <w:ind w:firstLine="0"/>
              <w:jc w:val="right"/>
            </w:pPr>
            <w:r>
              <w:rPr>
                <w:rFonts w:ascii="Times New Roman" w:hAnsi="Times New Roman"/>
                <w:sz w:val="18"/>
              </w:rPr>
              <w:t>+11,0%</w:t>
            </w:r>
          </w:p>
        </w:tc>
        <w:tc>
          <w:tcPr>
            <w:tcW w:type="dxa" w:w="1115"/>
          </w:tcPr>
          <w:p>
            <w:pPr>
              <w:pStyle w:val="Compact"/>
              <w:spacing w:line="240" w:lineRule="auto" w:before="20" w:after="20"/>
              <w:ind w:firstLine="0"/>
              <w:jc w:val="right"/>
            </w:pPr>
            <w:r>
              <w:rPr>
                <w:rFonts w:ascii="Times New Roman" w:hAnsi="Times New Roman"/>
                <w:sz w:val="18"/>
              </w:rPr>
              <w:t>−21,5</w:t>
            </w:r>
          </w:p>
        </w:tc>
        <w:tc>
          <w:tcPr>
            <w:tcW w:type="dxa" w:w="2974"/>
          </w:tcPr>
          <w:p>
            <w:pPr>
              <w:pStyle w:val="Compact"/>
              <w:spacing w:line="240" w:lineRule="auto" w:before="20" w:after="20"/>
              <w:ind w:firstLine="0"/>
              <w:jc w:val="left"/>
            </w:pPr>
            <w:r>
              <w:rPr>
                <w:rFonts w:ascii="Times New Roman" w:hAnsi="Times New Roman"/>
                <w:sz w:val="18"/>
              </w:rPr>
              <w:t xml:space="preserve">Revisão da base de 2025 e do coeficiente histórico municipal.</w:t>
            </w:r>
          </w:p>
        </w:tc>
      </w:tr>
      <w:tr>
        <w:trPr>
          <w:cantSplit/>
        </w:trPr>
        <w:tc>
          <w:tcPr>
            <w:tcW w:type="dxa" w:w="2007"/>
          </w:tcPr>
          <w:p>
            <w:pPr>
              <w:pStyle w:val="Compact"/>
              <w:spacing w:line="240" w:lineRule="auto" w:before="20" w:after="20"/>
              <w:ind w:firstLine="0"/>
              <w:jc w:val="left"/>
            </w:pPr>
            <w:r>
              <w:rPr>
                <w:rFonts w:ascii="Times New Roman" w:hAnsi="Times New Roman"/>
                <w:sz w:val="18"/>
              </w:rPr>
              <w:t xml:space="preserve">Pontal do Paraná</w:t>
            </w:r>
          </w:p>
        </w:tc>
        <w:tc>
          <w:tcPr>
            <w:tcW w:type="dxa" w:w="1561"/>
          </w:tcPr>
          <w:p>
            <w:pPr>
              <w:pStyle w:val="Compact"/>
              <w:spacing w:line="240" w:lineRule="auto" w:before="20" w:after="20"/>
              <w:ind w:firstLine="0"/>
              <w:jc w:val="right"/>
            </w:pPr>
            <w:r>
              <w:rPr>
                <w:rFonts w:ascii="Times New Roman" w:hAnsi="Times New Roman"/>
                <w:sz w:val="18"/>
              </w:rPr>
              <w:t>+102,4%</w:t>
            </w:r>
          </w:p>
        </w:tc>
        <w:tc>
          <w:tcPr>
            <w:tcW w:type="dxa" w:w="1412"/>
          </w:tcPr>
          <w:p>
            <w:pPr>
              <w:pStyle w:val="Compact"/>
              <w:spacing w:line="240" w:lineRule="auto" w:before="20" w:after="20"/>
              <w:ind w:firstLine="0"/>
              <w:jc w:val="right"/>
            </w:pPr>
            <w:r>
              <w:rPr>
                <w:rFonts w:ascii="Times New Roman" w:hAnsi="Times New Roman"/>
                <w:sz w:val="18"/>
              </w:rPr>
              <w:t>+111,0%</w:t>
            </w:r>
          </w:p>
        </w:tc>
        <w:tc>
          <w:tcPr>
            <w:tcW w:type="dxa" w:w="1115"/>
          </w:tcPr>
          <w:p>
            <w:pPr>
              <w:pStyle w:val="Compact"/>
              <w:spacing w:line="240" w:lineRule="auto" w:before="20" w:after="20"/>
              <w:ind w:firstLine="0"/>
              <w:jc w:val="right"/>
            </w:pPr>
            <w:r>
              <w:rPr>
                <w:rFonts w:ascii="Times New Roman" w:hAnsi="Times New Roman"/>
                <w:sz w:val="18"/>
              </w:rPr>
              <w:t>+8,6</w:t>
            </w:r>
          </w:p>
        </w:tc>
        <w:tc>
          <w:tcPr>
            <w:tcW w:type="dxa" w:w="2974"/>
          </w:tcPr>
          <w:p>
            <w:pPr>
              <w:pStyle w:val="Compact"/>
              <w:spacing w:line="240" w:lineRule="auto" w:before="20" w:after="20"/>
              <w:ind w:firstLine="0"/>
              <w:jc w:val="left"/>
            </w:pPr>
            <w:r>
              <w:rPr>
                <w:rFonts w:ascii="Times New Roman" w:hAnsi="Times New Roman"/>
                <w:sz w:val="18"/>
              </w:rPr>
              <w:t xml:space="preserve">Outlier preservado: valores históricos elevados são confirmados pela fonte estadual.</w:t>
            </w:r>
          </w:p>
        </w:tc>
      </w:tr>
    </w:tbl>
    <w:bookmarkEnd w:id="73"/>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A diferença em pontos percentuais corresponde à base auditada menos o resultado obtido com uso direto da DCA municipal. Os casos foram selecionados por magnitude da revisão e valor ilustrativo para a auditoria.</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w:t>
      </w:r>
    </w:p>
    <w:p>
      <w:pPr>
        <w:pStyle w:val="BodyText"/>
      </w:pPr>
      <w:r>
        <w:t xml:space="preserve">A auditoria encontrou cinco observações de ISS cuja divergência em relação ao PIT/TCE-PR superou 20% e foi, por isso, corrigida: São João do Caiuá em 2020, Terra Boa e Santo Antônio do Paraíso em 2021, Itaipulândia em 2022 e Guaraqueçaba em 2025. Em contraste, diversos sinais temporais extremos foram confirmados pela segunda fonte e permaneceram inalterados. Essa distinção evita que a rotina de consistência transforme automaticamente um valor raro em valor errado.</w:t>
      </w:r>
    </w:p>
    <w:p>
      <w:pPr>
        <w:pStyle w:val="BodyText"/>
      </w:pPr>
      <w:r>
        <w:t xml:space="preserve">A comparação mostra que a reconciliação entre fontes oficiais é material para um subconjunto de municípios. As implicações institucionais desse resultado, inclusive procedimentos de pré-validação e trilha de auditoria para dados que alimentem coeficientes de repartição, são desenvolvidas na seção de discussão.</w:t>
      </w:r>
    </w:p>
    <w:bookmarkStart w:id="74" w:name="tab:ranking20_municipios"/>
    <w:p>
      <w:pPr>
        <w:pStyle w:val="TableCaption"/>
      </w:pPr>
      <w:r>
        <w:rPr>
          <w:b/>
          <w:bCs/>
        </w:rPr>
        <w:t>Tabela B.3: Vinte maiores perdas e ganhos municipais em 2033, em R$ milhões e em variação percentual</w:t>
      </w:r>
      <w:r/>
    </w:p>
    <w:tbl>
      <w:tblPr>
        <w:tblStyle w:val="Table"/>
        <w:tblW w:type="dxa" w:w="9072"/>
        <w:tblBorders>
          <w:top w:val="single" w:sz="12" w:space="0" w:color="000000"/>
          <w:bottom w:val="single" w:sz="12" w:space="0" w:color="000000"/>
        </w:tblBorders>
        <w:tblLayout w:type="fixed"/>
        <w:tblCellMar>
          <w:left w:w="60" w:type="dxa"/>
          <w:right w:w="60" w:type="dxa"/>
        </w:tblCellMar>
        <w:tblLook w:firstRow="0" w:lastRow="0" w:firstColumn="0" w:lastColumn="0" w:noHBand="0" w:noVBand="0" w:val="0000"/>
        <w:tblCaption w:val="Tabela B.3: Vinte maiores perdas e ganhos municipais em 2033, amostra principal"/>
      </w:tblPr>
      <w:tblGrid>
        <w:gridCol w:w="2637"/>
        <w:gridCol w:w="2004"/>
        <w:gridCol w:w="2426"/>
        <w:gridCol w:w="2004"/>
      </w:tblGrid>
      <w:tr>
        <w:trPr>
          <w:cantSplit/>
          <w:tblHeader/>
        </w:trPr>
        <w:tc>
          <w:tcPr>
            <w:tcW w:type="dxa" w:w="4641"/>
            <w:gridSpan w:val="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Maiores perdas</w:t>
            </w:r>
          </w:p>
        </w:tc>
        <w:tc>
          <w:tcPr>
            <w:tcW w:type="dxa" w:w="4430"/>
            <w:gridSpan w:val="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8"/>
              </w:rPr>
              <w:t xml:space="preserve">Maiores ganhos</w:t>
            </w:r>
          </w:p>
        </w:tc>
      </w:tr>
      <w:tr>
        <w:trPr>
          <w:cantSplit/>
        </w:trPr>
        <w:tc>
          <w:tcPr>
            <w:tcW w:type="dxa" w:w="2637"/>
          </w:tcPr>
          <w:p>
            <w:pPr>
              <w:pStyle w:val="Compact"/>
              <w:spacing w:line="240" w:lineRule="auto" w:before="20" w:after="20"/>
              <w:ind w:firstLine="0"/>
              <w:jc w:val="left"/>
            </w:pPr>
            <w:r>
              <w:rPr>
                <w:rFonts w:ascii="Times New Roman" w:hAnsi="Times New Roman"/>
                <w:b/>
                <w:bCs/>
                <w:sz w:val="18"/>
              </w:rPr>
              <w:t xml:space="preserve">Município</w:t>
            </w:r>
          </w:p>
        </w:tc>
        <w:tc>
          <w:tcPr>
            <w:tcW w:type="dxa" w:w="2004"/>
          </w:tcPr>
          <w:p>
            <w:pPr>
              <w:pStyle w:val="Compact"/>
              <w:spacing w:line="240" w:lineRule="auto" w:before="20" w:after="20"/>
              <w:ind w:firstLine="0"/>
              <w:jc w:val="right"/>
            </w:pPr>
            <w:r>
              <w:rPr>
                <w:rFonts w:ascii="Times New Roman" w:hAnsi="Times New Roman"/>
                <w:b/>
                <w:bCs/>
                <w:sz w:val="18"/>
              </w:rPr>
              <w:t>R$ mi (%)</w:t>
            </w:r>
          </w:p>
        </w:tc>
        <w:tc>
          <w:tcPr>
            <w:tcW w:type="dxa" w:w="2426"/>
          </w:tcPr>
          <w:p>
            <w:pPr>
              <w:pStyle w:val="Compact"/>
              <w:spacing w:line="240" w:lineRule="auto" w:before="20" w:after="20"/>
              <w:ind w:firstLine="0"/>
              <w:jc w:val="left"/>
            </w:pPr>
            <w:r>
              <w:rPr>
                <w:rFonts w:ascii="Times New Roman" w:hAnsi="Times New Roman"/>
                <w:b/>
                <w:bCs/>
                <w:sz w:val="18"/>
              </w:rPr>
              <w:t xml:space="preserve">Município</w:t>
            </w:r>
          </w:p>
        </w:tc>
        <w:tc>
          <w:tcPr>
            <w:tcW w:type="dxa" w:w="2004"/>
          </w:tcPr>
          <w:p>
            <w:pPr>
              <w:pStyle w:val="Compact"/>
              <w:spacing w:line="240" w:lineRule="auto" w:before="20" w:after="20"/>
              <w:ind w:firstLine="0"/>
              <w:jc w:val="right"/>
            </w:pPr>
            <w:r>
              <w:rPr>
                <w:rFonts w:ascii="Times New Roman" w:hAnsi="Times New Roman"/>
                <w:b/>
                <w:bCs/>
                <w:sz w:val="18"/>
              </w:rPr>
              <w:t>R$ mi (%)</w:t>
            </w:r>
          </w:p>
        </w:tc>
      </w:tr>
      <w:tr>
        <w:trPr>
          <w:cantSplit/>
        </w:trPr>
        <w:tc>
          <w:tcPr>
            <w:tcW w:type="dxa" w:w="2637"/>
          </w:tcPr>
          <w:p>
            <w:pPr>
              <w:pStyle w:val="Compact"/>
              <w:spacing w:line="240" w:lineRule="auto" w:before="20" w:after="20"/>
              <w:ind w:firstLine="0"/>
              <w:jc w:val="left"/>
            </w:pPr>
            <w:r>
              <w:rPr>
                <w:rFonts w:ascii="Times New Roman" w:hAnsi="Times New Roman"/>
                <w:sz w:val="18"/>
              </w:rPr>
              <w:t>Curitiba</w:t>
            </w:r>
          </w:p>
        </w:tc>
        <w:tc>
          <w:tcPr>
            <w:tcW w:type="dxa" w:w="2004"/>
          </w:tcPr>
          <w:p>
            <w:pPr>
              <w:pStyle w:val="Compact"/>
              <w:spacing w:line="240" w:lineRule="auto" w:before="20" w:after="20"/>
              <w:ind w:firstLine="0"/>
              <w:jc w:val="right"/>
            </w:pPr>
            <w:r>
              <w:rPr>
                <w:rFonts w:ascii="Times New Roman" w:hAnsi="Times New Roman"/>
                <w:sz w:val="18"/>
              </w:rPr>
              <w:t>−276,4 (−6,0%)</w:t>
            </w:r>
          </w:p>
        </w:tc>
        <w:tc>
          <w:tcPr>
            <w:tcW w:type="dxa" w:w="2426"/>
          </w:tcPr>
          <w:p>
            <w:pPr>
              <w:pStyle w:val="Compact"/>
              <w:spacing w:line="240" w:lineRule="auto" w:before="20" w:after="20"/>
              <w:ind w:firstLine="0"/>
              <w:jc w:val="left"/>
            </w:pPr>
            <w:r>
              <w:rPr>
                <w:rFonts w:ascii="Times New Roman" w:hAnsi="Times New Roman"/>
                <w:sz w:val="18"/>
              </w:rPr>
              <w:t>Araucária</w:t>
            </w:r>
          </w:p>
        </w:tc>
        <w:tc>
          <w:tcPr>
            <w:tcW w:type="dxa" w:w="2004"/>
          </w:tcPr>
          <w:p>
            <w:pPr>
              <w:pStyle w:val="Compact"/>
              <w:spacing w:line="240" w:lineRule="auto" w:before="20" w:after="20"/>
              <w:ind w:firstLine="0"/>
              <w:jc w:val="right"/>
            </w:pPr>
            <w:r>
              <w:rPr>
                <w:rFonts w:ascii="Times New Roman" w:hAnsi="Times New Roman"/>
                <w:sz w:val="18"/>
              </w:rPr>
              <w:t>+114,4 (+9,9%)</w:t>
            </w:r>
          </w:p>
        </w:tc>
      </w:tr>
      <w:tr>
        <w:trPr>
          <w:cantSplit/>
        </w:trPr>
        <w:tc>
          <w:tcPr>
            <w:tcW w:type="dxa" w:w="2637"/>
          </w:tcPr>
          <w:p>
            <w:pPr>
              <w:pStyle w:val="Compact"/>
              <w:spacing w:line="240" w:lineRule="auto" w:before="20" w:after="20"/>
              <w:ind w:firstLine="0"/>
              <w:jc w:val="left"/>
            </w:pPr>
            <w:r>
              <w:rPr>
                <w:rFonts w:ascii="Times New Roman" w:hAnsi="Times New Roman"/>
                <w:sz w:val="18"/>
              </w:rPr>
              <w:t>Paranaguá</w:t>
            </w:r>
          </w:p>
        </w:tc>
        <w:tc>
          <w:tcPr>
            <w:tcW w:type="dxa" w:w="2004"/>
          </w:tcPr>
          <w:p>
            <w:pPr>
              <w:pStyle w:val="Compact"/>
              <w:spacing w:line="240" w:lineRule="auto" w:before="20" w:after="20"/>
              <w:ind w:firstLine="0"/>
              <w:jc w:val="right"/>
            </w:pPr>
            <w:r>
              <w:rPr>
                <w:rFonts w:ascii="Times New Roman" w:hAnsi="Times New Roman"/>
                <w:sz w:val="18"/>
              </w:rPr>
              <w:t>−86,2 (−11,9%)</w:t>
            </w:r>
          </w:p>
        </w:tc>
        <w:tc>
          <w:tcPr>
            <w:tcW w:type="dxa" w:w="2426"/>
          </w:tcPr>
          <w:p>
            <w:pPr>
              <w:pStyle w:val="Compact"/>
              <w:spacing w:line="240" w:lineRule="auto" w:before="20" w:after="20"/>
              <w:ind w:firstLine="0"/>
              <w:jc w:val="left"/>
            </w:pPr>
            <w:r>
              <w:rPr>
                <w:rFonts w:ascii="Times New Roman" w:hAnsi="Times New Roman"/>
                <w:sz w:val="18"/>
              </w:rPr>
              <w:t>Pontal do Paraná</w:t>
            </w:r>
          </w:p>
        </w:tc>
        <w:tc>
          <w:tcPr>
            <w:tcW w:type="dxa" w:w="2004"/>
          </w:tcPr>
          <w:p>
            <w:pPr>
              <w:pStyle w:val="Compact"/>
              <w:spacing w:line="240" w:lineRule="auto" w:before="20" w:after="20"/>
              <w:ind w:firstLine="0"/>
              <w:jc w:val="right"/>
            </w:pPr>
            <w:r>
              <w:rPr>
                <w:rFonts w:ascii="Times New Roman" w:hAnsi="Times New Roman"/>
                <w:sz w:val="18"/>
              </w:rPr>
              <w:t>+23,6 (+111,0%)</w:t>
            </w:r>
          </w:p>
        </w:tc>
      </w:tr>
      <w:tr>
        <w:trPr>
          <w:cantSplit/>
        </w:trPr>
        <w:tc>
          <w:tcPr>
            <w:tcW w:type="dxa" w:w="2637"/>
          </w:tcPr>
          <w:p>
            <w:pPr>
              <w:pStyle w:val="Compact"/>
              <w:spacing w:line="240" w:lineRule="auto" w:before="20" w:after="20"/>
              <w:ind w:firstLine="0"/>
              <w:jc w:val="left"/>
            </w:pPr>
            <w:r>
              <w:rPr>
                <w:rFonts w:ascii="Times New Roman" w:hAnsi="Times New Roman"/>
                <w:sz w:val="18"/>
              </w:rPr>
              <w:t>Ponta Grossa</w:t>
            </w:r>
          </w:p>
        </w:tc>
        <w:tc>
          <w:tcPr>
            <w:tcW w:type="dxa" w:w="2004"/>
          </w:tcPr>
          <w:p>
            <w:pPr>
              <w:pStyle w:val="Compact"/>
              <w:spacing w:line="240" w:lineRule="auto" w:before="20" w:after="20"/>
              <w:ind w:firstLine="0"/>
              <w:jc w:val="right"/>
            </w:pPr>
            <w:r>
              <w:rPr>
                <w:rFonts w:ascii="Times New Roman" w:hAnsi="Times New Roman"/>
                <w:sz w:val="18"/>
              </w:rPr>
              <w:t>−68,7 (−9,6%)</w:t>
            </w:r>
          </w:p>
        </w:tc>
        <w:tc>
          <w:tcPr>
            <w:tcW w:type="dxa" w:w="2426"/>
          </w:tcPr>
          <w:p>
            <w:pPr>
              <w:pStyle w:val="Compact"/>
              <w:spacing w:line="240" w:lineRule="auto" w:before="20" w:after="20"/>
              <w:ind w:firstLine="0"/>
              <w:jc w:val="left"/>
            </w:pPr>
            <w:r>
              <w:rPr>
                <w:rFonts w:ascii="Times New Roman" w:hAnsi="Times New Roman"/>
                <w:sz w:val="18"/>
              </w:rPr>
              <w:t>Telêmaco Borba</w:t>
            </w:r>
          </w:p>
        </w:tc>
        <w:tc>
          <w:tcPr>
            <w:tcW w:type="dxa" w:w="2004"/>
          </w:tcPr>
          <w:p>
            <w:pPr>
              <w:pStyle w:val="Compact"/>
              <w:spacing w:line="240" w:lineRule="auto" w:before="20" w:after="20"/>
              <w:ind w:firstLine="0"/>
              <w:jc w:val="right"/>
            </w:pPr>
            <w:r>
              <w:rPr>
                <w:rFonts w:ascii="Times New Roman" w:hAnsi="Times New Roman"/>
                <w:sz w:val="18"/>
              </w:rPr>
              <w:t>+20,2 (+12,4%)</w:t>
            </w:r>
          </w:p>
        </w:tc>
      </w:tr>
      <w:tr>
        <w:trPr>
          <w:cantSplit/>
        </w:trPr>
        <w:tc>
          <w:tcPr>
            <w:tcW w:type="dxa" w:w="2637"/>
          </w:tcPr>
          <w:p>
            <w:pPr>
              <w:pStyle w:val="Compact"/>
              <w:spacing w:line="240" w:lineRule="auto" w:before="20" w:after="20"/>
              <w:ind w:firstLine="0"/>
              <w:jc w:val="left"/>
            </w:pPr>
            <w:r>
              <w:rPr>
                <w:rFonts w:ascii="Times New Roman" w:hAnsi="Times New Roman"/>
                <w:sz w:val="18"/>
              </w:rPr>
              <w:t>Cascavel</w:t>
            </w:r>
          </w:p>
        </w:tc>
        <w:tc>
          <w:tcPr>
            <w:tcW w:type="dxa" w:w="2004"/>
          </w:tcPr>
          <w:p>
            <w:pPr>
              <w:pStyle w:val="Compact"/>
              <w:spacing w:line="240" w:lineRule="auto" w:before="20" w:after="20"/>
              <w:ind w:firstLine="0"/>
              <w:jc w:val="right"/>
            </w:pPr>
            <w:r>
              <w:rPr>
                <w:rFonts w:ascii="Times New Roman" w:hAnsi="Times New Roman"/>
                <w:sz w:val="18"/>
              </w:rPr>
              <w:t>−53,5 (−8,0%)</w:t>
            </w:r>
          </w:p>
        </w:tc>
        <w:tc>
          <w:tcPr>
            <w:tcW w:type="dxa" w:w="2426"/>
          </w:tcPr>
          <w:p>
            <w:pPr>
              <w:pStyle w:val="Compact"/>
              <w:spacing w:line="240" w:lineRule="auto" w:before="20" w:after="20"/>
              <w:ind w:firstLine="0"/>
              <w:jc w:val="left"/>
            </w:pPr>
            <w:r>
              <w:rPr>
                <w:rFonts w:ascii="Times New Roman" w:hAnsi="Times New Roman"/>
                <w:sz w:val="18"/>
              </w:rPr>
              <w:t>Ortigueira</w:t>
            </w:r>
          </w:p>
        </w:tc>
        <w:tc>
          <w:tcPr>
            <w:tcW w:type="dxa" w:w="2004"/>
          </w:tcPr>
          <w:p>
            <w:pPr>
              <w:pStyle w:val="Compact"/>
              <w:spacing w:line="240" w:lineRule="auto" w:before="20" w:after="20"/>
              <w:ind w:firstLine="0"/>
              <w:jc w:val="right"/>
            </w:pPr>
            <w:r>
              <w:rPr>
                <w:rFonts w:ascii="Times New Roman" w:hAnsi="Times New Roman"/>
                <w:sz w:val="18"/>
              </w:rPr>
              <w:t>+19,0 (+11,0%)</w:t>
            </w:r>
          </w:p>
        </w:tc>
      </w:tr>
      <w:tr>
        <w:trPr>
          <w:cantSplit/>
        </w:trPr>
        <w:tc>
          <w:tcPr>
            <w:tcW w:type="dxa" w:w="2637"/>
          </w:tcPr>
          <w:p>
            <w:pPr>
              <w:pStyle w:val="Compact"/>
              <w:spacing w:line="240" w:lineRule="auto" w:before="20" w:after="20"/>
              <w:ind w:firstLine="0"/>
              <w:jc w:val="left"/>
            </w:pPr>
            <w:r>
              <w:rPr>
                <w:rFonts w:ascii="Times New Roman" w:hAnsi="Times New Roman"/>
                <w:sz w:val="18"/>
              </w:rPr>
              <w:t>Maringá</w:t>
            </w:r>
          </w:p>
        </w:tc>
        <w:tc>
          <w:tcPr>
            <w:tcW w:type="dxa" w:w="2004"/>
          </w:tcPr>
          <w:p>
            <w:pPr>
              <w:pStyle w:val="Compact"/>
              <w:spacing w:line="240" w:lineRule="auto" w:before="20" w:after="20"/>
              <w:ind w:firstLine="0"/>
              <w:jc w:val="right"/>
            </w:pPr>
            <w:r>
              <w:rPr>
                <w:rFonts w:ascii="Times New Roman" w:hAnsi="Times New Roman"/>
                <w:sz w:val="18"/>
              </w:rPr>
              <w:t>−50,3 (−5,3%)</w:t>
            </w:r>
          </w:p>
        </w:tc>
        <w:tc>
          <w:tcPr>
            <w:tcW w:type="dxa" w:w="2426"/>
          </w:tcPr>
          <w:p>
            <w:pPr>
              <w:pStyle w:val="Compact"/>
              <w:spacing w:line="240" w:lineRule="auto" w:before="20" w:after="20"/>
              <w:ind w:firstLine="0"/>
              <w:jc w:val="left"/>
            </w:pPr>
            <w:r>
              <w:rPr>
                <w:rFonts w:ascii="Times New Roman" w:hAnsi="Times New Roman"/>
                <w:sz w:val="18"/>
              </w:rPr>
              <w:t>Saudade do Iguaçu</w:t>
            </w:r>
          </w:p>
        </w:tc>
        <w:tc>
          <w:tcPr>
            <w:tcW w:type="dxa" w:w="2004"/>
          </w:tcPr>
          <w:p>
            <w:pPr>
              <w:pStyle w:val="Compact"/>
              <w:spacing w:line="240" w:lineRule="auto" w:before="20" w:after="20"/>
              <w:ind w:firstLine="0"/>
              <w:jc w:val="right"/>
            </w:pPr>
            <w:r>
              <w:rPr>
                <w:rFonts w:ascii="Times New Roman" w:hAnsi="Times New Roman"/>
                <w:sz w:val="18"/>
              </w:rPr>
              <w:t>+17,4 (+56,8%)</w:t>
            </w:r>
          </w:p>
        </w:tc>
      </w:tr>
      <w:tr>
        <w:trPr>
          <w:cantSplit/>
        </w:trPr>
        <w:tc>
          <w:tcPr>
            <w:tcW w:type="dxa" w:w="2637"/>
          </w:tcPr>
          <w:p>
            <w:pPr>
              <w:pStyle w:val="Compact"/>
              <w:spacing w:line="240" w:lineRule="auto" w:before="20" w:after="20"/>
              <w:ind w:firstLine="0"/>
              <w:jc w:val="left"/>
            </w:pPr>
            <w:r>
              <w:rPr>
                <w:rFonts w:ascii="Times New Roman" w:hAnsi="Times New Roman"/>
                <w:sz w:val="18"/>
              </w:rPr>
              <w:t>Londrina</w:t>
            </w:r>
          </w:p>
        </w:tc>
        <w:tc>
          <w:tcPr>
            <w:tcW w:type="dxa" w:w="2004"/>
          </w:tcPr>
          <w:p>
            <w:pPr>
              <w:pStyle w:val="Compact"/>
              <w:spacing w:line="240" w:lineRule="auto" w:before="20" w:after="20"/>
              <w:ind w:firstLine="0"/>
              <w:jc w:val="right"/>
            </w:pPr>
            <w:r>
              <w:rPr>
                <w:rFonts w:ascii="Times New Roman" w:hAnsi="Times New Roman"/>
                <w:sz w:val="18"/>
              </w:rPr>
              <w:t>−49,0 (−4,9%)</w:t>
            </w:r>
          </w:p>
        </w:tc>
        <w:tc>
          <w:tcPr>
            <w:tcW w:type="dxa" w:w="2426"/>
          </w:tcPr>
          <w:p>
            <w:pPr>
              <w:pStyle w:val="Compact"/>
              <w:spacing w:line="240" w:lineRule="auto" w:before="20" w:after="20"/>
              <w:ind w:firstLine="0"/>
              <w:jc w:val="left"/>
            </w:pPr>
            <w:r>
              <w:rPr>
                <w:rFonts w:ascii="Times New Roman" w:hAnsi="Times New Roman"/>
                <w:sz w:val="18"/>
              </w:rPr>
              <w:t>São José dos Pinhais</w:t>
            </w:r>
          </w:p>
        </w:tc>
        <w:tc>
          <w:tcPr>
            <w:tcW w:type="dxa" w:w="2004"/>
          </w:tcPr>
          <w:p>
            <w:pPr>
              <w:pStyle w:val="Compact"/>
              <w:spacing w:line="240" w:lineRule="auto" w:before="20" w:after="20"/>
              <w:ind w:firstLine="0"/>
              <w:jc w:val="right"/>
            </w:pPr>
            <w:r>
              <w:rPr>
                <w:rFonts w:ascii="Times New Roman" w:hAnsi="Times New Roman"/>
                <w:sz w:val="18"/>
              </w:rPr>
              <w:t>+13,2 (+1,3%)</w:t>
            </w:r>
          </w:p>
        </w:tc>
      </w:tr>
      <w:tr>
        <w:trPr>
          <w:cantSplit/>
        </w:trPr>
        <w:tc>
          <w:tcPr>
            <w:tcW w:type="dxa" w:w="2637"/>
          </w:tcPr>
          <w:p>
            <w:pPr>
              <w:pStyle w:val="Compact"/>
              <w:spacing w:line="240" w:lineRule="auto" w:before="20" w:after="20"/>
              <w:ind w:firstLine="0"/>
              <w:jc w:val="left"/>
            </w:pPr>
            <w:r>
              <w:rPr>
                <w:rFonts w:ascii="Times New Roman" w:hAnsi="Times New Roman"/>
                <w:sz w:val="18"/>
              </w:rPr>
              <w:t>Pinhais</w:t>
            </w:r>
          </w:p>
        </w:tc>
        <w:tc>
          <w:tcPr>
            <w:tcW w:type="dxa" w:w="2004"/>
          </w:tcPr>
          <w:p>
            <w:pPr>
              <w:pStyle w:val="Compact"/>
              <w:spacing w:line="240" w:lineRule="auto" w:before="20" w:after="20"/>
              <w:ind w:firstLine="0"/>
              <w:jc w:val="right"/>
            </w:pPr>
            <w:r>
              <w:rPr>
                <w:rFonts w:ascii="Times New Roman" w:hAnsi="Times New Roman"/>
                <w:sz w:val="18"/>
              </w:rPr>
              <w:t>−26,5 (−9,1%)</w:t>
            </w:r>
          </w:p>
        </w:tc>
        <w:tc>
          <w:tcPr>
            <w:tcW w:type="dxa" w:w="2426"/>
          </w:tcPr>
          <w:p>
            <w:pPr>
              <w:pStyle w:val="Compact"/>
              <w:spacing w:line="240" w:lineRule="auto" w:before="20" w:after="20"/>
              <w:ind w:firstLine="0"/>
              <w:jc w:val="left"/>
            </w:pPr>
            <w:r>
              <w:rPr>
                <w:rFonts w:ascii="Times New Roman" w:hAnsi="Times New Roman"/>
                <w:sz w:val="18"/>
              </w:rPr>
              <w:t>Almirante Tamandaré</w:t>
            </w:r>
          </w:p>
        </w:tc>
        <w:tc>
          <w:tcPr>
            <w:tcW w:type="dxa" w:w="2004"/>
          </w:tcPr>
          <w:p>
            <w:pPr>
              <w:pStyle w:val="Compact"/>
              <w:spacing w:line="240" w:lineRule="auto" w:before="20" w:after="20"/>
              <w:ind w:firstLine="0"/>
              <w:jc w:val="right"/>
            </w:pPr>
            <w:r>
              <w:rPr>
                <w:rFonts w:ascii="Times New Roman" w:hAnsi="Times New Roman"/>
                <w:sz w:val="18"/>
              </w:rPr>
              <w:t>+9,0 (+11,0%)</w:t>
            </w:r>
          </w:p>
        </w:tc>
      </w:tr>
      <w:tr>
        <w:trPr>
          <w:cantSplit/>
        </w:trPr>
        <w:tc>
          <w:tcPr>
            <w:tcW w:type="dxa" w:w="2637"/>
          </w:tcPr>
          <w:p>
            <w:pPr>
              <w:pStyle w:val="Compact"/>
              <w:spacing w:line="240" w:lineRule="auto" w:before="20" w:after="20"/>
              <w:ind w:firstLine="0"/>
              <w:jc w:val="left"/>
            </w:pPr>
            <w:r>
              <w:rPr>
                <w:rFonts w:ascii="Times New Roman" w:hAnsi="Times New Roman"/>
                <w:sz w:val="18"/>
              </w:rPr>
              <w:t>Ibiporã</w:t>
            </w:r>
          </w:p>
        </w:tc>
        <w:tc>
          <w:tcPr>
            <w:tcW w:type="dxa" w:w="2004"/>
          </w:tcPr>
          <w:p>
            <w:pPr>
              <w:pStyle w:val="Compact"/>
              <w:spacing w:line="240" w:lineRule="auto" w:before="20" w:after="20"/>
              <w:ind w:firstLine="0"/>
              <w:jc w:val="right"/>
            </w:pPr>
            <w:r>
              <w:rPr>
                <w:rFonts w:ascii="Times New Roman" w:hAnsi="Times New Roman"/>
                <w:sz w:val="18"/>
              </w:rPr>
              <w:t>−22,2 (−13,8%)</w:t>
            </w:r>
          </w:p>
        </w:tc>
        <w:tc>
          <w:tcPr>
            <w:tcW w:type="dxa" w:w="2426"/>
          </w:tcPr>
          <w:p>
            <w:pPr>
              <w:pStyle w:val="Compact"/>
              <w:spacing w:line="240" w:lineRule="auto" w:before="20" w:after="20"/>
              <w:ind w:firstLine="0"/>
              <w:jc w:val="left"/>
            </w:pPr>
            <w:r>
              <w:rPr>
                <w:rFonts w:ascii="Times New Roman" w:hAnsi="Times New Roman"/>
                <w:sz w:val="18"/>
              </w:rPr>
              <w:t>Palmas</w:t>
            </w:r>
          </w:p>
        </w:tc>
        <w:tc>
          <w:tcPr>
            <w:tcW w:type="dxa" w:w="2004"/>
          </w:tcPr>
          <w:p>
            <w:pPr>
              <w:pStyle w:val="Compact"/>
              <w:spacing w:line="240" w:lineRule="auto" w:before="20" w:after="20"/>
              <w:ind w:firstLine="0"/>
              <w:jc w:val="right"/>
            </w:pPr>
            <w:r>
              <w:rPr>
                <w:rFonts w:ascii="Times New Roman" w:hAnsi="Times New Roman"/>
                <w:sz w:val="18"/>
              </w:rPr>
              <w:t>+8,9 (+14,8%)</w:t>
            </w:r>
          </w:p>
        </w:tc>
      </w:tr>
      <w:tr>
        <w:trPr>
          <w:cantSplit/>
        </w:trPr>
        <w:tc>
          <w:tcPr>
            <w:tcW w:type="dxa" w:w="2637"/>
          </w:tcPr>
          <w:p>
            <w:pPr>
              <w:pStyle w:val="Compact"/>
              <w:spacing w:line="240" w:lineRule="auto" w:before="20" w:after="20"/>
              <w:ind w:firstLine="0"/>
              <w:jc w:val="left"/>
            </w:pPr>
            <w:r>
              <w:rPr>
                <w:rFonts w:ascii="Times New Roman" w:hAnsi="Times New Roman"/>
                <w:sz w:val="18"/>
              </w:rPr>
              <w:t>Castro</w:t>
            </w:r>
          </w:p>
        </w:tc>
        <w:tc>
          <w:tcPr>
            <w:tcW w:type="dxa" w:w="2004"/>
          </w:tcPr>
          <w:p>
            <w:pPr>
              <w:pStyle w:val="Compact"/>
              <w:spacing w:line="240" w:lineRule="auto" w:before="20" w:after="20"/>
              <w:ind w:firstLine="0"/>
              <w:jc w:val="right"/>
            </w:pPr>
            <w:r>
              <w:rPr>
                <w:rFonts w:ascii="Times New Roman" w:hAnsi="Times New Roman"/>
                <w:sz w:val="18"/>
              </w:rPr>
              <w:t>−15,4 (−7,0%)</w:t>
            </w:r>
          </w:p>
        </w:tc>
        <w:tc>
          <w:tcPr>
            <w:tcW w:type="dxa" w:w="2426"/>
          </w:tcPr>
          <w:p>
            <w:pPr>
              <w:pStyle w:val="Compact"/>
              <w:spacing w:line="240" w:lineRule="auto" w:before="20" w:after="20"/>
              <w:ind w:firstLine="0"/>
              <w:jc w:val="left"/>
            </w:pPr>
            <w:r>
              <w:rPr>
                <w:rFonts w:ascii="Times New Roman" w:hAnsi="Times New Roman"/>
                <w:sz w:val="18"/>
              </w:rPr>
              <w:t>Arapongas</w:t>
            </w:r>
          </w:p>
        </w:tc>
        <w:tc>
          <w:tcPr>
            <w:tcW w:type="dxa" w:w="2004"/>
          </w:tcPr>
          <w:p>
            <w:pPr>
              <w:pStyle w:val="Compact"/>
              <w:spacing w:line="240" w:lineRule="auto" w:before="20" w:after="20"/>
              <w:ind w:firstLine="0"/>
              <w:jc w:val="right"/>
            </w:pPr>
            <w:r>
              <w:rPr>
                <w:rFonts w:ascii="Times New Roman" w:hAnsi="Times New Roman"/>
                <w:sz w:val="18"/>
              </w:rPr>
              <w:t>+8,0 (+4,5%)</w:t>
            </w:r>
          </w:p>
        </w:tc>
      </w:tr>
      <w:tr>
        <w:trPr>
          <w:cantSplit/>
        </w:trPr>
        <w:tc>
          <w:tcPr>
            <w:tcW w:type="dxa" w:w="2637"/>
          </w:tcPr>
          <w:p>
            <w:pPr>
              <w:pStyle w:val="Compact"/>
              <w:spacing w:line="240" w:lineRule="auto" w:before="20" w:after="20"/>
              <w:ind w:firstLine="0"/>
              <w:jc w:val="left"/>
            </w:pPr>
            <w:r>
              <w:rPr>
                <w:rFonts w:ascii="Times New Roman" w:hAnsi="Times New Roman"/>
                <w:sz w:val="18"/>
              </w:rPr>
              <w:t>Toledo</w:t>
            </w:r>
          </w:p>
        </w:tc>
        <w:tc>
          <w:tcPr>
            <w:tcW w:type="dxa" w:w="2004"/>
          </w:tcPr>
          <w:p>
            <w:pPr>
              <w:pStyle w:val="Compact"/>
              <w:spacing w:line="240" w:lineRule="auto" w:before="20" w:after="20"/>
              <w:ind w:firstLine="0"/>
              <w:jc w:val="right"/>
            </w:pPr>
            <w:r>
              <w:rPr>
                <w:rFonts w:ascii="Times New Roman" w:hAnsi="Times New Roman"/>
                <w:sz w:val="18"/>
              </w:rPr>
              <w:t>−14,7 (−4,0%)</w:t>
            </w:r>
          </w:p>
        </w:tc>
        <w:tc>
          <w:tcPr>
            <w:tcW w:type="dxa" w:w="2426"/>
          </w:tcPr>
          <w:p>
            <w:pPr>
              <w:pStyle w:val="Compact"/>
              <w:spacing w:line="240" w:lineRule="auto" w:before="20" w:after="20"/>
              <w:ind w:firstLine="0"/>
              <w:jc w:val="left"/>
            </w:pPr>
            <w:r>
              <w:rPr>
                <w:rFonts w:ascii="Times New Roman" w:hAnsi="Times New Roman"/>
                <w:sz w:val="18"/>
              </w:rPr>
              <w:t>Sarandi</w:t>
            </w:r>
          </w:p>
        </w:tc>
        <w:tc>
          <w:tcPr>
            <w:tcW w:type="dxa" w:w="2004"/>
          </w:tcPr>
          <w:p>
            <w:pPr>
              <w:pStyle w:val="Compact"/>
              <w:spacing w:line="240" w:lineRule="auto" w:before="20" w:after="20"/>
              <w:ind w:firstLine="0"/>
              <w:jc w:val="right"/>
            </w:pPr>
            <w:r>
              <w:rPr>
                <w:rFonts w:ascii="Times New Roman" w:hAnsi="Times New Roman"/>
                <w:sz w:val="18"/>
              </w:rPr>
              <w:t>+8,0 (+12,5%)</w:t>
            </w:r>
          </w:p>
        </w:tc>
      </w:tr>
      <w:tr>
        <w:trPr>
          <w:cantSplit/>
        </w:trPr>
        <w:tc>
          <w:tcPr>
            <w:tcW w:type="dxa" w:w="2637"/>
          </w:tcPr>
          <w:p>
            <w:pPr>
              <w:pStyle w:val="Compact"/>
              <w:spacing w:line="240" w:lineRule="auto" w:before="20" w:after="20"/>
              <w:ind w:firstLine="0"/>
              <w:jc w:val="left"/>
            </w:pPr>
            <w:r>
              <w:rPr>
                <w:rFonts w:ascii="Times New Roman" w:hAnsi="Times New Roman"/>
                <w:sz w:val="18"/>
              </w:rPr>
              <w:t>Rolândia</w:t>
            </w:r>
          </w:p>
        </w:tc>
        <w:tc>
          <w:tcPr>
            <w:tcW w:type="dxa" w:w="2004"/>
          </w:tcPr>
          <w:p>
            <w:pPr>
              <w:pStyle w:val="Compact"/>
              <w:spacing w:line="240" w:lineRule="auto" w:before="20" w:after="20"/>
              <w:ind w:firstLine="0"/>
              <w:jc w:val="right"/>
            </w:pPr>
            <w:r>
              <w:rPr>
                <w:rFonts w:ascii="Times New Roman" w:hAnsi="Times New Roman"/>
                <w:sz w:val="18"/>
              </w:rPr>
              <w:t>−14,2 (−9,4%)</w:t>
            </w:r>
          </w:p>
        </w:tc>
        <w:tc>
          <w:tcPr>
            <w:tcW w:type="dxa" w:w="2426"/>
          </w:tcPr>
          <w:p>
            <w:pPr>
              <w:pStyle w:val="Compact"/>
              <w:spacing w:line="240" w:lineRule="auto" w:before="20" w:after="20"/>
              <w:ind w:firstLine="0"/>
              <w:jc w:val="left"/>
            </w:pPr>
            <w:r>
              <w:rPr>
                <w:rFonts w:ascii="Times New Roman" w:hAnsi="Times New Roman"/>
                <w:sz w:val="18"/>
              </w:rPr>
              <w:t>Andirá</w:t>
            </w:r>
          </w:p>
        </w:tc>
        <w:tc>
          <w:tcPr>
            <w:tcW w:type="dxa" w:w="2004"/>
          </w:tcPr>
          <w:p>
            <w:pPr>
              <w:pStyle w:val="Compact"/>
              <w:spacing w:line="240" w:lineRule="auto" w:before="20" w:after="20"/>
              <w:ind w:firstLine="0"/>
              <w:jc w:val="right"/>
            </w:pPr>
            <w:r>
              <w:rPr>
                <w:rFonts w:ascii="Times New Roman" w:hAnsi="Times New Roman"/>
                <w:sz w:val="18"/>
              </w:rPr>
              <w:t>+7,9 (+28,0%)</w:t>
            </w:r>
          </w:p>
        </w:tc>
      </w:tr>
      <w:tr>
        <w:trPr>
          <w:cantSplit/>
        </w:trPr>
        <w:tc>
          <w:tcPr>
            <w:tcW w:type="dxa" w:w="2637"/>
          </w:tcPr>
          <w:p>
            <w:pPr>
              <w:pStyle w:val="Compact"/>
              <w:spacing w:line="240" w:lineRule="auto" w:before="20" w:after="20"/>
              <w:ind w:firstLine="0"/>
              <w:jc w:val="left"/>
            </w:pPr>
            <w:r>
              <w:rPr>
                <w:rFonts w:ascii="Times New Roman" w:hAnsi="Times New Roman"/>
                <w:sz w:val="18"/>
              </w:rPr>
              <w:t>Quatro Barras</w:t>
            </w:r>
          </w:p>
        </w:tc>
        <w:tc>
          <w:tcPr>
            <w:tcW w:type="dxa" w:w="2004"/>
          </w:tcPr>
          <w:p>
            <w:pPr>
              <w:pStyle w:val="Compact"/>
              <w:spacing w:line="240" w:lineRule="auto" w:before="20" w:after="20"/>
              <w:ind w:firstLine="0"/>
              <w:jc w:val="right"/>
            </w:pPr>
            <w:r>
              <w:rPr>
                <w:rFonts w:ascii="Times New Roman" w:hAnsi="Times New Roman"/>
                <w:sz w:val="18"/>
              </w:rPr>
              <w:t>−13,7 (−15,6%)</w:t>
            </w:r>
          </w:p>
        </w:tc>
        <w:tc>
          <w:tcPr>
            <w:tcW w:type="dxa" w:w="2426"/>
          </w:tcPr>
          <w:p>
            <w:pPr>
              <w:pStyle w:val="Compact"/>
              <w:spacing w:line="240" w:lineRule="auto" w:before="20" w:after="20"/>
              <w:ind w:firstLine="0"/>
              <w:jc w:val="left"/>
            </w:pPr>
            <w:r>
              <w:rPr>
                <w:rFonts w:ascii="Times New Roman" w:hAnsi="Times New Roman"/>
                <w:sz w:val="18"/>
              </w:rPr>
              <w:t>Apucarana</w:t>
            </w:r>
          </w:p>
        </w:tc>
        <w:tc>
          <w:tcPr>
            <w:tcW w:type="dxa" w:w="2004"/>
          </w:tcPr>
          <w:p>
            <w:pPr>
              <w:pStyle w:val="Compact"/>
              <w:spacing w:line="240" w:lineRule="auto" w:before="20" w:after="20"/>
              <w:ind w:firstLine="0"/>
              <w:jc w:val="right"/>
            </w:pPr>
            <w:r>
              <w:rPr>
                <w:rFonts w:ascii="Times New Roman" w:hAnsi="Times New Roman"/>
                <w:sz w:val="18"/>
              </w:rPr>
              <w:t>+6,2 (+4,2%)</w:t>
            </w:r>
          </w:p>
        </w:tc>
      </w:tr>
      <w:tr>
        <w:trPr>
          <w:cantSplit/>
        </w:trPr>
        <w:tc>
          <w:tcPr>
            <w:tcW w:type="dxa" w:w="2637"/>
          </w:tcPr>
          <w:p>
            <w:pPr>
              <w:pStyle w:val="Compact"/>
              <w:spacing w:line="240" w:lineRule="auto" w:before="20" w:after="20"/>
              <w:ind w:firstLine="0"/>
              <w:jc w:val="left"/>
            </w:pPr>
            <w:r>
              <w:rPr>
                <w:rFonts w:ascii="Times New Roman" w:hAnsi="Times New Roman"/>
                <w:sz w:val="18"/>
              </w:rPr>
              <w:t>Guarapuava</w:t>
            </w:r>
          </w:p>
        </w:tc>
        <w:tc>
          <w:tcPr>
            <w:tcW w:type="dxa" w:w="2004"/>
          </w:tcPr>
          <w:p>
            <w:pPr>
              <w:pStyle w:val="Compact"/>
              <w:spacing w:line="240" w:lineRule="auto" w:before="20" w:after="20"/>
              <w:ind w:firstLine="0"/>
              <w:jc w:val="right"/>
            </w:pPr>
            <w:r>
              <w:rPr>
                <w:rFonts w:ascii="Times New Roman" w:hAnsi="Times New Roman"/>
                <w:sz w:val="18"/>
              </w:rPr>
              <w:t>−12,6 (−4,0%)</w:t>
            </w:r>
          </w:p>
        </w:tc>
        <w:tc>
          <w:tcPr>
            <w:tcW w:type="dxa" w:w="2426"/>
          </w:tcPr>
          <w:p>
            <w:pPr>
              <w:pStyle w:val="Compact"/>
              <w:spacing w:line="240" w:lineRule="auto" w:before="20" w:after="20"/>
              <w:ind w:firstLine="0"/>
              <w:jc w:val="left"/>
            </w:pPr>
            <w:r>
              <w:rPr>
                <w:rFonts w:ascii="Times New Roman" w:hAnsi="Times New Roman"/>
                <w:sz w:val="18"/>
              </w:rPr>
              <w:t>Colombo</w:t>
            </w:r>
          </w:p>
        </w:tc>
        <w:tc>
          <w:tcPr>
            <w:tcW w:type="dxa" w:w="2004"/>
          </w:tcPr>
          <w:p>
            <w:pPr>
              <w:pStyle w:val="Compact"/>
              <w:spacing w:line="240" w:lineRule="auto" w:before="20" w:after="20"/>
              <w:ind w:firstLine="0"/>
              <w:jc w:val="right"/>
            </w:pPr>
            <w:r>
              <w:rPr>
                <w:rFonts w:ascii="Times New Roman" w:hAnsi="Times New Roman"/>
                <w:sz w:val="18"/>
              </w:rPr>
              <w:t>+5,1 (+2,4%)</w:t>
            </w:r>
          </w:p>
        </w:tc>
      </w:tr>
      <w:tr>
        <w:trPr>
          <w:cantSplit/>
        </w:trPr>
        <w:tc>
          <w:tcPr>
            <w:tcW w:type="dxa" w:w="2637"/>
          </w:tcPr>
          <w:p>
            <w:pPr>
              <w:pStyle w:val="Compact"/>
              <w:spacing w:line="240" w:lineRule="auto" w:before="20" w:after="20"/>
              <w:ind w:firstLine="0"/>
              <w:jc w:val="left"/>
            </w:pPr>
            <w:r>
              <w:rPr>
                <w:rFonts w:ascii="Times New Roman" w:hAnsi="Times New Roman"/>
                <w:sz w:val="18"/>
              </w:rPr>
              <w:t>Marechal Cândido Rondon</w:t>
            </w:r>
          </w:p>
        </w:tc>
        <w:tc>
          <w:tcPr>
            <w:tcW w:type="dxa" w:w="2004"/>
          </w:tcPr>
          <w:p>
            <w:pPr>
              <w:pStyle w:val="Compact"/>
              <w:spacing w:line="240" w:lineRule="auto" w:before="20" w:after="20"/>
              <w:ind w:firstLine="0"/>
              <w:jc w:val="right"/>
            </w:pPr>
            <w:r>
              <w:rPr>
                <w:rFonts w:ascii="Times New Roman" w:hAnsi="Times New Roman"/>
                <w:sz w:val="18"/>
              </w:rPr>
              <w:t>−11,1 (−7,5%)</w:t>
            </w:r>
          </w:p>
        </w:tc>
        <w:tc>
          <w:tcPr>
            <w:tcW w:type="dxa" w:w="2426"/>
          </w:tcPr>
          <w:p>
            <w:pPr>
              <w:pStyle w:val="Compact"/>
              <w:spacing w:line="240" w:lineRule="auto" w:before="20" w:after="20"/>
              <w:ind w:firstLine="0"/>
              <w:jc w:val="left"/>
            </w:pPr>
            <w:r>
              <w:rPr>
                <w:rFonts w:ascii="Times New Roman" w:hAnsi="Times New Roman"/>
                <w:sz w:val="18"/>
              </w:rPr>
              <w:t>Cianorte</w:t>
            </w:r>
          </w:p>
        </w:tc>
        <w:tc>
          <w:tcPr>
            <w:tcW w:type="dxa" w:w="2004"/>
          </w:tcPr>
          <w:p>
            <w:pPr>
              <w:pStyle w:val="Compact"/>
              <w:spacing w:line="240" w:lineRule="auto" w:before="20" w:after="20"/>
              <w:ind w:firstLine="0"/>
              <w:jc w:val="right"/>
            </w:pPr>
            <w:r>
              <w:rPr>
                <w:rFonts w:ascii="Times New Roman" w:hAnsi="Times New Roman"/>
                <w:sz w:val="18"/>
              </w:rPr>
              <w:t>+4,3 (+3,3%)</w:t>
            </w:r>
          </w:p>
        </w:tc>
      </w:tr>
      <w:tr>
        <w:trPr>
          <w:cantSplit/>
        </w:trPr>
        <w:tc>
          <w:tcPr>
            <w:tcW w:type="dxa" w:w="2637"/>
          </w:tcPr>
          <w:p>
            <w:pPr>
              <w:pStyle w:val="Compact"/>
              <w:spacing w:line="240" w:lineRule="auto" w:before="20" w:after="20"/>
              <w:ind w:firstLine="0"/>
              <w:jc w:val="left"/>
            </w:pPr>
            <w:r>
              <w:rPr>
                <w:rFonts w:ascii="Times New Roman" w:hAnsi="Times New Roman"/>
                <w:sz w:val="18"/>
              </w:rPr>
              <w:t>Palotina</w:t>
            </w:r>
          </w:p>
        </w:tc>
        <w:tc>
          <w:tcPr>
            <w:tcW w:type="dxa" w:w="2004"/>
          </w:tcPr>
          <w:p>
            <w:pPr>
              <w:pStyle w:val="Compact"/>
              <w:spacing w:line="240" w:lineRule="auto" w:before="20" w:after="20"/>
              <w:ind w:firstLine="0"/>
              <w:jc w:val="right"/>
            </w:pPr>
            <w:r>
              <w:rPr>
                <w:rFonts w:ascii="Times New Roman" w:hAnsi="Times New Roman"/>
                <w:sz w:val="18"/>
              </w:rPr>
              <w:t>−10,2 (−7,8%)</w:t>
            </w:r>
          </w:p>
        </w:tc>
        <w:tc>
          <w:tcPr>
            <w:tcW w:type="dxa" w:w="2426"/>
          </w:tcPr>
          <w:p>
            <w:pPr>
              <w:pStyle w:val="Compact"/>
              <w:spacing w:line="240" w:lineRule="auto" w:before="20" w:after="20"/>
              <w:ind w:firstLine="0"/>
              <w:jc w:val="left"/>
            </w:pPr>
            <w:r>
              <w:rPr>
                <w:rFonts w:ascii="Times New Roman" w:hAnsi="Times New Roman"/>
                <w:sz w:val="18"/>
              </w:rPr>
              <w:t>São Carlos do Ivaí</w:t>
            </w:r>
          </w:p>
        </w:tc>
        <w:tc>
          <w:tcPr>
            <w:tcW w:type="dxa" w:w="2004"/>
          </w:tcPr>
          <w:p>
            <w:pPr>
              <w:pStyle w:val="Compact"/>
              <w:spacing w:line="240" w:lineRule="auto" w:before="20" w:after="20"/>
              <w:ind w:firstLine="0"/>
              <w:jc w:val="right"/>
            </w:pPr>
            <w:r>
              <w:rPr>
                <w:rFonts w:ascii="Times New Roman" w:hAnsi="Times New Roman"/>
                <w:sz w:val="18"/>
              </w:rPr>
              <w:t>+4,0 (+31,3%)</w:t>
            </w:r>
          </w:p>
        </w:tc>
      </w:tr>
      <w:tr>
        <w:trPr>
          <w:cantSplit/>
        </w:trPr>
        <w:tc>
          <w:tcPr>
            <w:tcW w:type="dxa" w:w="2637"/>
          </w:tcPr>
          <w:p>
            <w:pPr>
              <w:pStyle w:val="Compact"/>
              <w:spacing w:line="240" w:lineRule="auto" w:before="20" w:after="20"/>
              <w:ind w:firstLine="0"/>
              <w:jc w:val="left"/>
            </w:pPr>
            <w:r>
              <w:rPr>
                <w:rFonts w:ascii="Times New Roman" w:hAnsi="Times New Roman"/>
                <w:sz w:val="18"/>
              </w:rPr>
              <w:t>Mandaguari</w:t>
            </w:r>
          </w:p>
        </w:tc>
        <w:tc>
          <w:tcPr>
            <w:tcW w:type="dxa" w:w="2004"/>
          </w:tcPr>
          <w:p>
            <w:pPr>
              <w:pStyle w:val="Compact"/>
              <w:spacing w:line="240" w:lineRule="auto" w:before="20" w:after="20"/>
              <w:ind w:firstLine="0"/>
              <w:jc w:val="right"/>
            </w:pPr>
            <w:r>
              <w:rPr>
                <w:rFonts w:ascii="Times New Roman" w:hAnsi="Times New Roman"/>
                <w:sz w:val="18"/>
              </w:rPr>
              <w:t>−9,6 (−12,4%)</w:t>
            </w:r>
          </w:p>
        </w:tc>
        <w:tc>
          <w:tcPr>
            <w:tcW w:type="dxa" w:w="2426"/>
          </w:tcPr>
          <w:p>
            <w:pPr>
              <w:pStyle w:val="Compact"/>
              <w:spacing w:line="240" w:lineRule="auto" w:before="20" w:after="20"/>
              <w:ind w:firstLine="0"/>
              <w:jc w:val="left"/>
            </w:pPr>
            <w:r>
              <w:rPr>
                <w:rFonts w:ascii="Times New Roman" w:hAnsi="Times New Roman"/>
                <w:sz w:val="18"/>
              </w:rPr>
              <w:t>São Jorge d'Oeste</w:t>
            </w:r>
          </w:p>
        </w:tc>
        <w:tc>
          <w:tcPr>
            <w:tcW w:type="dxa" w:w="2004"/>
          </w:tcPr>
          <w:p>
            <w:pPr>
              <w:pStyle w:val="Compact"/>
              <w:spacing w:line="240" w:lineRule="auto" w:before="20" w:after="20"/>
              <w:ind w:firstLine="0"/>
              <w:jc w:val="right"/>
            </w:pPr>
            <w:r>
              <w:rPr>
                <w:rFonts w:ascii="Times New Roman" w:hAnsi="Times New Roman"/>
                <w:sz w:val="18"/>
              </w:rPr>
              <w:t>+3,6 (+9,1%)</w:t>
            </w:r>
          </w:p>
        </w:tc>
      </w:tr>
      <w:tr>
        <w:trPr>
          <w:cantSplit/>
        </w:trPr>
        <w:tc>
          <w:tcPr>
            <w:tcW w:type="dxa" w:w="2637"/>
          </w:tcPr>
          <w:p>
            <w:pPr>
              <w:pStyle w:val="Compact"/>
              <w:spacing w:line="240" w:lineRule="auto" w:before="20" w:after="20"/>
              <w:ind w:firstLine="0"/>
              <w:jc w:val="left"/>
            </w:pPr>
            <w:r>
              <w:rPr>
                <w:rFonts w:ascii="Times New Roman" w:hAnsi="Times New Roman"/>
                <w:sz w:val="18"/>
              </w:rPr>
              <w:t>Palmeira</w:t>
            </w:r>
          </w:p>
        </w:tc>
        <w:tc>
          <w:tcPr>
            <w:tcW w:type="dxa" w:w="2004"/>
          </w:tcPr>
          <w:p>
            <w:pPr>
              <w:pStyle w:val="Compact"/>
              <w:spacing w:line="240" w:lineRule="auto" w:before="20" w:after="20"/>
              <w:ind w:firstLine="0"/>
              <w:jc w:val="right"/>
            </w:pPr>
            <w:r>
              <w:rPr>
                <w:rFonts w:ascii="Times New Roman" w:hAnsi="Times New Roman"/>
                <w:sz w:val="18"/>
              </w:rPr>
              <w:t>−9,2 (−9,5%)</w:t>
            </w:r>
          </w:p>
        </w:tc>
        <w:tc>
          <w:tcPr>
            <w:tcW w:type="dxa" w:w="2426"/>
          </w:tcPr>
          <w:p>
            <w:pPr>
              <w:pStyle w:val="Compact"/>
              <w:spacing w:line="240" w:lineRule="auto" w:before="20" w:after="20"/>
              <w:ind w:firstLine="0"/>
              <w:jc w:val="left"/>
            </w:pPr>
            <w:r>
              <w:rPr>
                <w:rFonts w:ascii="Times New Roman" w:hAnsi="Times New Roman"/>
                <w:sz w:val="18"/>
              </w:rPr>
              <w:t>Cambé</w:t>
            </w:r>
          </w:p>
        </w:tc>
        <w:tc>
          <w:tcPr>
            <w:tcW w:type="dxa" w:w="2004"/>
          </w:tcPr>
          <w:p>
            <w:pPr>
              <w:pStyle w:val="Compact"/>
              <w:spacing w:line="240" w:lineRule="auto" w:before="20" w:after="20"/>
              <w:ind w:firstLine="0"/>
              <w:jc w:val="right"/>
            </w:pPr>
            <w:r>
              <w:rPr>
                <w:rFonts w:ascii="Times New Roman" w:hAnsi="Times New Roman"/>
                <w:sz w:val="18"/>
              </w:rPr>
              <w:t>+3,5 (+2,2%)</w:t>
            </w:r>
          </w:p>
        </w:tc>
      </w:tr>
      <w:tr>
        <w:trPr>
          <w:cantSplit/>
        </w:trPr>
        <w:tc>
          <w:tcPr>
            <w:tcW w:type="dxa" w:w="2637"/>
          </w:tcPr>
          <w:p>
            <w:pPr>
              <w:pStyle w:val="Compact"/>
              <w:spacing w:line="240" w:lineRule="auto" w:before="20" w:after="20"/>
              <w:ind w:firstLine="0"/>
              <w:jc w:val="left"/>
            </w:pPr>
            <w:r>
              <w:rPr>
                <w:rFonts w:ascii="Times New Roman" w:hAnsi="Times New Roman"/>
                <w:sz w:val="18"/>
              </w:rPr>
              <w:t>Campo Largo</w:t>
            </w:r>
          </w:p>
        </w:tc>
        <w:tc>
          <w:tcPr>
            <w:tcW w:type="dxa" w:w="2004"/>
          </w:tcPr>
          <w:p>
            <w:pPr>
              <w:pStyle w:val="Compact"/>
              <w:spacing w:line="240" w:lineRule="auto" w:before="20" w:after="20"/>
              <w:ind w:firstLine="0"/>
              <w:jc w:val="right"/>
            </w:pPr>
            <w:r>
              <w:rPr>
                <w:rFonts w:ascii="Times New Roman" w:hAnsi="Times New Roman"/>
                <w:sz w:val="18"/>
              </w:rPr>
              <w:t>−8,8 (−4,2%)</w:t>
            </w:r>
          </w:p>
        </w:tc>
        <w:tc>
          <w:tcPr>
            <w:tcW w:type="dxa" w:w="2426"/>
          </w:tcPr>
          <w:p>
            <w:pPr>
              <w:pStyle w:val="Compact"/>
              <w:spacing w:line="240" w:lineRule="auto" w:before="20" w:after="20"/>
              <w:ind w:firstLine="0"/>
              <w:jc w:val="left"/>
            </w:pPr>
            <w:r>
              <w:rPr>
                <w:rFonts w:ascii="Times New Roman" w:hAnsi="Times New Roman"/>
                <w:sz w:val="18"/>
              </w:rPr>
              <w:t>Cornélio Procópio</w:t>
            </w:r>
          </w:p>
        </w:tc>
        <w:tc>
          <w:tcPr>
            <w:tcW w:type="dxa" w:w="2004"/>
          </w:tcPr>
          <w:p>
            <w:pPr>
              <w:pStyle w:val="Compact"/>
              <w:spacing w:line="240" w:lineRule="auto" w:before="20" w:after="20"/>
              <w:ind w:firstLine="0"/>
              <w:jc w:val="right"/>
            </w:pPr>
            <w:r>
              <w:rPr>
                <w:rFonts w:ascii="Times New Roman" w:hAnsi="Times New Roman"/>
                <w:sz w:val="18"/>
              </w:rPr>
              <w:t>+3,4 (+5,2%)</w:t>
            </w:r>
          </w:p>
        </w:tc>
      </w:tr>
      <w:tr>
        <w:trPr>
          <w:cantSplit/>
        </w:trPr>
        <w:tc>
          <w:tcPr>
            <w:tcW w:type="dxa" w:w="2637"/>
          </w:tcPr>
          <w:p>
            <w:pPr>
              <w:pStyle w:val="Compact"/>
              <w:spacing w:line="240" w:lineRule="auto" w:before="20" w:after="20"/>
              <w:ind w:firstLine="0"/>
              <w:jc w:val="left"/>
            </w:pPr>
            <w:r>
              <w:rPr>
                <w:rFonts w:ascii="Times New Roman" w:hAnsi="Times New Roman"/>
                <w:sz w:val="18"/>
              </w:rPr>
              <w:t>Sengés</w:t>
            </w:r>
          </w:p>
        </w:tc>
        <w:tc>
          <w:tcPr>
            <w:tcW w:type="dxa" w:w="2004"/>
          </w:tcPr>
          <w:p>
            <w:pPr>
              <w:pStyle w:val="Compact"/>
              <w:spacing w:line="240" w:lineRule="auto" w:before="20" w:after="20"/>
              <w:ind w:firstLine="0"/>
              <w:jc w:val="right"/>
            </w:pPr>
            <w:r>
              <w:rPr>
                <w:rFonts w:ascii="Times New Roman" w:hAnsi="Times New Roman"/>
                <w:sz w:val="18"/>
              </w:rPr>
              <w:t>−8,7 (−17,9%)</w:t>
            </w:r>
          </w:p>
        </w:tc>
        <w:tc>
          <w:tcPr>
            <w:tcW w:type="dxa" w:w="2426"/>
          </w:tcPr>
          <w:p>
            <w:pPr>
              <w:pStyle w:val="Compact"/>
              <w:spacing w:line="240" w:lineRule="auto" w:before="20" w:after="20"/>
              <w:ind w:firstLine="0"/>
              <w:jc w:val="left"/>
            </w:pPr>
            <w:r>
              <w:rPr>
                <w:rFonts w:ascii="Times New Roman" w:hAnsi="Times New Roman"/>
                <w:sz w:val="18"/>
              </w:rPr>
              <w:t>Tapejara</w:t>
            </w:r>
          </w:p>
        </w:tc>
        <w:tc>
          <w:tcPr>
            <w:tcW w:type="dxa" w:w="2004"/>
          </w:tcPr>
          <w:p>
            <w:pPr>
              <w:pStyle w:val="Compact"/>
              <w:spacing w:line="240" w:lineRule="auto" w:before="20" w:after="20"/>
              <w:ind w:firstLine="0"/>
              <w:jc w:val="right"/>
            </w:pPr>
            <w:r>
              <w:rPr>
                <w:rFonts w:ascii="Times New Roman" w:hAnsi="Times New Roman"/>
                <w:sz w:val="18"/>
              </w:rPr>
              <w:t>+3,3 (+15,1%)</w:t>
            </w:r>
          </w:p>
        </w:tc>
      </w:tr>
      <w:tr>
        <w:trPr>
          <w:cantSplit/>
        </w:trPr>
        <w:tc>
          <w:tcPr>
            <w:tcW w:type="dxa" w:w="2637"/>
          </w:tcPr>
          <w:p>
            <w:pPr>
              <w:pStyle w:val="Compact"/>
              <w:spacing w:line="240" w:lineRule="auto" w:before="20" w:after="20"/>
              <w:ind w:firstLine="0"/>
              <w:jc w:val="left"/>
            </w:pPr>
            <w:r>
              <w:rPr>
                <w:rFonts w:ascii="Times New Roman" w:hAnsi="Times New Roman"/>
                <w:sz w:val="18"/>
              </w:rPr>
              <w:t>Campina Grande do Sul</w:t>
            </w:r>
          </w:p>
        </w:tc>
        <w:tc>
          <w:tcPr>
            <w:tcW w:type="dxa" w:w="2004"/>
          </w:tcPr>
          <w:p>
            <w:pPr>
              <w:pStyle w:val="Compact"/>
              <w:spacing w:line="240" w:lineRule="auto" w:before="20" w:after="20"/>
              <w:ind w:firstLine="0"/>
              <w:jc w:val="right"/>
            </w:pPr>
            <w:r>
              <w:rPr>
                <w:rFonts w:ascii="Times New Roman" w:hAnsi="Times New Roman"/>
                <w:sz w:val="18"/>
              </w:rPr>
              <w:t>−8,4 (−8,7%)</w:t>
            </w:r>
          </w:p>
        </w:tc>
        <w:tc>
          <w:tcPr>
            <w:tcW w:type="dxa" w:w="2426"/>
          </w:tcPr>
          <w:p>
            <w:pPr>
              <w:pStyle w:val="Compact"/>
              <w:spacing w:line="240" w:lineRule="auto" w:before="20" w:after="20"/>
              <w:ind w:firstLine="0"/>
              <w:jc w:val="left"/>
            </w:pPr>
            <w:r>
              <w:rPr>
                <w:rFonts w:ascii="Times New Roman" w:hAnsi="Times New Roman"/>
                <w:sz w:val="18"/>
              </w:rPr>
              <w:t>Altônia</w:t>
            </w:r>
          </w:p>
        </w:tc>
        <w:tc>
          <w:tcPr>
            <w:tcW w:type="dxa" w:w="2004"/>
          </w:tcPr>
          <w:p>
            <w:pPr>
              <w:pStyle w:val="Compact"/>
              <w:spacing w:line="240" w:lineRule="auto" w:before="20" w:after="20"/>
              <w:ind w:firstLine="0"/>
              <w:jc w:val="right"/>
            </w:pPr>
            <w:r>
              <w:rPr>
                <w:rFonts w:ascii="Times New Roman" w:hAnsi="Times New Roman"/>
                <w:sz w:val="18"/>
              </w:rPr>
              <w:t>+3,3 (+12,1%)</w:t>
            </w:r>
          </w:p>
        </w:tc>
      </w:tr>
    </w:tbl>
    <w:bookmarkEnd w:id="74"/>
    <w:p>
      <w:pPr>
        <w:pStyle w:val="BodyText"/>
        <w:spacing w:line="240" w:lineRule="auto" w:before="40" w:after="0"/>
        <w:ind w:firstLine="0"/>
        <w:jc w:val="both"/>
      </w:pPr>
      <w:r>
        <w:rPr>
          <w:rFonts w:ascii="Times New Roman" w:hAnsi="Times New Roman"/>
          <w:i/>
          <w:iCs/>
          <w:sz w:val="18"/>
        </w:rPr>
        <w:t>Nota: Ranking dos 399 municípios pela diferença, em R$ milhões de 2025, entre a receita projetada sob a reforma e o cenário sem reforma em 2033; entre parênteses, a variação percentual. † indica município com ISS incompleto (menos de cinco exercícios observados, ISS de 2025 não observado diretamente ou pendência de validação).</w:t>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 a partir da base auditada.</w:t>
      </w:r>
    </w:p>
    <w:bookmarkEnd w:id="75"/>
    <w:bookmarkStart w:id="77" w:name="X11aba82b5796f2478ace5888a0c5a70d39c44da"/>
    <w:p>
      <w:pPr>
        <w:pStyle w:val="Heading1"/>
        <w:pageBreakBefore/>
      </w:pPr>
      <w:r>
        <w:t xml:space="preserve">Anexo C: Seguro-Receita nos municípios paranaenses</w:t>
      </w:r>
    </w:p>
    <w:p>
      <w:pPr>
        <w:pStyle w:val="FirstParagraph"/>
      </w:pPr>
      <w:r>
        <w:t xml:space="preserve">Este anexo atualiza a simulação do Seguro-Receita após a auditoria dos dados municipais. A lista individual de beneficiários é produzida pela base de memória de cálculo e preservada como material suplementar eletrônico; o quadro abaixo resume as grandezas utilizadas no artigo.</w:t>
      </w:r>
    </w:p>
    <w:bookmarkStart w:id="76" w:name="tab:seguro_c_resumo"/>
    <w:p>
      <w:pPr>
        <w:pStyle w:val="TableCaption"/>
      </w:pPr>
      <w:r>
        <w:rPr>
          <w:b/>
          <w:bCs/>
        </w:rPr>
        <w:t xml:space="preserve">Tabela C.1:</w:t>
      </w:r>
      <w:r>
        <w:t xml:space="preserve"> Seguro-Receita após a auditoria municipal, 2029 a 2033</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C.1: Seguro-Receita após a auditoria municipal, 2029 a 2033"/>
      </w:tblPr>
      <w:tblGrid>
        <w:gridCol w:w="857"/>
        <w:gridCol w:w="1500"/>
        <w:gridCol w:w="1785"/>
        <w:gridCol w:w="2071"/>
        <w:gridCol w:w="1642"/>
        <w:gridCol w:w="1214"/>
      </w:tblGrid>
      <w:tr>
        <w:trPr>
          <w:tblHeader w:val="on"/>
          <w:cantSplit/>
          <w:tblHeader/>
        </w:trPr>
        <w:tc>
          <w:tcPr>
            <w:tcW w:type="dxa" w:w="857"/>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Ano</w:t>
            </w:r>
          </w:p>
        </w:tc>
        <w:tc>
          <w:tcPr>
            <w:tcW w:type="dxa" w:w="150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Fundo nacional</w:t>
            </w:r>
            <w:r>
              <w:rPr>
                <w:rFonts w:ascii="Times New Roman" w:hAnsi="Times New Roman"/>
                <w:b/>
                <w:sz w:val="16"/>
              </w:rPr>
              <w:br/>
            </w:r>
            <w:r>
              <w:rPr>
                <w:rFonts w:ascii="Times New Roman" w:hAnsi="Times New Roman"/>
                <w:b/>
                <w:bCs/>
                <w:sz w:val="16"/>
              </w:rPr>
              <w:t xml:space="preserve">R$ bi</w:t>
            </w:r>
          </w:p>
        </w:tc>
        <w:tc>
          <w:tcPr>
            <w:tcW w:type="dxa" w:w="1785"/>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Nível de</w:t>
            </w:r>
            <w:r>
              <w:rPr>
                <w:rFonts w:ascii="Times New Roman" w:hAnsi="Times New Roman"/>
                <w:b/>
                <w:sz w:val="16"/>
              </w:rPr>
              <w:br/>
            </w:r>
            <w:r>
              <w:rPr>
                <w:rFonts w:ascii="Times New Roman" w:hAnsi="Times New Roman"/>
                <w:b/>
                <w:bCs/>
                <w:sz w:val="16"/>
              </w:rPr>
              <w:t xml:space="preserve">equalização</w:t>
            </w:r>
          </w:p>
        </w:tc>
        <w:tc>
          <w:tcPr>
            <w:tcW w:type="dxa" w:w="2071"/>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Beneficiários</w:t>
            </w:r>
            <w:r>
              <w:rPr>
                <w:rFonts w:ascii="Times New Roman" w:hAnsi="Times New Roman"/>
                <w:b/>
                <w:sz w:val="16"/>
              </w:rPr>
              <w:br/>
            </w:r>
            <w:r>
              <w:rPr>
                <w:rFonts w:ascii="Times New Roman" w:hAnsi="Times New Roman"/>
                <w:b/>
                <w:bCs/>
                <w:sz w:val="16"/>
              </w:rPr>
              <w:t xml:space="preserve">Brasil</w:t>
            </w:r>
          </w:p>
        </w:tc>
        <w:tc>
          <w:tcPr>
            <w:tcW w:type="dxa" w:w="1642"/>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Municípios</w:t>
            </w:r>
            <w:r>
              <w:rPr>
                <w:rFonts w:ascii="Times New Roman" w:hAnsi="Times New Roman"/>
                <w:b/>
                <w:sz w:val="16"/>
              </w:rPr>
              <w:br/>
            </w:r>
            <w:r>
              <w:rPr>
                <w:rFonts w:ascii="Times New Roman" w:hAnsi="Times New Roman"/>
                <w:b/>
                <w:bCs/>
                <w:sz w:val="16"/>
              </w:rPr>
              <w:t xml:space="preserve">do PR</w:t>
            </w:r>
          </w:p>
        </w:tc>
        <w:tc>
          <w:tcPr>
            <w:tcW w:type="dxa" w:w="121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Repasse PR</w:t>
            </w:r>
            <w:r>
              <w:rPr>
                <w:rFonts w:ascii="Times New Roman" w:hAnsi="Times New Roman"/>
                <w:b/>
                <w:sz w:val="16"/>
              </w:rPr>
              <w:br/>
            </w:r>
            <w:r>
              <w:rPr>
                <w:rFonts w:ascii="Times New Roman" w:hAnsi="Times New Roman"/>
                <w:b/>
                <w:bCs/>
                <w:sz w:val="16"/>
              </w:rPr>
              <w:t xml:space="preserve">R$ mi</w:t>
            </w:r>
          </w:p>
        </w:tc>
      </w:tr>
      <w:tr>
        <w:trPr>
          <w:cantSplit/>
        </w:trPr>
        <w:tc>
          <w:tcPr>
            <w:tcW w:type="dxa" w:w="857"/>
          </w:tcPr>
          <w:p>
            <w:pPr>
              <w:pStyle w:val="Compact"/>
              <w:spacing w:line="240" w:lineRule="auto" w:before="20" w:after="20"/>
              <w:ind w:firstLine="0"/>
              <w:jc w:val="left"/>
            </w:pPr>
            <w:r>
              <w:rPr>
                <w:rFonts w:ascii="Times New Roman" w:hAnsi="Times New Roman"/>
                <w:sz w:val="16"/>
              </w:rPr>
              <w:t xml:space="preserve">2029</w:t>
            </w:r>
          </w:p>
        </w:tc>
        <w:tc>
          <w:tcPr>
            <w:tcW w:type="dxa" w:w="1500"/>
          </w:tcPr>
          <w:p>
            <w:pPr>
              <w:pStyle w:val="Compact"/>
              <w:spacing w:line="240" w:lineRule="auto" w:before="20" w:after="20"/>
              <w:ind w:firstLine="0"/>
              <w:jc w:val="right"/>
            </w:pPr>
            <w:r>
              <w:rPr>
                <w:rFonts w:ascii="Times New Roman" w:hAnsi="Times New Roman"/>
                <w:sz w:val="16"/>
              </w:rPr>
              <w:t xml:space="preserve">1,10</w:t>
            </w:r>
          </w:p>
        </w:tc>
        <w:tc>
          <w:tcPr>
            <w:tcW w:type="dxa" w:w="1785"/>
          </w:tcPr>
          <w:p>
            <w:pPr>
              <w:pStyle w:val="Compact"/>
              <w:spacing w:line="240" w:lineRule="auto" w:before="20" w:after="20"/>
              <w:ind w:firstLine="0"/>
              <w:jc w:val="right"/>
            </w:pPr>
            <w:r>
              <w:rPr>
                <w:rFonts w:ascii="Times New Roman" w:hAnsi="Times New Roman"/>
                <w:sz w:val="16"/>
              </w:rPr>
              <w:t>6,482%</w:t>
            </w:r>
          </w:p>
        </w:tc>
        <w:tc>
          <w:tcPr>
            <w:tcW w:type="dxa" w:w="2071"/>
          </w:tcPr>
          <w:p>
            <w:pPr>
              <w:pStyle w:val="Compact"/>
              <w:spacing w:line="240" w:lineRule="auto" w:before="20" w:after="20"/>
              <w:ind w:firstLine="0"/>
              <w:jc w:val="right"/>
            </w:pPr>
            <w:r>
              <w:rPr>
                <w:rFonts w:ascii="Times New Roman" w:hAnsi="Times New Roman"/>
                <w:sz w:val="16"/>
              </w:rPr>
              <w:t>292</w:t>
            </w:r>
          </w:p>
        </w:tc>
        <w:tc>
          <w:tcPr>
            <w:tcW w:type="dxa" w:w="1642"/>
          </w:tcPr>
          <w:p>
            <w:pPr>
              <w:pStyle w:val="Compact"/>
              <w:spacing w:line="240" w:lineRule="auto" w:before="20" w:after="20"/>
              <w:ind w:firstLine="0"/>
              <w:jc w:val="right"/>
            </w:pPr>
            <w:r>
              <w:rPr>
                <w:rFonts w:ascii="Times New Roman" w:hAnsi="Times New Roman"/>
                <w:sz w:val="16"/>
              </w:rPr>
              <w:t>12</w:t>
            </w:r>
          </w:p>
        </w:tc>
        <w:tc>
          <w:tcPr>
            <w:tcW w:type="dxa" w:w="1214"/>
          </w:tcPr>
          <w:p>
            <w:pPr>
              <w:pStyle w:val="Compact"/>
              <w:spacing w:line="240" w:lineRule="auto" w:before="20" w:after="20"/>
              <w:ind w:firstLine="0"/>
              <w:jc w:val="right"/>
            </w:pPr>
            <w:r>
              <w:rPr>
                <w:rFonts w:ascii="Times New Roman" w:hAnsi="Times New Roman"/>
                <w:sz w:val="16"/>
              </w:rPr>
              <w:t>31,2</w:t>
            </w:r>
          </w:p>
        </w:tc>
      </w:tr>
      <w:tr>
        <w:trPr>
          <w:cantSplit/>
        </w:trPr>
        <w:tc>
          <w:tcPr>
            <w:tcW w:type="dxa" w:w="857"/>
          </w:tcPr>
          <w:p>
            <w:pPr>
              <w:pStyle w:val="Compact"/>
              <w:spacing w:line="240" w:lineRule="auto" w:before="20" w:after="20"/>
              <w:ind w:firstLine="0"/>
              <w:jc w:val="left"/>
            </w:pPr>
            <w:r>
              <w:rPr>
                <w:rFonts w:ascii="Times New Roman" w:hAnsi="Times New Roman"/>
                <w:sz w:val="16"/>
              </w:rPr>
              <w:t xml:space="preserve">2030</w:t>
            </w:r>
          </w:p>
        </w:tc>
        <w:tc>
          <w:tcPr>
            <w:tcW w:type="dxa" w:w="1500"/>
          </w:tcPr>
          <w:p>
            <w:pPr>
              <w:pStyle w:val="Compact"/>
              <w:spacing w:line="240" w:lineRule="auto" w:before="20" w:after="20"/>
              <w:ind w:firstLine="0"/>
              <w:jc w:val="right"/>
            </w:pPr>
            <w:r>
              <w:rPr>
                <w:rFonts w:ascii="Times New Roman" w:hAnsi="Times New Roman"/>
                <w:sz w:val="16"/>
              </w:rPr>
              <w:t xml:space="preserve">2,24</w:t>
            </w:r>
          </w:p>
        </w:tc>
        <w:tc>
          <w:tcPr>
            <w:tcW w:type="dxa" w:w="1785"/>
          </w:tcPr>
          <w:p>
            <w:pPr>
              <w:pStyle w:val="Compact"/>
              <w:spacing w:line="240" w:lineRule="auto" w:before="20" w:after="20"/>
              <w:ind w:firstLine="0"/>
              <w:jc w:val="right"/>
            </w:pPr>
            <w:r>
              <w:rPr>
                <w:rFonts w:ascii="Times New Roman" w:hAnsi="Times New Roman"/>
                <w:sz w:val="16"/>
              </w:rPr>
              <w:t>13,338%</w:t>
            </w:r>
          </w:p>
        </w:tc>
        <w:tc>
          <w:tcPr>
            <w:tcW w:type="dxa" w:w="2071"/>
          </w:tcPr>
          <w:p>
            <w:pPr>
              <w:pStyle w:val="Compact"/>
              <w:spacing w:line="240" w:lineRule="auto" w:before="20" w:after="20"/>
              <w:ind w:firstLine="0"/>
              <w:jc w:val="right"/>
            </w:pPr>
            <w:r>
              <w:rPr>
                <w:rFonts w:ascii="Times New Roman" w:hAnsi="Times New Roman"/>
                <w:sz w:val="16"/>
              </w:rPr>
              <w:t>291</w:t>
            </w:r>
          </w:p>
        </w:tc>
        <w:tc>
          <w:tcPr>
            <w:tcW w:type="dxa" w:w="1642"/>
          </w:tcPr>
          <w:p>
            <w:pPr>
              <w:pStyle w:val="Compact"/>
              <w:spacing w:line="240" w:lineRule="auto" w:before="20" w:after="20"/>
              <w:ind w:firstLine="0"/>
              <w:jc w:val="right"/>
            </w:pPr>
            <w:r>
              <w:rPr>
                <w:rFonts w:ascii="Times New Roman" w:hAnsi="Times New Roman"/>
                <w:sz w:val="16"/>
              </w:rPr>
              <w:t>12</w:t>
            </w:r>
          </w:p>
        </w:tc>
        <w:tc>
          <w:tcPr>
            <w:tcW w:type="dxa" w:w="1214"/>
          </w:tcPr>
          <w:p>
            <w:pPr>
              <w:pStyle w:val="Compact"/>
              <w:spacing w:line="240" w:lineRule="auto" w:before="20" w:after="20"/>
              <w:ind w:firstLine="0"/>
              <w:jc w:val="right"/>
            </w:pPr>
            <w:r>
              <w:rPr>
                <w:rFonts w:ascii="Times New Roman" w:hAnsi="Times New Roman"/>
                <w:sz w:val="16"/>
              </w:rPr>
              <w:t>64,0</w:t>
            </w:r>
          </w:p>
        </w:tc>
      </w:tr>
      <w:tr>
        <w:trPr>
          <w:cantSplit/>
        </w:trPr>
        <w:tc>
          <w:tcPr>
            <w:tcW w:type="dxa" w:w="857"/>
          </w:tcPr>
          <w:p>
            <w:pPr>
              <w:pStyle w:val="Compact"/>
              <w:spacing w:line="240" w:lineRule="auto" w:before="20" w:after="20"/>
              <w:ind w:firstLine="0"/>
              <w:jc w:val="left"/>
            </w:pPr>
            <w:r>
              <w:rPr>
                <w:rFonts w:ascii="Times New Roman" w:hAnsi="Times New Roman"/>
                <w:sz w:val="16"/>
              </w:rPr>
              <w:t xml:space="preserve">2031</w:t>
            </w:r>
          </w:p>
        </w:tc>
        <w:tc>
          <w:tcPr>
            <w:tcW w:type="dxa" w:w="1500"/>
          </w:tcPr>
          <w:p>
            <w:pPr>
              <w:pStyle w:val="Compact"/>
              <w:spacing w:line="240" w:lineRule="auto" w:before="20" w:after="20"/>
              <w:ind w:firstLine="0"/>
              <w:jc w:val="right"/>
            </w:pPr>
            <w:r>
              <w:rPr>
                <w:rFonts w:ascii="Times New Roman" w:hAnsi="Times New Roman"/>
                <w:sz w:val="16"/>
              </w:rPr>
              <w:t>3,44</w:t>
            </w:r>
          </w:p>
        </w:tc>
        <w:tc>
          <w:tcPr>
            <w:tcW w:type="dxa" w:w="1785"/>
          </w:tcPr>
          <w:p>
            <w:pPr>
              <w:pStyle w:val="Compact"/>
              <w:spacing w:line="240" w:lineRule="auto" w:before="20" w:after="20"/>
              <w:ind w:firstLine="0"/>
              <w:jc w:val="right"/>
            </w:pPr>
            <w:r>
              <w:rPr>
                <w:rFonts w:ascii="Times New Roman" w:hAnsi="Times New Roman"/>
                <w:sz w:val="16"/>
              </w:rPr>
              <w:t>20,487%</w:t>
            </w:r>
          </w:p>
        </w:tc>
        <w:tc>
          <w:tcPr>
            <w:tcW w:type="dxa" w:w="2071"/>
          </w:tcPr>
          <w:p>
            <w:pPr>
              <w:pStyle w:val="Compact"/>
              <w:spacing w:line="240" w:lineRule="auto" w:before="20" w:after="20"/>
              <w:ind w:firstLine="0"/>
              <w:jc w:val="right"/>
            </w:pPr>
            <w:r>
              <w:rPr>
                <w:rFonts w:ascii="Times New Roman" w:hAnsi="Times New Roman"/>
                <w:sz w:val="16"/>
              </w:rPr>
              <w:t>291</w:t>
            </w:r>
          </w:p>
        </w:tc>
        <w:tc>
          <w:tcPr>
            <w:tcW w:type="dxa" w:w="1642"/>
          </w:tcPr>
          <w:p>
            <w:pPr>
              <w:pStyle w:val="Compact"/>
              <w:spacing w:line="240" w:lineRule="auto" w:before="20" w:after="20"/>
              <w:ind w:firstLine="0"/>
              <w:jc w:val="right"/>
            </w:pPr>
            <w:r>
              <w:rPr>
                <w:rFonts w:ascii="Times New Roman" w:hAnsi="Times New Roman"/>
                <w:sz w:val="16"/>
              </w:rPr>
              <w:t>12</w:t>
            </w:r>
          </w:p>
        </w:tc>
        <w:tc>
          <w:tcPr>
            <w:tcW w:type="dxa" w:w="1214"/>
          </w:tcPr>
          <w:p>
            <w:pPr>
              <w:pStyle w:val="Compact"/>
              <w:spacing w:line="240" w:lineRule="auto" w:before="20" w:after="20"/>
              <w:ind w:firstLine="0"/>
              <w:jc w:val="right"/>
            </w:pPr>
            <w:r>
              <w:rPr>
                <w:rFonts w:ascii="Times New Roman" w:hAnsi="Times New Roman"/>
                <w:sz w:val="16"/>
              </w:rPr>
              <w:t>98,2</w:t>
            </w:r>
          </w:p>
        </w:tc>
      </w:tr>
      <w:tr>
        <w:trPr>
          <w:cantSplit/>
        </w:trPr>
        <w:tc>
          <w:tcPr>
            <w:tcW w:type="dxa" w:w="857"/>
          </w:tcPr>
          <w:p>
            <w:pPr>
              <w:pStyle w:val="Compact"/>
              <w:spacing w:line="240" w:lineRule="auto" w:before="20" w:after="20"/>
              <w:ind w:firstLine="0"/>
              <w:jc w:val="left"/>
            </w:pPr>
            <w:r>
              <w:rPr>
                <w:rFonts w:ascii="Times New Roman" w:hAnsi="Times New Roman"/>
                <w:sz w:val="16"/>
              </w:rPr>
              <w:t xml:space="preserve">2032</w:t>
            </w:r>
          </w:p>
        </w:tc>
        <w:tc>
          <w:tcPr>
            <w:tcW w:type="dxa" w:w="1500"/>
          </w:tcPr>
          <w:p>
            <w:pPr>
              <w:pStyle w:val="Compact"/>
              <w:spacing w:line="240" w:lineRule="auto" w:before="20" w:after="20"/>
              <w:ind w:firstLine="0"/>
              <w:jc w:val="right"/>
            </w:pPr>
            <w:r>
              <w:rPr>
                <w:rFonts w:ascii="Times New Roman" w:hAnsi="Times New Roman"/>
                <w:sz w:val="16"/>
              </w:rPr>
              <w:t>4,69</w:t>
            </w:r>
          </w:p>
        </w:tc>
        <w:tc>
          <w:tcPr>
            <w:tcW w:type="dxa" w:w="1785"/>
          </w:tcPr>
          <w:p>
            <w:pPr>
              <w:pStyle w:val="Compact"/>
              <w:spacing w:line="240" w:lineRule="auto" w:before="20" w:after="20"/>
              <w:ind w:firstLine="0"/>
              <w:jc w:val="right"/>
            </w:pPr>
            <w:r>
              <w:rPr>
                <w:rFonts w:ascii="Times New Roman" w:hAnsi="Times New Roman"/>
                <w:sz w:val="16"/>
              </w:rPr>
              <w:t>27,957%</w:t>
            </w:r>
          </w:p>
        </w:tc>
        <w:tc>
          <w:tcPr>
            <w:tcW w:type="dxa" w:w="2071"/>
          </w:tcPr>
          <w:p>
            <w:pPr>
              <w:pStyle w:val="Compact"/>
              <w:spacing w:line="240" w:lineRule="auto" w:before="20" w:after="20"/>
              <w:ind w:firstLine="0"/>
              <w:jc w:val="right"/>
            </w:pPr>
            <w:r>
              <w:rPr>
                <w:rFonts w:ascii="Times New Roman" w:hAnsi="Times New Roman"/>
                <w:sz w:val="16"/>
              </w:rPr>
              <w:t>291</w:t>
            </w:r>
          </w:p>
        </w:tc>
        <w:tc>
          <w:tcPr>
            <w:tcW w:type="dxa" w:w="1642"/>
          </w:tcPr>
          <w:p>
            <w:pPr>
              <w:pStyle w:val="Compact"/>
              <w:spacing w:line="240" w:lineRule="auto" w:before="20" w:after="20"/>
              <w:ind w:firstLine="0"/>
              <w:jc w:val="right"/>
            </w:pPr>
            <w:r>
              <w:rPr>
                <w:rFonts w:ascii="Times New Roman" w:hAnsi="Times New Roman"/>
                <w:sz w:val="16"/>
              </w:rPr>
              <w:t>12</w:t>
            </w:r>
          </w:p>
        </w:tc>
        <w:tc>
          <w:tcPr>
            <w:tcW w:type="dxa" w:w="1214"/>
          </w:tcPr>
          <w:p>
            <w:pPr>
              <w:pStyle w:val="Compact"/>
              <w:spacing w:line="240" w:lineRule="auto" w:before="20" w:after="20"/>
              <w:ind w:firstLine="0"/>
              <w:jc w:val="right"/>
            </w:pPr>
            <w:r>
              <w:rPr>
                <w:rFonts w:ascii="Times New Roman" w:hAnsi="Times New Roman"/>
                <w:sz w:val="16"/>
              </w:rPr>
              <w:t>134,0</w:t>
            </w:r>
          </w:p>
        </w:tc>
      </w:tr>
      <w:tr>
        <w:trPr>
          <w:cantSplit/>
        </w:trPr>
        <w:tc>
          <w:tcPr>
            <w:tcW w:type="dxa" w:w="857"/>
          </w:tcPr>
          <w:p>
            <w:pPr>
              <w:pStyle w:val="Compact"/>
              <w:spacing w:line="240" w:lineRule="auto" w:before="20" w:after="20"/>
              <w:ind w:firstLine="0"/>
              <w:jc w:val="left"/>
            </w:pPr>
            <w:r>
              <w:rPr>
                <w:rFonts w:ascii="Times New Roman" w:hAnsi="Times New Roman"/>
                <w:sz w:val="16"/>
              </w:rPr>
              <w:t xml:space="preserve">2033</w:t>
            </w:r>
          </w:p>
        </w:tc>
        <w:tc>
          <w:tcPr>
            <w:tcW w:type="dxa" w:w="1500"/>
          </w:tcPr>
          <w:p>
            <w:pPr>
              <w:pStyle w:val="Compact"/>
              <w:spacing w:line="240" w:lineRule="auto" w:before="20" w:after="20"/>
              <w:ind w:firstLine="0"/>
              <w:jc w:val="right"/>
            </w:pPr>
            <w:r>
              <w:rPr>
                <w:rFonts w:ascii="Times New Roman" w:hAnsi="Times New Roman"/>
                <w:sz w:val="16"/>
              </w:rPr>
              <w:t>5,99</w:t>
            </w:r>
          </w:p>
        </w:tc>
        <w:tc>
          <w:tcPr>
            <w:tcW w:type="dxa" w:w="1785"/>
          </w:tcPr>
          <w:p>
            <w:pPr>
              <w:pStyle w:val="Compact"/>
              <w:spacing w:line="240" w:lineRule="auto" w:before="20" w:after="20"/>
              <w:ind w:firstLine="0"/>
              <w:jc w:val="right"/>
            </w:pPr>
            <w:r>
              <w:rPr>
                <w:rFonts w:ascii="Times New Roman" w:hAnsi="Times New Roman"/>
                <w:sz w:val="16"/>
              </w:rPr>
              <w:t>65,314%</w:t>
            </w:r>
          </w:p>
        </w:tc>
        <w:tc>
          <w:tcPr>
            <w:tcW w:type="dxa" w:w="2071"/>
          </w:tcPr>
          <w:p>
            <w:pPr>
              <w:pStyle w:val="Compact"/>
              <w:spacing w:line="240" w:lineRule="auto" w:before="20" w:after="20"/>
              <w:ind w:firstLine="0"/>
              <w:jc w:val="right"/>
            </w:pPr>
            <w:r>
              <w:rPr>
                <w:rFonts w:ascii="Times New Roman" w:hAnsi="Times New Roman"/>
                <w:sz w:val="16"/>
              </w:rPr>
              <w:t>200</w:t>
            </w:r>
          </w:p>
        </w:tc>
        <w:tc>
          <w:tcPr>
            <w:tcW w:type="dxa" w:w="1642"/>
          </w:tcPr>
          <w:p>
            <w:pPr>
              <w:pStyle w:val="Compact"/>
              <w:spacing w:line="240" w:lineRule="auto" w:before="20" w:after="20"/>
              <w:ind w:firstLine="0"/>
              <w:jc w:val="right"/>
            </w:pPr>
            <w:r>
              <w:rPr>
                <w:rFonts w:ascii="Times New Roman" w:hAnsi="Times New Roman"/>
                <w:sz w:val="16"/>
              </w:rPr>
              <w:t>7</w:t>
            </w:r>
          </w:p>
        </w:tc>
        <w:tc>
          <w:tcPr>
            <w:tcW w:type="dxa" w:w="1214"/>
          </w:tcPr>
          <w:p>
            <w:pPr>
              <w:pStyle w:val="Compact"/>
              <w:spacing w:line="240" w:lineRule="auto" w:before="20" w:after="20"/>
              <w:ind w:firstLine="0"/>
              <w:jc w:val="right"/>
            </w:pPr>
            <w:r>
              <w:rPr>
                <w:rFonts w:ascii="Times New Roman" w:hAnsi="Times New Roman"/>
                <w:sz w:val="16"/>
              </w:rPr>
              <w:t>234,9</w:t>
            </w:r>
          </w:p>
        </w:tc>
      </w:tr>
      <w:tr>
        <w:trPr>
          <w:cantSplit/>
        </w:trPr>
        <w:tc>
          <w:tcPr>
            <w:tcW w:type="dxa" w:w="857"/>
          </w:tcPr>
          <w:p>
            <w:pPr>
              <w:pStyle w:val="Compact"/>
              <w:spacing w:line="240" w:lineRule="auto" w:before="20" w:after="20"/>
              <w:ind w:firstLine="0"/>
              <w:jc w:val="left"/>
            </w:pPr>
            <w:r>
              <w:rPr>
                <w:rFonts w:ascii="Times New Roman" w:hAnsi="Times New Roman"/>
                <w:b/>
                <w:bCs/>
                <w:sz w:val="16"/>
              </w:rPr>
              <w:t xml:space="preserve">2029 a 2033</w:t>
            </w:r>
          </w:p>
        </w:tc>
        <w:tc>
          <w:tcPr>
            <w:tcW w:type="dxa" w:w="1500"/>
          </w:tcPr>
          <w:p>
            <w:pPr>
              <w:pStyle w:val="Compact"/>
              <w:spacing w:line="240" w:lineRule="auto" w:before="20" w:after="20"/>
              <w:ind w:firstLine="0"/>
              <w:jc w:val="right"/>
            </w:pPr>
            <w:r>
              <w:rPr>
                <w:rFonts w:ascii="Times New Roman" w:hAnsi="Times New Roman"/>
                <w:b/>
                <w:bCs/>
                <w:sz w:val="16"/>
              </w:rPr>
              <w:t>17,47</w:t>
            </w:r>
          </w:p>
        </w:tc>
        <w:tc>
          <w:tcPr>
            <w:tcW w:type="dxa" w:w="1785"/>
          </w:tcPr>
          <w:p>
            <w:pPr>
              <w:pStyle w:val="Compact"/>
              <w:spacing w:line="240" w:lineRule="auto" w:before="20" w:after="20"/>
              <w:ind w:firstLine="0"/>
            </w:pPr>
          </w:p>
        </w:tc>
        <w:tc>
          <w:tcPr>
            <w:tcW w:type="dxa" w:w="2071"/>
          </w:tcPr>
          <w:p>
            <w:pPr>
              <w:pStyle w:val="Compact"/>
              <w:spacing w:line="240" w:lineRule="auto" w:before="20" w:after="20"/>
              <w:ind w:firstLine="0"/>
            </w:pPr>
          </w:p>
        </w:tc>
        <w:tc>
          <w:tcPr>
            <w:tcW w:type="dxa" w:w="1642"/>
          </w:tcPr>
          <w:p>
            <w:pPr>
              <w:pStyle w:val="Compact"/>
              <w:spacing w:line="240" w:lineRule="auto" w:before="20" w:after="20"/>
              <w:ind w:firstLine="0"/>
            </w:pPr>
          </w:p>
        </w:tc>
        <w:tc>
          <w:tcPr>
            <w:tcW w:type="dxa" w:w="1214"/>
          </w:tcPr>
          <w:p>
            <w:pPr>
              <w:pStyle w:val="Compact"/>
              <w:spacing w:line="240" w:lineRule="auto" w:before="20" w:after="20"/>
              <w:ind w:firstLine="0"/>
              <w:jc w:val="right"/>
            </w:pPr>
            <w:r>
              <w:rPr>
                <w:rFonts w:ascii="Times New Roman" w:hAnsi="Times New Roman"/>
                <w:b/>
                <w:bCs/>
                <w:sz w:val="16"/>
              </w:rPr>
              <w:t>562,3</w:t>
            </w:r>
          </w:p>
        </w:tc>
      </w:tr>
    </w:tbl>
    <w:bookmarkEnd w:id="76"/>
    <w:p>
      <w:pPr>
        <w:pStyle w:val="BodyText"/>
        <w:spacing w:line="240" w:lineRule="auto" w:before="40" w:after="0"/>
        <w:ind w:firstLine="0"/>
        <w:jc w:val="both"/>
      </w:pPr>
      <w:r>
        <w:rPr>
          <w:rFonts w:ascii="Times New Roman" w:hAnsi="Times New Roman"/>
          <w:i/>
          <w:iCs/>
          <w:sz w:val="18"/>
        </w:rPr>
        <w:t xml:space="preserve">Nota:</w:t>
      </w:r>
      <w:r>
        <w:rPr>
          <w:rFonts w:ascii="Times New Roman" w:hAnsi="Times New Roman"/>
          <w:sz w:val="18"/>
        </w:rPr>
        <w:t xml:space="preserve"> </w:t>
      </w:r>
      <w:r>
        <w:rPr>
          <w:rFonts w:ascii="Times New Roman" w:hAnsi="Times New Roman"/>
          <w:sz w:val="18"/>
        </w:rPr>
        <w:t xml:space="preserve">O número de municípios do Paraná corresponde aos entes com repasse positivo no respectivo ano. O governo estadual do Paraná não recebe Seguro-Receita no período simulado.</w:t>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Base auditada de memória de cálculo do Seguro-Receita. Elaboração própria.</w:t>
      </w:r>
    </w:p>
    <w:bookmarkEnd w:id="77"/>
    <w:bookmarkStart w:id="79" w:name="X32d18a6f1e5485732b8208c94f184cc7cdeed79"/>
    <w:p>
      <w:pPr>
        <w:pStyle w:val="Heading1"/>
        <w:pageBreakBefore/>
      </w:pPr>
      <w:r>
        <w:t xml:space="preserve">Anexo D: Convergência da receita per capita entre os municípios paranaenses</w:t>
      </w:r>
    </w:p>
    <w:p>
      <w:pPr>
        <w:pStyle w:val="FirstParagraph"/>
      </w:pPr>
      <w:r>
        <w:t>Este anexo detalha a redução da desigualdade de receita por habitante entre os municípios do Paraná ao longo da transição. A tabela apresenta os dez municípios com maior e os dez com menor receita per capita em 2025, a trajetória dessa receita até 2077 e, na parte inferior, duas medidas de dispersão calculadas para os 399 municípios do Estado.</w:t>
      </w:r>
      <w:r>
        <w:rPr/>
      </w:r>
      <w:r>
        <w:rPr/>
      </w:r>
    </w:p>
    <w:bookmarkStart w:id="78" w:name="tab:convergencia"/>
    <w:p>
      <w:pPr>
        <w:pStyle w:val="TableCaption"/>
      </w:pPr>
      <w:r>
        <w:rPr>
          <w:b/>
          <w:bCs/>
        </w:rPr>
        <w:t xml:space="preserve">Tabela D.1:</w:t>
      </w:r>
      <w:r>
        <w:t xml:space="preserve"> Receita per capita de ICMS/ISS e IBS dos municípios paranaenses com maior e menor valor em 2025, e medidas de dispersão, 2025 a 2077</w:t>
      </w:r>
    </w:p>
    <w:tbl>
      <w:tblPr>
        <w:tblStyle w:val="Table"/>
        <w:tblW w:type="dxa" w:w="9072"/>
        <w:tblBorders>
          <w:top w:val="single" w:sz="12" w:space="0" w:color="000000"/>
          <w:bottom w:val="single" w:sz="12" w:space="0" w:color="000000"/>
        </w:tblBorders>
        <w:tblLayout w:type="fixed"/>
        <w:tblCellMar>
          <w:left w:w="60" w:type="dxa"/>
          <w:right w:w="60" w:type="dxa"/>
        </w:tblCellMar>
        <w:tblLook w:firstRow="1" w:lastRow="0" w:firstColumn="0" w:lastColumn="0" w:noHBand="0" w:noVBand="0" w:val="0020"/>
        <w:tblCaption w:val="Tabela D.1: Receita per capita de ICMS/ISS e IBS dos municípios paranaenses com maior e menor valor em 2025, e medidas de dispersão, 2025 a 2077"/>
      </w:tblPr>
      <w:tblGrid>
        <w:gridCol w:w="1774"/>
        <w:gridCol w:w="1380"/>
        <w:gridCol w:w="854"/>
        <w:gridCol w:w="854"/>
        <w:gridCol w:w="854"/>
        <w:gridCol w:w="986"/>
        <w:gridCol w:w="986"/>
        <w:gridCol w:w="1380"/>
      </w:tblGrid>
      <w:tr>
        <w:trPr>
          <w:tblHeader w:val="on"/>
          <w:cantSplit/>
          <w:tblHeader/>
        </w:trPr>
        <w:tc>
          <w:tcPr>
            <w:tcW w:type="dxa" w:w="177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Município</w:t>
            </w:r>
          </w:p>
        </w:tc>
        <w:tc>
          <w:tcPr>
            <w:tcW w:type="dxa" w:w="138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População</w:t>
            </w:r>
            <w:r>
              <w:rPr>
                <w:rFonts w:ascii="Times New Roman" w:hAnsi="Times New Roman"/>
                <w:b/>
                <w:sz w:val="16"/>
              </w:rPr>
              <w:br/>
            </w:r>
            <w:r>
              <w:rPr>
                <w:rFonts w:ascii="Times New Roman" w:hAnsi="Times New Roman"/>
                <w:b/>
                <w:bCs/>
                <w:sz w:val="16"/>
              </w:rPr>
              <w:t xml:space="preserve">(mil)</w:t>
            </w:r>
          </w:p>
        </w:tc>
        <w:tc>
          <w:tcPr>
            <w:tcW w:type="dxa" w:w="85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2025</w:t>
            </w:r>
          </w:p>
        </w:tc>
        <w:tc>
          <w:tcPr>
            <w:tcW w:type="dxa" w:w="85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2029</w:t>
            </w:r>
          </w:p>
        </w:tc>
        <w:tc>
          <w:tcPr>
            <w:tcW w:type="dxa" w:w="854"/>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2033</w:t>
            </w:r>
          </w:p>
        </w:tc>
        <w:tc>
          <w:tcPr>
            <w:tcW w:type="dxa" w:w="98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2050</w:t>
            </w:r>
          </w:p>
        </w:tc>
        <w:tc>
          <w:tcPr>
            <w:tcW w:type="dxa" w:w="986"/>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2077</w:t>
            </w:r>
          </w:p>
        </w:tc>
        <w:tc>
          <w:tcPr>
            <w:tcW w:type="dxa" w:w="1380"/>
            <w:tcBorders>
              <w:top w:val="single" w:sz="12" w:space="0" w:color="000000"/>
              <w:bottom w:val="single" w:sz="6" w:space="0" w:color="000000"/>
            </w:tcBorders>
          </w:tcPr>
          <w:p>
            <w:pPr>
              <w:pStyle w:val="Compact"/>
              <w:spacing w:line="240" w:lineRule="auto" w:before="20" w:after="20"/>
              <w:ind w:firstLine="0"/>
              <w:jc w:val="center"/>
            </w:pPr>
            <w:r>
              <w:rPr>
                <w:rFonts w:ascii="Times New Roman" w:hAnsi="Times New Roman"/>
                <w:b/>
                <w:bCs/>
                <w:sz w:val="16"/>
              </w:rPr>
              <w:t xml:space="preserve">Variação</w:t>
            </w:r>
            <w:r>
              <w:rPr>
                <w:rFonts w:ascii="Times New Roman" w:hAnsi="Times New Roman"/>
                <w:b/>
                <w:sz w:val="16"/>
              </w:rPr>
              <w:br/>
            </w:r>
            <w:r>
              <w:rPr>
                <w:rFonts w:ascii="Times New Roman" w:hAnsi="Times New Roman"/>
                <w:b/>
                <w:bCs/>
                <w:sz w:val="16"/>
              </w:rPr>
              <w:t xml:space="preserve">2025 a 2077</w:t>
            </w:r>
          </w:p>
        </w:tc>
      </w:tr>
      <w:tr>
        <w:trPr>
          <w:cantSplit/>
        </w:trPr>
        <w:tc>
          <w:tcPr>
            <w:tcW w:type="dxa" w:w="1774"/>
          </w:tcPr>
          <w:p>
            <w:pPr>
              <w:pStyle w:val="Compact"/>
              <w:spacing w:line="240" w:lineRule="auto" w:before="20" w:after="20"/>
              <w:ind w:firstLine="0"/>
              <w:jc w:val="left"/>
            </w:pPr>
            <w:r>
              <w:rPr>
                <w:rFonts w:ascii="Times New Roman" w:hAnsi="Times New Roman"/>
                <w:sz w:val="16"/>
              </w:rPr>
              <w:t>Mato Rico</w:t>
            </w:r>
          </w:p>
        </w:tc>
        <w:tc>
          <w:tcPr>
            <w:tcW w:type="dxa" w:w="1380"/>
          </w:tcPr>
          <w:p>
            <w:pPr>
              <w:pStyle w:val="Compact"/>
              <w:spacing w:line="240" w:lineRule="auto" w:before="20" w:after="20"/>
              <w:ind w:firstLine="0"/>
              <w:jc w:val="right"/>
            </w:pPr>
            <w:r>
              <w:rPr>
                <w:rFonts w:ascii="Times New Roman" w:hAnsi="Times New Roman"/>
                <w:sz w:val="16"/>
              </w:rPr>
              <w:t>3,2</w:t>
            </w:r>
          </w:p>
        </w:tc>
        <w:tc>
          <w:tcPr>
            <w:tcW w:type="dxa" w:w="854"/>
          </w:tcPr>
          <w:p>
            <w:pPr>
              <w:pStyle w:val="Compact"/>
              <w:spacing w:line="240" w:lineRule="auto" w:before="20" w:after="20"/>
              <w:ind w:firstLine="0"/>
              <w:jc w:val="right"/>
            </w:pPr>
            <w:r>
              <w:rPr>
                <w:rFonts w:ascii="Times New Roman" w:hAnsi="Times New Roman"/>
                <w:sz w:val="16"/>
              </w:rPr>
              <w:t>6.910</w:t>
            </w:r>
          </w:p>
        </w:tc>
        <w:tc>
          <w:tcPr>
            <w:tcW w:type="dxa" w:w="854"/>
          </w:tcPr>
          <w:p>
            <w:pPr>
              <w:pStyle w:val="Compact"/>
              <w:spacing w:line="240" w:lineRule="auto" w:before="20" w:after="20"/>
              <w:ind w:firstLine="0"/>
              <w:jc w:val="right"/>
            </w:pPr>
            <w:r>
              <w:rPr>
                <w:rFonts w:ascii="Times New Roman" w:hAnsi="Times New Roman"/>
                <w:sz w:val="16"/>
              </w:rPr>
              <w:t>7.263</w:t>
            </w:r>
          </w:p>
        </w:tc>
        <w:tc>
          <w:tcPr>
            <w:tcW w:type="dxa" w:w="854"/>
          </w:tcPr>
          <w:p>
            <w:pPr>
              <w:pStyle w:val="Compact"/>
              <w:spacing w:line="240" w:lineRule="auto" w:before="20" w:after="20"/>
              <w:ind w:firstLine="0"/>
              <w:jc w:val="right"/>
            </w:pPr>
            <w:r>
              <w:rPr>
                <w:rFonts w:ascii="Times New Roman" w:hAnsi="Times New Roman"/>
                <w:sz w:val="16"/>
              </w:rPr>
              <w:t>6.303</w:t>
            </w:r>
          </w:p>
        </w:tc>
        <w:tc>
          <w:tcPr>
            <w:tcW w:type="dxa" w:w="986"/>
          </w:tcPr>
          <w:p>
            <w:pPr>
              <w:pStyle w:val="Compact"/>
              <w:spacing w:line="240" w:lineRule="auto" w:before="20" w:after="20"/>
              <w:ind w:firstLine="0"/>
              <w:jc w:val="right"/>
            </w:pPr>
            <w:r>
              <w:rPr>
                <w:rFonts w:ascii="Times New Roman" w:hAnsi="Times New Roman"/>
                <w:sz w:val="16"/>
              </w:rPr>
              <w:t>7.478</w:t>
            </w:r>
          </w:p>
        </w:tc>
        <w:tc>
          <w:tcPr>
            <w:tcW w:type="dxa" w:w="986"/>
          </w:tcPr>
          <w:p>
            <w:pPr>
              <w:pStyle w:val="Compact"/>
              <w:spacing w:line="240" w:lineRule="auto" w:before="20" w:after="20"/>
              <w:ind w:firstLine="0"/>
              <w:jc w:val="right"/>
            </w:pPr>
            <w:r>
              <w:rPr>
                <w:rFonts w:ascii="Times New Roman" w:hAnsi="Times New Roman"/>
                <w:sz w:val="16"/>
              </w:rPr>
              <w:t>8.751</w:t>
            </w:r>
          </w:p>
        </w:tc>
        <w:tc>
          <w:tcPr>
            <w:tcW w:type="dxa" w:w="1380"/>
          </w:tcPr>
          <w:p>
            <w:pPr>
              <w:pStyle w:val="Compact"/>
              <w:spacing w:line="240" w:lineRule="auto" w:before="20" w:after="20"/>
              <w:ind w:firstLine="0"/>
              <w:jc w:val="right"/>
            </w:pPr>
            <w:r>
              <w:rPr>
                <w:rFonts w:ascii="Times New Roman" w:hAnsi="Times New Roman"/>
                <w:sz w:val="16"/>
              </w:rPr>
              <w:t>+27%</w:t>
            </w:r>
          </w:p>
        </w:tc>
      </w:tr>
      <w:tr>
        <w:trPr>
          <w:cantSplit/>
        </w:trPr>
        <w:tc>
          <w:tcPr>
            <w:tcW w:type="dxa" w:w="1774"/>
          </w:tcPr>
          <w:p>
            <w:pPr>
              <w:pStyle w:val="Compact"/>
              <w:spacing w:line="240" w:lineRule="auto" w:before="20" w:after="20"/>
              <w:ind w:firstLine="0"/>
              <w:jc w:val="left"/>
            </w:pPr>
            <w:r>
              <w:rPr>
                <w:rFonts w:ascii="Times New Roman" w:hAnsi="Times New Roman"/>
                <w:sz w:val="16"/>
              </w:rPr>
              <w:t>Araucária</w:t>
            </w:r>
          </w:p>
        </w:tc>
        <w:tc>
          <w:tcPr>
            <w:tcW w:type="dxa" w:w="1380"/>
          </w:tcPr>
          <w:p>
            <w:pPr>
              <w:pStyle w:val="Compact"/>
              <w:spacing w:line="240" w:lineRule="auto" w:before="20" w:after="20"/>
              <w:ind w:firstLine="0"/>
              <w:jc w:val="right"/>
            </w:pPr>
            <w:r>
              <w:rPr>
                <w:rFonts w:ascii="Times New Roman" w:hAnsi="Times New Roman"/>
                <w:sz w:val="16"/>
              </w:rPr>
              <w:t>154,1</w:t>
            </w:r>
          </w:p>
        </w:tc>
        <w:tc>
          <w:tcPr>
            <w:tcW w:type="dxa" w:w="854"/>
          </w:tcPr>
          <w:p>
            <w:pPr>
              <w:pStyle w:val="Compact"/>
              <w:spacing w:line="240" w:lineRule="auto" w:before="20" w:after="20"/>
              <w:ind w:firstLine="0"/>
              <w:jc w:val="right"/>
            </w:pPr>
            <w:r>
              <w:rPr>
                <w:rFonts w:ascii="Times New Roman" w:hAnsi="Times New Roman"/>
                <w:sz w:val="16"/>
              </w:rPr>
              <w:t>6.389</w:t>
            </w:r>
          </w:p>
        </w:tc>
        <w:tc>
          <w:tcPr>
            <w:tcW w:type="dxa" w:w="854"/>
          </w:tcPr>
          <w:p>
            <w:pPr>
              <w:pStyle w:val="Compact"/>
              <w:spacing w:line="240" w:lineRule="auto" w:before="20" w:after="20"/>
              <w:ind w:firstLine="0"/>
              <w:jc w:val="right"/>
            </w:pPr>
            <w:r>
              <w:rPr>
                <w:rFonts w:ascii="Times New Roman" w:hAnsi="Times New Roman"/>
                <w:sz w:val="16"/>
              </w:rPr>
              <w:t>6.919</w:t>
            </w:r>
          </w:p>
        </w:tc>
        <w:tc>
          <w:tcPr>
            <w:tcW w:type="dxa" w:w="854"/>
          </w:tcPr>
          <w:p>
            <w:pPr>
              <w:pStyle w:val="Compact"/>
              <w:spacing w:line="240" w:lineRule="auto" w:before="20" w:after="20"/>
              <w:ind w:firstLine="0"/>
              <w:jc w:val="right"/>
            </w:pPr>
            <w:r>
              <w:rPr>
                <w:rFonts w:ascii="Times New Roman" w:hAnsi="Times New Roman"/>
                <w:sz w:val="16"/>
              </w:rPr>
              <w:t>8.241</w:t>
            </w:r>
          </w:p>
        </w:tc>
        <w:tc>
          <w:tcPr>
            <w:tcW w:type="dxa" w:w="986"/>
          </w:tcPr>
          <w:p>
            <w:pPr>
              <w:pStyle w:val="Compact"/>
              <w:spacing w:line="240" w:lineRule="auto" w:before="20" w:after="20"/>
              <w:ind w:firstLine="0"/>
              <w:jc w:val="right"/>
            </w:pPr>
            <w:r>
              <w:rPr>
                <w:rFonts w:ascii="Times New Roman" w:hAnsi="Times New Roman"/>
                <w:sz w:val="16"/>
              </w:rPr>
              <w:t>12.321</w:t>
            </w:r>
          </w:p>
        </w:tc>
        <w:tc>
          <w:tcPr>
            <w:tcW w:type="dxa" w:w="986"/>
          </w:tcPr>
          <w:p>
            <w:pPr>
              <w:pStyle w:val="Compact"/>
              <w:spacing w:line="240" w:lineRule="auto" w:before="20" w:after="20"/>
              <w:ind w:firstLine="0"/>
              <w:jc w:val="right"/>
            </w:pPr>
            <w:r>
              <w:rPr>
                <w:rFonts w:ascii="Times New Roman" w:hAnsi="Times New Roman"/>
                <w:sz w:val="16"/>
              </w:rPr>
              <w:t>22.455</w:t>
            </w:r>
          </w:p>
        </w:tc>
        <w:tc>
          <w:tcPr>
            <w:tcW w:type="dxa" w:w="1380"/>
          </w:tcPr>
          <w:p>
            <w:pPr>
              <w:pStyle w:val="Compact"/>
              <w:spacing w:line="240" w:lineRule="auto" w:before="20" w:after="20"/>
              <w:ind w:firstLine="0"/>
              <w:jc w:val="right"/>
            </w:pPr>
            <w:r>
              <w:rPr>
                <w:rFonts w:ascii="Times New Roman" w:hAnsi="Times New Roman"/>
                <w:sz w:val="16"/>
              </w:rPr>
              <w:t>+252%</w:t>
            </w:r>
          </w:p>
        </w:tc>
      </w:tr>
      <w:tr>
        <w:trPr>
          <w:cantSplit/>
        </w:trPr>
        <w:tc>
          <w:tcPr>
            <w:tcW w:type="dxa" w:w="1774"/>
          </w:tcPr>
          <w:p>
            <w:pPr>
              <w:pStyle w:val="Compact"/>
              <w:spacing w:line="240" w:lineRule="auto" w:before="20" w:after="20"/>
              <w:ind w:firstLine="0"/>
              <w:jc w:val="left"/>
            </w:pPr>
            <w:r>
              <w:rPr>
                <w:rFonts w:ascii="Times New Roman" w:hAnsi="Times New Roman"/>
                <w:sz w:val="16"/>
              </w:rPr>
              <w:t>Ortigueira</w:t>
            </w:r>
          </w:p>
        </w:tc>
        <w:tc>
          <w:tcPr>
            <w:tcW w:type="dxa" w:w="1380"/>
          </w:tcPr>
          <w:p>
            <w:pPr>
              <w:pStyle w:val="Compact"/>
              <w:spacing w:line="240" w:lineRule="auto" w:before="20" w:after="20"/>
              <w:ind w:firstLine="0"/>
              <w:jc w:val="right"/>
            </w:pPr>
            <w:r>
              <w:rPr>
                <w:rFonts w:ascii="Times New Roman" w:hAnsi="Times New Roman"/>
                <w:sz w:val="16"/>
              </w:rPr>
              <w:t>23,6</w:t>
            </w:r>
          </w:p>
        </w:tc>
        <w:tc>
          <w:tcPr>
            <w:tcW w:type="dxa" w:w="854"/>
          </w:tcPr>
          <w:p>
            <w:pPr>
              <w:pStyle w:val="Compact"/>
              <w:spacing w:line="240" w:lineRule="auto" w:before="20" w:after="20"/>
              <w:ind w:firstLine="0"/>
              <w:jc w:val="right"/>
            </w:pPr>
            <w:r>
              <w:rPr>
                <w:rFonts w:ascii="Times New Roman" w:hAnsi="Times New Roman"/>
                <w:sz w:val="16"/>
              </w:rPr>
              <w:t>6.209</w:t>
            </w:r>
          </w:p>
        </w:tc>
        <w:tc>
          <w:tcPr>
            <w:tcW w:type="dxa" w:w="854"/>
          </w:tcPr>
          <w:p>
            <w:pPr>
              <w:pStyle w:val="Compact"/>
              <w:spacing w:line="240" w:lineRule="auto" w:before="20" w:after="20"/>
              <w:ind w:firstLine="0"/>
              <w:jc w:val="right"/>
            </w:pPr>
            <w:r>
              <w:rPr>
                <w:rFonts w:ascii="Times New Roman" w:hAnsi="Times New Roman"/>
                <w:sz w:val="16"/>
              </w:rPr>
              <w:t>6.733</w:t>
            </w:r>
          </w:p>
        </w:tc>
        <w:tc>
          <w:tcPr>
            <w:tcW w:type="dxa" w:w="854"/>
          </w:tcPr>
          <w:p>
            <w:pPr>
              <w:pStyle w:val="Compact"/>
              <w:spacing w:line="240" w:lineRule="auto" w:before="20" w:after="20"/>
              <w:ind w:firstLine="0"/>
              <w:jc w:val="right"/>
            </w:pPr>
            <w:r>
              <w:rPr>
                <w:rFonts w:ascii="Times New Roman" w:hAnsi="Times New Roman"/>
                <w:sz w:val="16"/>
              </w:rPr>
              <w:t>8.093</w:t>
            </w:r>
          </w:p>
        </w:tc>
        <w:tc>
          <w:tcPr>
            <w:tcW w:type="dxa" w:w="986"/>
          </w:tcPr>
          <w:p>
            <w:pPr>
              <w:pStyle w:val="Compact"/>
              <w:spacing w:line="240" w:lineRule="auto" w:before="20" w:after="20"/>
              <w:ind w:firstLine="0"/>
              <w:jc w:val="right"/>
            </w:pPr>
            <w:r>
              <w:rPr>
                <w:rFonts w:ascii="Times New Roman" w:hAnsi="Times New Roman"/>
                <w:sz w:val="16"/>
              </w:rPr>
              <w:t>10.847</w:t>
            </w:r>
          </w:p>
        </w:tc>
        <w:tc>
          <w:tcPr>
            <w:tcW w:type="dxa" w:w="986"/>
          </w:tcPr>
          <w:p>
            <w:pPr>
              <w:pStyle w:val="Compact"/>
              <w:spacing w:line="240" w:lineRule="auto" w:before="20" w:after="20"/>
              <w:ind w:firstLine="0"/>
              <w:jc w:val="right"/>
            </w:pPr>
            <w:r>
              <w:rPr>
                <w:rFonts w:ascii="Times New Roman" w:hAnsi="Times New Roman"/>
                <w:sz w:val="16"/>
              </w:rPr>
              <w:t>16.555</w:t>
            </w:r>
          </w:p>
        </w:tc>
        <w:tc>
          <w:tcPr>
            <w:tcW w:type="dxa" w:w="1380"/>
          </w:tcPr>
          <w:p>
            <w:pPr>
              <w:pStyle w:val="Compact"/>
              <w:spacing w:line="240" w:lineRule="auto" w:before="20" w:after="20"/>
              <w:ind w:firstLine="0"/>
              <w:jc w:val="right"/>
            </w:pPr>
            <w:r>
              <w:rPr>
                <w:rFonts w:ascii="Times New Roman" w:hAnsi="Times New Roman"/>
                <w:sz w:val="16"/>
              </w:rPr>
              <w:t>+167%</w:t>
            </w:r>
          </w:p>
        </w:tc>
      </w:tr>
      <w:tr>
        <w:trPr>
          <w:cantSplit/>
        </w:trPr>
        <w:tc>
          <w:tcPr>
            <w:tcW w:type="dxa" w:w="1774"/>
          </w:tcPr>
          <w:p>
            <w:pPr>
              <w:pStyle w:val="Compact"/>
              <w:spacing w:line="240" w:lineRule="auto" w:before="20" w:after="20"/>
              <w:ind w:firstLine="0"/>
              <w:jc w:val="left"/>
            </w:pPr>
            <w:r>
              <w:rPr>
                <w:rFonts w:ascii="Times New Roman" w:hAnsi="Times New Roman"/>
                <w:sz w:val="16"/>
              </w:rPr>
              <w:t>Alto Paraíso</w:t>
            </w:r>
          </w:p>
        </w:tc>
        <w:tc>
          <w:tcPr>
            <w:tcW w:type="dxa" w:w="1380"/>
          </w:tcPr>
          <w:p>
            <w:pPr>
              <w:pStyle w:val="Compact"/>
              <w:spacing w:line="240" w:lineRule="auto" w:before="20" w:after="20"/>
              <w:ind w:firstLine="0"/>
              <w:jc w:val="right"/>
            </w:pPr>
            <w:r>
              <w:rPr>
                <w:rFonts w:ascii="Times New Roman" w:hAnsi="Times New Roman"/>
                <w:sz w:val="16"/>
              </w:rPr>
              <w:t>2,9</w:t>
            </w:r>
          </w:p>
        </w:tc>
        <w:tc>
          <w:tcPr>
            <w:tcW w:type="dxa" w:w="854"/>
          </w:tcPr>
          <w:p>
            <w:pPr>
              <w:pStyle w:val="Compact"/>
              <w:spacing w:line="240" w:lineRule="auto" w:before="20" w:after="20"/>
              <w:ind w:firstLine="0"/>
              <w:jc w:val="right"/>
            </w:pPr>
            <w:r>
              <w:rPr>
                <w:rFonts w:ascii="Times New Roman" w:hAnsi="Times New Roman"/>
                <w:sz w:val="16"/>
              </w:rPr>
              <w:t>6.117</w:t>
            </w:r>
          </w:p>
        </w:tc>
        <w:tc>
          <w:tcPr>
            <w:tcW w:type="dxa" w:w="854"/>
          </w:tcPr>
          <w:p>
            <w:pPr>
              <w:pStyle w:val="Compact"/>
              <w:spacing w:line="240" w:lineRule="auto" w:before="20" w:after="20"/>
              <w:ind w:firstLine="0"/>
              <w:jc w:val="right"/>
            </w:pPr>
            <w:r>
              <w:rPr>
                <w:rFonts w:ascii="Times New Roman" w:hAnsi="Times New Roman"/>
                <w:sz w:val="16"/>
              </w:rPr>
              <w:t>6.540</w:t>
            </w:r>
          </w:p>
        </w:tc>
        <w:tc>
          <w:tcPr>
            <w:tcW w:type="dxa" w:w="854"/>
          </w:tcPr>
          <w:p>
            <w:pPr>
              <w:pStyle w:val="Compact"/>
              <w:spacing w:line="240" w:lineRule="auto" w:before="20" w:after="20"/>
              <w:ind w:firstLine="0"/>
              <w:jc w:val="right"/>
            </w:pPr>
            <w:r>
              <w:rPr>
                <w:rFonts w:ascii="Times New Roman" w:hAnsi="Times New Roman"/>
                <w:sz w:val="16"/>
              </w:rPr>
              <w:t>7.046</w:t>
            </w:r>
          </w:p>
        </w:tc>
        <w:tc>
          <w:tcPr>
            <w:tcW w:type="dxa" w:w="986"/>
          </w:tcPr>
          <w:p>
            <w:pPr>
              <w:pStyle w:val="Compact"/>
              <w:spacing w:line="240" w:lineRule="auto" w:before="20" w:after="20"/>
              <w:ind w:firstLine="0"/>
              <w:jc w:val="right"/>
            </w:pPr>
            <w:r>
              <w:rPr>
                <w:rFonts w:ascii="Times New Roman" w:hAnsi="Times New Roman"/>
                <w:sz w:val="16"/>
              </w:rPr>
              <w:t>8.232</w:t>
            </w:r>
          </w:p>
        </w:tc>
        <w:tc>
          <w:tcPr>
            <w:tcW w:type="dxa" w:w="986"/>
          </w:tcPr>
          <w:p>
            <w:pPr>
              <w:pStyle w:val="Compact"/>
              <w:spacing w:line="240" w:lineRule="auto" w:before="20" w:after="20"/>
              <w:ind w:firstLine="0"/>
              <w:jc w:val="right"/>
            </w:pPr>
            <w:r>
              <w:rPr>
                <w:rFonts w:ascii="Times New Roman" w:hAnsi="Times New Roman"/>
                <w:sz w:val="16"/>
              </w:rPr>
              <w:t>9.188</w:t>
            </w:r>
          </w:p>
        </w:tc>
        <w:tc>
          <w:tcPr>
            <w:tcW w:type="dxa" w:w="1380"/>
          </w:tcPr>
          <w:p>
            <w:pPr>
              <w:pStyle w:val="Compact"/>
              <w:spacing w:line="240" w:lineRule="auto" w:before="20" w:after="20"/>
              <w:ind w:firstLine="0"/>
              <w:jc w:val="right"/>
            </w:pPr>
            <w:r>
              <w:rPr>
                <w:rFonts w:ascii="Times New Roman" w:hAnsi="Times New Roman"/>
                <w:sz w:val="16"/>
              </w:rPr>
              <w:t>+50%</w:t>
            </w:r>
          </w:p>
        </w:tc>
      </w:tr>
      <w:tr>
        <w:trPr>
          <w:cantSplit/>
        </w:trPr>
        <w:tc>
          <w:tcPr>
            <w:tcW w:type="dxa" w:w="1774"/>
          </w:tcPr>
          <w:p>
            <w:pPr>
              <w:pStyle w:val="Compact"/>
              <w:spacing w:line="240" w:lineRule="auto" w:before="20" w:after="20"/>
              <w:ind w:firstLine="0"/>
              <w:jc w:val="left"/>
            </w:pPr>
            <w:r>
              <w:rPr>
                <w:rFonts w:ascii="Times New Roman" w:hAnsi="Times New Roman"/>
                <w:sz w:val="16"/>
              </w:rPr>
              <w:t>Porto Barreiro</w:t>
            </w:r>
          </w:p>
        </w:tc>
        <w:tc>
          <w:tcPr>
            <w:tcW w:type="dxa" w:w="1380"/>
          </w:tcPr>
          <w:p>
            <w:pPr>
              <w:pStyle w:val="Compact"/>
              <w:spacing w:line="240" w:lineRule="auto" w:before="20" w:after="20"/>
              <w:ind w:firstLine="0"/>
              <w:jc w:val="right"/>
            </w:pPr>
            <w:r>
              <w:rPr>
                <w:rFonts w:ascii="Times New Roman" w:hAnsi="Times New Roman"/>
                <w:sz w:val="16"/>
              </w:rPr>
              <w:t>3,1</w:t>
            </w:r>
          </w:p>
        </w:tc>
        <w:tc>
          <w:tcPr>
            <w:tcW w:type="dxa" w:w="854"/>
          </w:tcPr>
          <w:p>
            <w:pPr>
              <w:pStyle w:val="Compact"/>
              <w:spacing w:line="240" w:lineRule="auto" w:before="20" w:after="20"/>
              <w:ind w:firstLine="0"/>
              <w:jc w:val="right"/>
            </w:pPr>
            <w:r>
              <w:rPr>
                <w:rFonts w:ascii="Times New Roman" w:hAnsi="Times New Roman"/>
                <w:sz w:val="16"/>
              </w:rPr>
              <w:t>5.638</w:t>
            </w:r>
          </w:p>
        </w:tc>
        <w:tc>
          <w:tcPr>
            <w:tcW w:type="dxa" w:w="854"/>
          </w:tcPr>
          <w:p>
            <w:pPr>
              <w:pStyle w:val="Compact"/>
              <w:spacing w:line="240" w:lineRule="auto" w:before="20" w:after="20"/>
              <w:ind w:firstLine="0"/>
              <w:jc w:val="right"/>
            </w:pPr>
            <w:r>
              <w:rPr>
                <w:rFonts w:ascii="Times New Roman" w:hAnsi="Times New Roman"/>
                <w:sz w:val="16"/>
              </w:rPr>
              <w:t>5.944</w:t>
            </w:r>
          </w:p>
        </w:tc>
        <w:tc>
          <w:tcPr>
            <w:tcW w:type="dxa" w:w="854"/>
          </w:tcPr>
          <w:p>
            <w:pPr>
              <w:pStyle w:val="Compact"/>
              <w:spacing w:line="240" w:lineRule="auto" w:before="20" w:after="20"/>
              <w:ind w:firstLine="0"/>
              <w:jc w:val="right"/>
            </w:pPr>
            <w:r>
              <w:rPr>
                <w:rFonts w:ascii="Times New Roman" w:hAnsi="Times New Roman"/>
                <w:sz w:val="16"/>
              </w:rPr>
              <w:t>5.427</w:t>
            </w:r>
          </w:p>
        </w:tc>
        <w:tc>
          <w:tcPr>
            <w:tcW w:type="dxa" w:w="986"/>
          </w:tcPr>
          <w:p>
            <w:pPr>
              <w:pStyle w:val="Compact"/>
              <w:spacing w:line="240" w:lineRule="auto" w:before="20" w:after="20"/>
              <w:ind w:firstLine="0"/>
              <w:jc w:val="right"/>
            </w:pPr>
            <w:r>
              <w:rPr>
                <w:rFonts w:ascii="Times New Roman" w:hAnsi="Times New Roman"/>
                <w:sz w:val="16"/>
              </w:rPr>
              <w:t>6.996</w:t>
            </w:r>
          </w:p>
        </w:tc>
        <w:tc>
          <w:tcPr>
            <w:tcW w:type="dxa" w:w="986"/>
          </w:tcPr>
          <w:p>
            <w:pPr>
              <w:pStyle w:val="Compact"/>
              <w:spacing w:line="240" w:lineRule="auto" w:before="20" w:after="20"/>
              <w:ind w:firstLine="0"/>
              <w:jc w:val="right"/>
            </w:pPr>
            <w:r>
              <w:rPr>
                <w:rFonts w:ascii="Times New Roman" w:hAnsi="Times New Roman"/>
                <w:sz w:val="16"/>
              </w:rPr>
              <w:t>10.128</w:t>
            </w:r>
          </w:p>
        </w:tc>
        <w:tc>
          <w:tcPr>
            <w:tcW w:type="dxa" w:w="1380"/>
          </w:tcPr>
          <w:p>
            <w:pPr>
              <w:pStyle w:val="Compact"/>
              <w:spacing w:line="240" w:lineRule="auto" w:before="20" w:after="20"/>
              <w:ind w:firstLine="0"/>
              <w:jc w:val="right"/>
            </w:pPr>
            <w:r>
              <w:rPr>
                <w:rFonts w:ascii="Times New Roman" w:hAnsi="Times New Roman"/>
                <w:sz w:val="16"/>
              </w:rPr>
              <w:t>+80%</w:t>
            </w:r>
          </w:p>
        </w:tc>
      </w:tr>
      <w:tr>
        <w:trPr>
          <w:cantSplit/>
        </w:trPr>
        <w:tc>
          <w:tcPr>
            <w:tcW w:type="dxa" w:w="1774"/>
          </w:tcPr>
          <w:p>
            <w:pPr>
              <w:pStyle w:val="Compact"/>
              <w:spacing w:line="240" w:lineRule="auto" w:before="20" w:after="20"/>
              <w:ind w:firstLine="0"/>
              <w:jc w:val="left"/>
            </w:pPr>
            <w:r>
              <w:rPr>
                <w:rFonts w:ascii="Times New Roman" w:hAnsi="Times New Roman"/>
                <w:sz w:val="16"/>
              </w:rPr>
              <w:t>Serranópolis do Iguaçu</w:t>
            </w:r>
          </w:p>
        </w:tc>
        <w:tc>
          <w:tcPr>
            <w:tcW w:type="dxa" w:w="1380"/>
          </w:tcPr>
          <w:p>
            <w:pPr>
              <w:pStyle w:val="Compact"/>
              <w:spacing w:line="240" w:lineRule="auto" w:before="20" w:after="20"/>
              <w:ind w:firstLine="0"/>
              <w:jc w:val="right"/>
            </w:pPr>
            <w:r>
              <w:rPr>
                <w:rFonts w:ascii="Times New Roman" w:hAnsi="Times New Roman"/>
                <w:sz w:val="16"/>
              </w:rPr>
              <w:t>4,9</w:t>
            </w:r>
          </w:p>
        </w:tc>
        <w:tc>
          <w:tcPr>
            <w:tcW w:type="dxa" w:w="854"/>
          </w:tcPr>
          <w:p>
            <w:pPr>
              <w:pStyle w:val="Compact"/>
              <w:spacing w:line="240" w:lineRule="auto" w:before="20" w:after="20"/>
              <w:ind w:firstLine="0"/>
              <w:jc w:val="right"/>
            </w:pPr>
            <w:r>
              <w:rPr>
                <w:rFonts w:ascii="Times New Roman" w:hAnsi="Times New Roman"/>
                <w:sz w:val="16"/>
              </w:rPr>
              <w:t>5.435</w:t>
            </w:r>
          </w:p>
        </w:tc>
        <w:tc>
          <w:tcPr>
            <w:tcW w:type="dxa" w:w="854"/>
          </w:tcPr>
          <w:p>
            <w:pPr>
              <w:pStyle w:val="Compact"/>
              <w:spacing w:line="240" w:lineRule="auto" w:before="20" w:after="20"/>
              <w:ind w:firstLine="0"/>
              <w:jc w:val="right"/>
            </w:pPr>
            <w:r>
              <w:rPr>
                <w:rFonts w:ascii="Times New Roman" w:hAnsi="Times New Roman"/>
                <w:sz w:val="16"/>
              </w:rPr>
              <w:t>5.839</w:t>
            </w:r>
          </w:p>
        </w:tc>
        <w:tc>
          <w:tcPr>
            <w:tcW w:type="dxa" w:w="854"/>
          </w:tcPr>
          <w:p>
            <w:pPr>
              <w:pStyle w:val="Compact"/>
              <w:spacing w:line="240" w:lineRule="auto" w:before="20" w:after="20"/>
              <w:ind w:firstLine="0"/>
              <w:jc w:val="right"/>
            </w:pPr>
            <w:r>
              <w:rPr>
                <w:rFonts w:ascii="Times New Roman" w:hAnsi="Times New Roman"/>
                <w:sz w:val="16"/>
              </w:rPr>
              <w:t>6.306</w:t>
            </w:r>
          </w:p>
        </w:tc>
        <w:tc>
          <w:tcPr>
            <w:tcW w:type="dxa" w:w="986"/>
          </w:tcPr>
          <w:p>
            <w:pPr>
              <w:pStyle w:val="Compact"/>
              <w:spacing w:line="240" w:lineRule="auto" w:before="20" w:after="20"/>
              <w:ind w:firstLine="0"/>
              <w:jc w:val="right"/>
            </w:pPr>
            <w:r>
              <w:rPr>
                <w:rFonts w:ascii="Times New Roman" w:hAnsi="Times New Roman"/>
                <w:sz w:val="16"/>
              </w:rPr>
              <w:t>7.928</w:t>
            </w:r>
          </w:p>
        </w:tc>
        <w:tc>
          <w:tcPr>
            <w:tcW w:type="dxa" w:w="986"/>
          </w:tcPr>
          <w:p>
            <w:pPr>
              <w:pStyle w:val="Compact"/>
              <w:spacing w:line="240" w:lineRule="auto" w:before="20" w:after="20"/>
              <w:ind w:firstLine="0"/>
              <w:jc w:val="right"/>
            </w:pPr>
            <w:r>
              <w:rPr>
                <w:rFonts w:ascii="Times New Roman" w:hAnsi="Times New Roman"/>
                <w:sz w:val="16"/>
              </w:rPr>
              <w:t>10.702</w:t>
            </w:r>
          </w:p>
        </w:tc>
        <w:tc>
          <w:tcPr>
            <w:tcW w:type="dxa" w:w="1380"/>
          </w:tcPr>
          <w:p>
            <w:pPr>
              <w:pStyle w:val="Compact"/>
              <w:spacing w:line="240" w:lineRule="auto" w:before="20" w:after="20"/>
              <w:ind w:firstLine="0"/>
              <w:jc w:val="right"/>
            </w:pPr>
            <w:r>
              <w:rPr>
                <w:rFonts w:ascii="Times New Roman" w:hAnsi="Times New Roman"/>
                <w:sz w:val="16"/>
              </w:rPr>
              <w:t>+97%</w:t>
            </w:r>
          </w:p>
        </w:tc>
      </w:tr>
      <w:tr>
        <w:trPr>
          <w:cantSplit/>
        </w:trPr>
        <w:tc>
          <w:tcPr>
            <w:tcW w:type="dxa" w:w="1774"/>
          </w:tcPr>
          <w:p>
            <w:pPr>
              <w:pStyle w:val="Compact"/>
              <w:spacing w:line="240" w:lineRule="auto" w:before="20" w:after="20"/>
              <w:ind w:firstLine="0"/>
              <w:jc w:val="left"/>
            </w:pPr>
            <w:r>
              <w:rPr>
                <w:rFonts w:ascii="Times New Roman" w:hAnsi="Times New Roman"/>
                <w:sz w:val="16"/>
              </w:rPr>
              <w:t>Campina do Simão</w:t>
            </w:r>
          </w:p>
        </w:tc>
        <w:tc>
          <w:tcPr>
            <w:tcW w:type="dxa" w:w="1380"/>
          </w:tcPr>
          <w:p>
            <w:pPr>
              <w:pStyle w:val="Compact"/>
              <w:spacing w:line="240" w:lineRule="auto" w:before="20" w:after="20"/>
              <w:ind w:firstLine="0"/>
              <w:jc w:val="right"/>
            </w:pPr>
            <w:r>
              <w:rPr>
                <w:rFonts w:ascii="Times New Roman" w:hAnsi="Times New Roman"/>
                <w:sz w:val="16"/>
              </w:rPr>
              <w:t>3,9</w:t>
            </w:r>
          </w:p>
        </w:tc>
        <w:tc>
          <w:tcPr>
            <w:tcW w:type="dxa" w:w="854"/>
          </w:tcPr>
          <w:p>
            <w:pPr>
              <w:pStyle w:val="Compact"/>
              <w:spacing w:line="240" w:lineRule="auto" w:before="20" w:after="20"/>
              <w:ind w:firstLine="0"/>
              <w:jc w:val="right"/>
            </w:pPr>
            <w:r>
              <w:rPr>
                <w:rFonts w:ascii="Times New Roman" w:hAnsi="Times New Roman"/>
                <w:sz w:val="16"/>
              </w:rPr>
              <w:t>5.138</w:t>
            </w:r>
          </w:p>
        </w:tc>
        <w:tc>
          <w:tcPr>
            <w:tcW w:type="dxa" w:w="854"/>
          </w:tcPr>
          <w:p>
            <w:pPr>
              <w:pStyle w:val="Compact"/>
              <w:spacing w:line="240" w:lineRule="auto" w:before="20" w:after="20"/>
              <w:ind w:firstLine="0"/>
              <w:jc w:val="right"/>
            </w:pPr>
            <w:r>
              <w:rPr>
                <w:rFonts w:ascii="Times New Roman" w:hAnsi="Times New Roman"/>
                <w:sz w:val="16"/>
              </w:rPr>
              <w:t>5.400</w:t>
            </w:r>
          </w:p>
        </w:tc>
        <w:tc>
          <w:tcPr>
            <w:tcW w:type="dxa" w:w="854"/>
          </w:tcPr>
          <w:p>
            <w:pPr>
              <w:pStyle w:val="Compact"/>
              <w:spacing w:line="240" w:lineRule="auto" w:before="20" w:after="20"/>
              <w:ind w:firstLine="0"/>
              <w:jc w:val="right"/>
            </w:pPr>
            <w:r>
              <w:rPr>
                <w:rFonts w:ascii="Times New Roman" w:hAnsi="Times New Roman"/>
                <w:sz w:val="16"/>
              </w:rPr>
              <w:t>4.752</w:t>
            </w:r>
          </w:p>
        </w:tc>
        <w:tc>
          <w:tcPr>
            <w:tcW w:type="dxa" w:w="986"/>
          </w:tcPr>
          <w:p>
            <w:pPr>
              <w:pStyle w:val="Compact"/>
              <w:spacing w:line="240" w:lineRule="auto" w:before="20" w:after="20"/>
              <w:ind w:firstLine="0"/>
              <w:jc w:val="right"/>
            </w:pPr>
            <w:r>
              <w:rPr>
                <w:rFonts w:ascii="Times New Roman" w:hAnsi="Times New Roman"/>
                <w:sz w:val="16"/>
              </w:rPr>
              <w:t>6.107</w:t>
            </w:r>
          </w:p>
        </w:tc>
        <w:tc>
          <w:tcPr>
            <w:tcW w:type="dxa" w:w="986"/>
          </w:tcPr>
          <w:p>
            <w:pPr>
              <w:pStyle w:val="Compact"/>
              <w:spacing w:line="240" w:lineRule="auto" w:before="20" w:after="20"/>
              <w:ind w:firstLine="0"/>
              <w:jc w:val="right"/>
            </w:pPr>
            <w:r>
              <w:rPr>
                <w:rFonts w:ascii="Times New Roman" w:hAnsi="Times New Roman"/>
                <w:sz w:val="16"/>
              </w:rPr>
              <w:t>8.781</w:t>
            </w:r>
          </w:p>
        </w:tc>
        <w:tc>
          <w:tcPr>
            <w:tcW w:type="dxa" w:w="1380"/>
          </w:tcPr>
          <w:p>
            <w:pPr>
              <w:pStyle w:val="Compact"/>
              <w:spacing w:line="240" w:lineRule="auto" w:before="20" w:after="20"/>
              <w:ind w:firstLine="0"/>
              <w:jc w:val="right"/>
            </w:pPr>
            <w:r>
              <w:rPr>
                <w:rFonts w:ascii="Times New Roman" w:hAnsi="Times New Roman"/>
                <w:sz w:val="16"/>
              </w:rPr>
              <w:t>+71%</w:t>
            </w:r>
          </w:p>
        </w:tc>
      </w:tr>
      <w:tr>
        <w:trPr>
          <w:cantSplit/>
        </w:trPr>
        <w:tc>
          <w:tcPr>
            <w:tcW w:type="dxa" w:w="1774"/>
          </w:tcPr>
          <w:p>
            <w:pPr>
              <w:pStyle w:val="Compact"/>
              <w:spacing w:line="240" w:lineRule="auto" w:before="20" w:after="20"/>
              <w:ind w:firstLine="0"/>
              <w:jc w:val="left"/>
            </w:pPr>
            <w:r>
              <w:rPr>
                <w:rFonts w:ascii="Times New Roman" w:hAnsi="Times New Roman"/>
                <w:sz w:val="16"/>
              </w:rPr>
              <w:t>Maripá</w:t>
            </w:r>
          </w:p>
        </w:tc>
        <w:tc>
          <w:tcPr>
            <w:tcW w:type="dxa" w:w="1380"/>
          </w:tcPr>
          <w:p>
            <w:pPr>
              <w:pStyle w:val="Compact"/>
              <w:spacing w:line="240" w:lineRule="auto" w:before="20" w:after="20"/>
              <w:ind w:firstLine="0"/>
              <w:jc w:val="right"/>
            </w:pPr>
            <w:r>
              <w:rPr>
                <w:rFonts w:ascii="Times New Roman" w:hAnsi="Times New Roman"/>
                <w:sz w:val="16"/>
              </w:rPr>
              <w:t>6,3</w:t>
            </w:r>
          </w:p>
        </w:tc>
        <w:tc>
          <w:tcPr>
            <w:tcW w:type="dxa" w:w="854"/>
          </w:tcPr>
          <w:p>
            <w:pPr>
              <w:pStyle w:val="Compact"/>
              <w:spacing w:line="240" w:lineRule="auto" w:before="20" w:after="20"/>
              <w:ind w:firstLine="0"/>
              <w:jc w:val="right"/>
            </w:pPr>
            <w:r>
              <w:rPr>
                <w:rFonts w:ascii="Times New Roman" w:hAnsi="Times New Roman"/>
                <w:sz w:val="16"/>
              </w:rPr>
              <w:t>4.374</w:t>
            </w:r>
          </w:p>
        </w:tc>
        <w:tc>
          <w:tcPr>
            <w:tcW w:type="dxa" w:w="854"/>
          </w:tcPr>
          <w:p>
            <w:pPr>
              <w:pStyle w:val="Compact"/>
              <w:spacing w:line="240" w:lineRule="auto" w:before="20" w:after="20"/>
              <w:ind w:firstLine="0"/>
              <w:jc w:val="right"/>
            </w:pPr>
            <w:r>
              <w:rPr>
                <w:rFonts w:ascii="Times New Roman" w:hAnsi="Times New Roman"/>
                <w:sz w:val="16"/>
              </w:rPr>
              <w:t>4.728</w:t>
            </w:r>
          </w:p>
        </w:tc>
        <w:tc>
          <w:tcPr>
            <w:tcW w:type="dxa" w:w="854"/>
          </w:tcPr>
          <w:p>
            <w:pPr>
              <w:pStyle w:val="Compact"/>
              <w:spacing w:line="240" w:lineRule="auto" w:before="20" w:after="20"/>
              <w:ind w:firstLine="0"/>
              <w:jc w:val="right"/>
            </w:pPr>
            <w:r>
              <w:rPr>
                <w:rFonts w:ascii="Times New Roman" w:hAnsi="Times New Roman"/>
                <w:sz w:val="16"/>
              </w:rPr>
              <w:t>5.355</w:t>
            </w:r>
          </w:p>
        </w:tc>
        <w:tc>
          <w:tcPr>
            <w:tcW w:type="dxa" w:w="986"/>
          </w:tcPr>
          <w:p>
            <w:pPr>
              <w:pStyle w:val="Compact"/>
              <w:spacing w:line="240" w:lineRule="auto" w:before="20" w:after="20"/>
              <w:ind w:firstLine="0"/>
              <w:jc w:val="right"/>
            </w:pPr>
            <w:r>
              <w:rPr>
                <w:rFonts w:ascii="Times New Roman" w:hAnsi="Times New Roman"/>
                <w:sz w:val="16"/>
              </w:rPr>
              <w:t>6.972</w:t>
            </w:r>
          </w:p>
        </w:tc>
        <w:tc>
          <w:tcPr>
            <w:tcW w:type="dxa" w:w="986"/>
          </w:tcPr>
          <w:p>
            <w:pPr>
              <w:pStyle w:val="Compact"/>
              <w:spacing w:line="240" w:lineRule="auto" w:before="20" w:after="20"/>
              <w:ind w:firstLine="0"/>
              <w:jc w:val="right"/>
            </w:pPr>
            <w:r>
              <w:rPr>
                <w:rFonts w:ascii="Times New Roman" w:hAnsi="Times New Roman"/>
                <w:sz w:val="16"/>
              </w:rPr>
              <w:t>10.169</w:t>
            </w:r>
          </w:p>
        </w:tc>
        <w:tc>
          <w:tcPr>
            <w:tcW w:type="dxa" w:w="1380"/>
          </w:tcPr>
          <w:p>
            <w:pPr>
              <w:pStyle w:val="Compact"/>
              <w:spacing w:line="240" w:lineRule="auto" w:before="20" w:after="20"/>
              <w:ind w:firstLine="0"/>
              <w:jc w:val="right"/>
            </w:pPr>
            <w:r>
              <w:rPr>
                <w:rFonts w:ascii="Times New Roman" w:hAnsi="Times New Roman"/>
                <w:sz w:val="16"/>
              </w:rPr>
              <w:t>+132%</w:t>
            </w:r>
          </w:p>
        </w:tc>
      </w:tr>
      <w:tr>
        <w:trPr>
          <w:cantSplit/>
        </w:trPr>
        <w:tc>
          <w:tcPr>
            <w:tcW w:type="dxa" w:w="1774"/>
          </w:tcPr>
          <w:p>
            <w:pPr>
              <w:pStyle w:val="Compact"/>
              <w:spacing w:line="240" w:lineRule="auto" w:before="20" w:after="20"/>
              <w:ind w:firstLine="0"/>
              <w:jc w:val="left"/>
            </w:pPr>
            <w:r>
              <w:rPr>
                <w:rFonts w:ascii="Times New Roman" w:hAnsi="Times New Roman"/>
                <w:sz w:val="16"/>
              </w:rPr>
              <w:t>Saudade do Iguaçu</w:t>
            </w:r>
          </w:p>
        </w:tc>
        <w:tc>
          <w:tcPr>
            <w:tcW w:type="dxa" w:w="1380"/>
          </w:tcPr>
          <w:p>
            <w:pPr>
              <w:pStyle w:val="Compact"/>
              <w:spacing w:line="240" w:lineRule="auto" w:before="20" w:after="20"/>
              <w:ind w:firstLine="0"/>
              <w:jc w:val="right"/>
            </w:pPr>
            <w:r>
              <w:rPr>
                <w:rFonts w:ascii="Times New Roman" w:hAnsi="Times New Roman"/>
                <w:sz w:val="16"/>
              </w:rPr>
              <w:t>6,0</w:t>
            </w:r>
          </w:p>
        </w:tc>
        <w:tc>
          <w:tcPr>
            <w:tcW w:type="dxa" w:w="854"/>
          </w:tcPr>
          <w:p>
            <w:pPr>
              <w:pStyle w:val="Compact"/>
              <w:spacing w:line="240" w:lineRule="auto" w:before="20" w:after="20"/>
              <w:ind w:firstLine="0"/>
              <w:jc w:val="right"/>
            </w:pPr>
            <w:r>
              <w:rPr>
                <w:rFonts w:ascii="Times New Roman" w:hAnsi="Times New Roman"/>
                <w:sz w:val="16"/>
              </w:rPr>
              <w:t>4.346</w:t>
            </w:r>
          </w:p>
        </w:tc>
        <w:tc>
          <w:tcPr>
            <w:tcW w:type="dxa" w:w="854"/>
          </w:tcPr>
          <w:p>
            <w:pPr>
              <w:pStyle w:val="Compact"/>
              <w:spacing w:line="240" w:lineRule="auto" w:before="20" w:after="20"/>
              <w:ind w:firstLine="0"/>
              <w:jc w:val="right"/>
            </w:pPr>
            <w:r>
              <w:rPr>
                <w:rFonts w:ascii="Times New Roman" w:hAnsi="Times New Roman"/>
                <w:sz w:val="16"/>
              </w:rPr>
              <w:t>4.919</w:t>
            </w:r>
          </w:p>
        </w:tc>
        <w:tc>
          <w:tcPr>
            <w:tcW w:type="dxa" w:w="854"/>
          </w:tcPr>
          <w:p>
            <w:pPr>
              <w:pStyle w:val="Compact"/>
              <w:spacing w:line="240" w:lineRule="auto" w:before="20" w:after="20"/>
              <w:ind w:firstLine="0"/>
              <w:jc w:val="right"/>
            </w:pPr>
            <w:r>
              <w:rPr>
                <w:rFonts w:ascii="Times New Roman" w:hAnsi="Times New Roman"/>
                <w:sz w:val="16"/>
              </w:rPr>
              <w:t>7.998</w:t>
            </w:r>
          </w:p>
        </w:tc>
        <w:tc>
          <w:tcPr>
            <w:tcW w:type="dxa" w:w="986"/>
          </w:tcPr>
          <w:p>
            <w:pPr>
              <w:pStyle w:val="Compact"/>
              <w:spacing w:line="240" w:lineRule="auto" w:before="20" w:after="20"/>
              <w:ind w:firstLine="0"/>
              <w:jc w:val="right"/>
            </w:pPr>
            <w:r>
              <w:rPr>
                <w:rFonts w:ascii="Times New Roman" w:hAnsi="Times New Roman"/>
                <w:sz w:val="16"/>
              </w:rPr>
              <w:t>10.570</w:t>
            </w:r>
          </w:p>
        </w:tc>
        <w:tc>
          <w:tcPr>
            <w:tcW w:type="dxa" w:w="986"/>
          </w:tcPr>
          <w:p>
            <w:pPr>
              <w:pStyle w:val="Compact"/>
              <w:spacing w:line="240" w:lineRule="auto" w:before="20" w:after="20"/>
              <w:ind w:firstLine="0"/>
              <w:jc w:val="right"/>
            </w:pPr>
            <w:r>
              <w:rPr>
                <w:rFonts w:ascii="Times New Roman" w:hAnsi="Times New Roman"/>
                <w:sz w:val="16"/>
              </w:rPr>
              <w:t>15.709</w:t>
            </w:r>
          </w:p>
        </w:tc>
        <w:tc>
          <w:tcPr>
            <w:tcW w:type="dxa" w:w="1380"/>
          </w:tcPr>
          <w:p>
            <w:pPr>
              <w:pStyle w:val="Compact"/>
              <w:spacing w:line="240" w:lineRule="auto" w:before="20" w:after="20"/>
              <w:ind w:firstLine="0"/>
              <w:jc w:val="right"/>
            </w:pPr>
            <w:r>
              <w:rPr>
                <w:rFonts w:ascii="Times New Roman" w:hAnsi="Times New Roman"/>
                <w:sz w:val="16"/>
              </w:rPr>
              <w:t>+261%</w:t>
            </w:r>
          </w:p>
        </w:tc>
      </w:tr>
      <w:tr>
        <w:trPr>
          <w:cantSplit/>
        </w:trPr>
        <w:tc>
          <w:tcPr>
            <w:tcW w:type="dxa" w:w="1774"/>
          </w:tcPr>
          <w:p>
            <w:pPr>
              <w:pStyle w:val="Compact"/>
              <w:spacing w:line="240" w:lineRule="auto" w:before="20" w:after="20"/>
              <w:ind w:firstLine="0"/>
              <w:jc w:val="left"/>
            </w:pPr>
            <w:r>
              <w:rPr>
                <w:rFonts w:ascii="Times New Roman" w:hAnsi="Times New Roman"/>
                <w:sz w:val="16"/>
              </w:rPr>
              <w:t>Bom Sucesso do Sul</w:t>
            </w:r>
          </w:p>
        </w:tc>
        <w:tc>
          <w:tcPr>
            <w:tcW w:type="dxa" w:w="1380"/>
          </w:tcPr>
          <w:p>
            <w:pPr>
              <w:pStyle w:val="Compact"/>
              <w:spacing w:line="240" w:lineRule="auto" w:before="20" w:after="20"/>
              <w:ind w:firstLine="0"/>
              <w:jc w:val="right"/>
            </w:pPr>
            <w:r>
              <w:rPr>
                <w:rFonts w:ascii="Times New Roman" w:hAnsi="Times New Roman"/>
                <w:sz w:val="16"/>
              </w:rPr>
              <w:t>3,2</w:t>
            </w:r>
          </w:p>
        </w:tc>
        <w:tc>
          <w:tcPr>
            <w:tcW w:type="dxa" w:w="854"/>
          </w:tcPr>
          <w:p>
            <w:pPr>
              <w:pStyle w:val="Compact"/>
              <w:spacing w:line="240" w:lineRule="auto" w:before="20" w:after="20"/>
              <w:ind w:firstLine="0"/>
              <w:jc w:val="right"/>
            </w:pPr>
            <w:r>
              <w:rPr>
                <w:rFonts w:ascii="Times New Roman" w:hAnsi="Times New Roman"/>
                <w:sz w:val="16"/>
              </w:rPr>
              <w:t>4.298</w:t>
            </w:r>
          </w:p>
        </w:tc>
        <w:tc>
          <w:tcPr>
            <w:tcW w:type="dxa" w:w="854"/>
          </w:tcPr>
          <w:p>
            <w:pPr>
              <w:pStyle w:val="Compact"/>
              <w:spacing w:line="240" w:lineRule="auto" w:before="20" w:after="20"/>
              <w:ind w:firstLine="0"/>
              <w:jc w:val="right"/>
            </w:pPr>
            <w:r>
              <w:rPr>
                <w:rFonts w:ascii="Times New Roman" w:hAnsi="Times New Roman"/>
                <w:sz w:val="16"/>
              </w:rPr>
              <w:t>4.593</w:t>
            </w:r>
          </w:p>
        </w:tc>
        <w:tc>
          <w:tcPr>
            <w:tcW w:type="dxa" w:w="854"/>
          </w:tcPr>
          <w:p>
            <w:pPr>
              <w:pStyle w:val="Compact"/>
              <w:spacing w:line="240" w:lineRule="auto" w:before="20" w:after="20"/>
              <w:ind w:firstLine="0"/>
              <w:jc w:val="right"/>
            </w:pPr>
            <w:r>
              <w:rPr>
                <w:rFonts w:ascii="Times New Roman" w:hAnsi="Times New Roman"/>
                <w:sz w:val="16"/>
              </w:rPr>
              <w:t>4.807</w:t>
            </w:r>
          </w:p>
        </w:tc>
        <w:tc>
          <w:tcPr>
            <w:tcW w:type="dxa" w:w="986"/>
          </w:tcPr>
          <w:p>
            <w:pPr>
              <w:pStyle w:val="Compact"/>
              <w:spacing w:line="240" w:lineRule="auto" w:before="20" w:after="20"/>
              <w:ind w:firstLine="0"/>
              <w:jc w:val="right"/>
            </w:pPr>
            <w:r>
              <w:rPr>
                <w:rFonts w:ascii="Times New Roman" w:hAnsi="Times New Roman"/>
                <w:sz w:val="16"/>
              </w:rPr>
              <w:t>6.407</w:t>
            </w:r>
          </w:p>
        </w:tc>
        <w:tc>
          <w:tcPr>
            <w:tcW w:type="dxa" w:w="986"/>
          </w:tcPr>
          <w:p>
            <w:pPr>
              <w:pStyle w:val="Compact"/>
              <w:spacing w:line="240" w:lineRule="auto" w:before="20" w:after="20"/>
              <w:ind w:firstLine="0"/>
              <w:jc w:val="right"/>
            </w:pPr>
            <w:r>
              <w:rPr>
                <w:rFonts w:ascii="Times New Roman" w:hAnsi="Times New Roman"/>
                <w:sz w:val="16"/>
              </w:rPr>
              <w:t>9.950</w:t>
            </w:r>
          </w:p>
        </w:tc>
        <w:tc>
          <w:tcPr>
            <w:tcW w:type="dxa" w:w="1380"/>
          </w:tcPr>
          <w:p>
            <w:pPr>
              <w:pStyle w:val="Compact"/>
              <w:spacing w:line="240" w:lineRule="auto" w:before="20" w:after="20"/>
              <w:ind w:firstLine="0"/>
              <w:jc w:val="right"/>
            </w:pPr>
            <w:r>
              <w:rPr>
                <w:rFonts w:ascii="Times New Roman" w:hAnsi="Times New Roman"/>
                <w:sz w:val="16"/>
              </w:rPr>
              <w:t>+132%</w:t>
            </w:r>
          </w:p>
        </w:tc>
      </w:tr>
      <w:tr>
        <w:trPr>
          <w:cantSplit/>
        </w:trPr>
        <w:tc>
          <w:tcPr>
            <w:tcW w:type="dxa" w:w="9072"/>
            <w:gridSpan w:val="8"/>
          </w:tcPr>
          <w:p>
            <w:pPr>
              <w:pStyle w:val="Compact"/>
              <w:spacing w:line="240" w:lineRule="auto" w:before="20" w:after="20"/>
              <w:ind w:firstLine="0"/>
              <w:jc w:val="center"/>
            </w:pPr>
            <w:r>
              <w:rPr>
                <w:rFonts w:ascii="Times New Roman" w:hAnsi="Times New Roman"/>
                <w:sz w:val="16"/>
              </w:rPr>
              <w:t xml:space="preserve">…</w:t>
            </w:r>
          </w:p>
        </w:tc>
      </w:tr>
      <w:tr>
        <w:trPr>
          <w:cantSplit/>
        </w:trPr>
        <w:tc>
          <w:tcPr>
            <w:tcW w:type="dxa" w:w="1774"/>
          </w:tcPr>
          <w:p>
            <w:pPr>
              <w:pStyle w:val="Compact"/>
              <w:spacing w:line="240" w:lineRule="auto" w:before="20" w:after="20"/>
              <w:ind w:firstLine="0"/>
              <w:jc w:val="left"/>
            </w:pPr>
            <w:r>
              <w:rPr>
                <w:rFonts w:ascii="Times New Roman" w:hAnsi="Times New Roman"/>
                <w:sz w:val="16"/>
              </w:rPr>
              <w:t>Fazenda Rio Grande</w:t>
            </w:r>
          </w:p>
        </w:tc>
        <w:tc>
          <w:tcPr>
            <w:tcW w:type="dxa" w:w="1380"/>
          </w:tcPr>
          <w:p>
            <w:pPr>
              <w:pStyle w:val="Compact"/>
              <w:spacing w:line="240" w:lineRule="auto" w:before="20" w:after="20"/>
              <w:ind w:firstLine="0"/>
              <w:jc w:val="right"/>
            </w:pPr>
            <w:r>
              <w:rPr>
                <w:rFonts w:ascii="Times New Roman" w:hAnsi="Times New Roman"/>
                <w:sz w:val="16"/>
              </w:rPr>
              <w:t>138,4</w:t>
            </w:r>
          </w:p>
        </w:tc>
        <w:tc>
          <w:tcPr>
            <w:tcW w:type="dxa" w:w="854"/>
          </w:tcPr>
          <w:p>
            <w:pPr>
              <w:pStyle w:val="Compact"/>
              <w:spacing w:line="240" w:lineRule="auto" w:before="20" w:after="20"/>
              <w:ind w:firstLine="0"/>
              <w:jc w:val="right"/>
            </w:pPr>
            <w:r>
              <w:rPr>
                <w:rFonts w:ascii="Times New Roman" w:hAnsi="Times New Roman"/>
                <w:sz w:val="16"/>
              </w:rPr>
              <w:t>775</w:t>
            </w:r>
          </w:p>
        </w:tc>
        <w:tc>
          <w:tcPr>
            <w:tcW w:type="dxa" w:w="854"/>
          </w:tcPr>
          <w:p>
            <w:pPr>
              <w:pStyle w:val="Compact"/>
              <w:spacing w:line="240" w:lineRule="auto" w:before="20" w:after="20"/>
              <w:ind w:firstLine="0"/>
              <w:jc w:val="right"/>
            </w:pPr>
            <w:r>
              <w:rPr>
                <w:rFonts w:ascii="Times New Roman" w:hAnsi="Times New Roman"/>
                <w:sz w:val="16"/>
              </w:rPr>
              <w:t>844</w:t>
            </w:r>
          </w:p>
        </w:tc>
        <w:tc>
          <w:tcPr>
            <w:tcW w:type="dxa" w:w="854"/>
          </w:tcPr>
          <w:p>
            <w:pPr>
              <w:pStyle w:val="Compact"/>
              <w:spacing w:line="240" w:lineRule="auto" w:before="20" w:after="20"/>
              <w:ind w:firstLine="0"/>
              <w:jc w:val="right"/>
            </w:pPr>
            <w:r>
              <w:rPr>
                <w:rFonts w:ascii="Times New Roman" w:hAnsi="Times New Roman"/>
                <w:sz w:val="16"/>
              </w:rPr>
              <w:t>904</w:t>
            </w:r>
          </w:p>
        </w:tc>
        <w:tc>
          <w:tcPr>
            <w:tcW w:type="dxa" w:w="986"/>
          </w:tcPr>
          <w:p>
            <w:pPr>
              <w:pStyle w:val="Compact"/>
              <w:spacing w:line="240" w:lineRule="auto" w:before="20" w:after="20"/>
              <w:ind w:firstLine="0"/>
              <w:jc w:val="right"/>
            </w:pPr>
            <w:r>
              <w:rPr>
                <w:rFonts w:ascii="Times New Roman" w:hAnsi="Times New Roman"/>
                <w:sz w:val="16"/>
              </w:rPr>
              <w:t>1.895</w:t>
            </w:r>
          </w:p>
        </w:tc>
        <w:tc>
          <w:tcPr>
            <w:tcW w:type="dxa" w:w="986"/>
          </w:tcPr>
          <w:p>
            <w:pPr>
              <w:pStyle w:val="Compact"/>
              <w:spacing w:line="240" w:lineRule="auto" w:before="20" w:after="20"/>
              <w:ind w:firstLine="0"/>
              <w:jc w:val="right"/>
            </w:pPr>
            <w:r>
              <w:rPr>
                <w:rFonts w:ascii="Times New Roman" w:hAnsi="Times New Roman"/>
                <w:sz w:val="16"/>
              </w:rPr>
              <w:t>5.085</w:t>
            </w:r>
          </w:p>
        </w:tc>
        <w:tc>
          <w:tcPr>
            <w:tcW w:type="dxa" w:w="1380"/>
          </w:tcPr>
          <w:p>
            <w:pPr>
              <w:pStyle w:val="Compact"/>
              <w:spacing w:line="240" w:lineRule="auto" w:before="20" w:after="20"/>
              <w:ind w:firstLine="0"/>
              <w:jc w:val="right"/>
            </w:pPr>
            <w:r>
              <w:rPr>
                <w:rFonts w:ascii="Times New Roman" w:hAnsi="Times New Roman"/>
                <w:sz w:val="16"/>
              </w:rPr>
              <w:t>+556%</w:t>
            </w:r>
          </w:p>
        </w:tc>
      </w:tr>
      <w:tr>
        <w:trPr>
          <w:cantSplit/>
        </w:trPr>
        <w:tc>
          <w:tcPr>
            <w:tcW w:type="dxa" w:w="1774"/>
          </w:tcPr>
          <w:p>
            <w:pPr>
              <w:pStyle w:val="Compact"/>
              <w:spacing w:line="240" w:lineRule="auto" w:before="20" w:after="20"/>
              <w:ind w:firstLine="0"/>
              <w:jc w:val="left"/>
            </w:pPr>
            <w:r>
              <w:rPr>
                <w:rFonts w:ascii="Times New Roman" w:hAnsi="Times New Roman"/>
                <w:sz w:val="16"/>
              </w:rPr>
              <w:t>Figueira</w:t>
            </w:r>
          </w:p>
        </w:tc>
        <w:tc>
          <w:tcPr>
            <w:tcW w:type="dxa" w:w="1380"/>
          </w:tcPr>
          <w:p>
            <w:pPr>
              <w:pStyle w:val="Compact"/>
              <w:spacing w:line="240" w:lineRule="auto" w:before="20" w:after="20"/>
              <w:ind w:firstLine="0"/>
              <w:jc w:val="right"/>
            </w:pPr>
            <w:r>
              <w:rPr>
                <w:rFonts w:ascii="Times New Roman" w:hAnsi="Times New Roman"/>
                <w:sz w:val="16"/>
              </w:rPr>
              <w:t>8,0</w:t>
            </w:r>
          </w:p>
        </w:tc>
        <w:tc>
          <w:tcPr>
            <w:tcW w:type="dxa" w:w="854"/>
          </w:tcPr>
          <w:p>
            <w:pPr>
              <w:pStyle w:val="Compact"/>
              <w:spacing w:line="240" w:lineRule="auto" w:before="20" w:after="20"/>
              <w:ind w:firstLine="0"/>
              <w:jc w:val="right"/>
            </w:pPr>
            <w:r>
              <w:rPr>
                <w:rFonts w:ascii="Times New Roman" w:hAnsi="Times New Roman"/>
                <w:sz w:val="16"/>
              </w:rPr>
              <w:t>756</w:t>
            </w:r>
          </w:p>
        </w:tc>
        <w:tc>
          <w:tcPr>
            <w:tcW w:type="dxa" w:w="854"/>
          </w:tcPr>
          <w:p>
            <w:pPr>
              <w:pStyle w:val="Compact"/>
              <w:spacing w:line="240" w:lineRule="auto" w:before="20" w:after="20"/>
              <w:ind w:firstLine="0"/>
              <w:jc w:val="right"/>
            </w:pPr>
            <w:r>
              <w:rPr>
                <w:rFonts w:ascii="Times New Roman" w:hAnsi="Times New Roman"/>
                <w:sz w:val="16"/>
              </w:rPr>
              <w:t>844</w:t>
            </w:r>
          </w:p>
        </w:tc>
        <w:tc>
          <w:tcPr>
            <w:tcW w:type="dxa" w:w="854"/>
          </w:tcPr>
          <w:p>
            <w:pPr>
              <w:pStyle w:val="Compact"/>
              <w:spacing w:line="240" w:lineRule="auto" w:before="20" w:after="20"/>
              <w:ind w:firstLine="0"/>
              <w:jc w:val="right"/>
            </w:pPr>
            <w:r>
              <w:rPr>
                <w:rFonts w:ascii="Times New Roman" w:hAnsi="Times New Roman"/>
                <w:sz w:val="16"/>
              </w:rPr>
              <w:t>1.085</w:t>
            </w:r>
          </w:p>
        </w:tc>
        <w:tc>
          <w:tcPr>
            <w:tcW w:type="dxa" w:w="986"/>
          </w:tcPr>
          <w:p>
            <w:pPr>
              <w:pStyle w:val="Compact"/>
              <w:spacing w:line="240" w:lineRule="auto" w:before="20" w:after="20"/>
              <w:ind w:firstLine="0"/>
              <w:jc w:val="right"/>
            </w:pPr>
            <w:r>
              <w:rPr>
                <w:rFonts w:ascii="Times New Roman" w:hAnsi="Times New Roman"/>
                <w:sz w:val="16"/>
              </w:rPr>
              <w:t>2.252</w:t>
            </w:r>
          </w:p>
        </w:tc>
        <w:tc>
          <w:tcPr>
            <w:tcW w:type="dxa" w:w="986"/>
          </w:tcPr>
          <w:p>
            <w:pPr>
              <w:pStyle w:val="Compact"/>
              <w:spacing w:line="240" w:lineRule="auto" w:before="20" w:after="20"/>
              <w:ind w:firstLine="0"/>
              <w:jc w:val="right"/>
            </w:pPr>
            <w:r>
              <w:rPr>
                <w:rFonts w:ascii="Times New Roman" w:hAnsi="Times New Roman"/>
                <w:sz w:val="16"/>
              </w:rPr>
              <w:t>6.002</w:t>
            </w:r>
          </w:p>
        </w:tc>
        <w:tc>
          <w:tcPr>
            <w:tcW w:type="dxa" w:w="1380"/>
          </w:tcPr>
          <w:p>
            <w:pPr>
              <w:pStyle w:val="Compact"/>
              <w:spacing w:line="240" w:lineRule="auto" w:before="20" w:after="20"/>
              <w:ind w:firstLine="0"/>
              <w:jc w:val="right"/>
            </w:pPr>
            <w:r>
              <w:rPr>
                <w:rFonts w:ascii="Times New Roman" w:hAnsi="Times New Roman"/>
                <w:sz w:val="16"/>
              </w:rPr>
              <w:t>+694%</w:t>
            </w:r>
          </w:p>
        </w:tc>
      </w:tr>
      <w:tr>
        <w:trPr>
          <w:cantSplit/>
        </w:trPr>
        <w:tc>
          <w:tcPr>
            <w:tcW w:type="dxa" w:w="1774"/>
          </w:tcPr>
          <w:p>
            <w:pPr>
              <w:pStyle w:val="Compact"/>
              <w:spacing w:line="240" w:lineRule="auto" w:before="20" w:after="20"/>
              <w:ind w:firstLine="0"/>
              <w:jc w:val="left"/>
            </w:pPr>
            <w:r>
              <w:rPr>
                <w:rFonts w:ascii="Times New Roman" w:hAnsi="Times New Roman"/>
                <w:sz w:val="16"/>
              </w:rPr>
              <w:t>Jataizinho</w:t>
            </w:r>
          </w:p>
        </w:tc>
        <w:tc>
          <w:tcPr>
            <w:tcW w:type="dxa" w:w="1380"/>
          </w:tcPr>
          <w:p>
            <w:pPr>
              <w:pStyle w:val="Compact"/>
              <w:spacing w:line="240" w:lineRule="auto" w:before="20" w:after="20"/>
              <w:ind w:firstLine="0"/>
              <w:jc w:val="right"/>
            </w:pPr>
            <w:r>
              <w:rPr>
                <w:rFonts w:ascii="Times New Roman" w:hAnsi="Times New Roman"/>
                <w:sz w:val="16"/>
              </w:rPr>
              <w:t>12,2</w:t>
            </w:r>
          </w:p>
        </w:tc>
        <w:tc>
          <w:tcPr>
            <w:tcW w:type="dxa" w:w="854"/>
          </w:tcPr>
          <w:p>
            <w:pPr>
              <w:pStyle w:val="Compact"/>
              <w:spacing w:line="240" w:lineRule="auto" w:before="20" w:after="20"/>
              <w:ind w:firstLine="0"/>
              <w:jc w:val="right"/>
            </w:pPr>
            <w:r>
              <w:rPr>
                <w:rFonts w:ascii="Times New Roman" w:hAnsi="Times New Roman"/>
                <w:sz w:val="16"/>
              </w:rPr>
              <w:t>739</w:t>
            </w:r>
          </w:p>
        </w:tc>
        <w:tc>
          <w:tcPr>
            <w:tcW w:type="dxa" w:w="854"/>
          </w:tcPr>
          <w:p>
            <w:pPr>
              <w:pStyle w:val="Compact"/>
              <w:spacing w:line="240" w:lineRule="auto" w:before="20" w:after="20"/>
              <w:ind w:firstLine="0"/>
              <w:jc w:val="right"/>
            </w:pPr>
            <w:r>
              <w:rPr>
                <w:rFonts w:ascii="Times New Roman" w:hAnsi="Times New Roman"/>
                <w:sz w:val="16"/>
              </w:rPr>
              <w:t>815</w:t>
            </w:r>
          </w:p>
        </w:tc>
        <w:tc>
          <w:tcPr>
            <w:tcW w:type="dxa" w:w="854"/>
          </w:tcPr>
          <w:p>
            <w:pPr>
              <w:pStyle w:val="Compact"/>
              <w:spacing w:line="240" w:lineRule="auto" w:before="20" w:after="20"/>
              <w:ind w:firstLine="0"/>
              <w:jc w:val="right"/>
            </w:pPr>
            <w:r>
              <w:rPr>
                <w:rFonts w:ascii="Times New Roman" w:hAnsi="Times New Roman"/>
                <w:sz w:val="16"/>
              </w:rPr>
              <w:t>966</w:t>
            </w:r>
          </w:p>
        </w:tc>
        <w:tc>
          <w:tcPr>
            <w:tcW w:type="dxa" w:w="986"/>
          </w:tcPr>
          <w:p>
            <w:pPr>
              <w:pStyle w:val="Compact"/>
              <w:spacing w:line="240" w:lineRule="auto" w:before="20" w:after="20"/>
              <w:ind w:firstLine="0"/>
              <w:jc w:val="right"/>
            </w:pPr>
            <w:r>
              <w:rPr>
                <w:rFonts w:ascii="Times New Roman" w:hAnsi="Times New Roman"/>
                <w:sz w:val="16"/>
              </w:rPr>
              <w:t>2.013</w:t>
            </w:r>
          </w:p>
        </w:tc>
        <w:tc>
          <w:tcPr>
            <w:tcW w:type="dxa" w:w="986"/>
          </w:tcPr>
          <w:p>
            <w:pPr>
              <w:pStyle w:val="Compact"/>
              <w:spacing w:line="240" w:lineRule="auto" w:before="20" w:after="20"/>
              <w:ind w:firstLine="0"/>
              <w:jc w:val="right"/>
            </w:pPr>
            <w:r>
              <w:rPr>
                <w:rFonts w:ascii="Times New Roman" w:hAnsi="Times New Roman"/>
                <w:sz w:val="16"/>
              </w:rPr>
              <w:t>5.382</w:t>
            </w:r>
          </w:p>
        </w:tc>
        <w:tc>
          <w:tcPr>
            <w:tcW w:type="dxa" w:w="1380"/>
          </w:tcPr>
          <w:p>
            <w:pPr>
              <w:pStyle w:val="Compact"/>
              <w:spacing w:line="240" w:lineRule="auto" w:before="20" w:after="20"/>
              <w:ind w:firstLine="0"/>
              <w:jc w:val="right"/>
            </w:pPr>
            <w:r>
              <w:rPr>
                <w:rFonts w:ascii="Times New Roman" w:hAnsi="Times New Roman"/>
                <w:sz w:val="16"/>
              </w:rPr>
              <w:t>+629%</w:t>
            </w:r>
          </w:p>
        </w:tc>
      </w:tr>
      <w:tr>
        <w:trPr>
          <w:cantSplit/>
        </w:trPr>
        <w:tc>
          <w:tcPr>
            <w:tcW w:type="dxa" w:w="1774"/>
          </w:tcPr>
          <w:p>
            <w:pPr>
              <w:pStyle w:val="Compact"/>
              <w:spacing w:line="240" w:lineRule="auto" w:before="20" w:after="20"/>
              <w:ind w:firstLine="0"/>
              <w:jc w:val="left"/>
            </w:pPr>
            <w:r>
              <w:rPr>
                <w:rFonts w:ascii="Times New Roman" w:hAnsi="Times New Roman"/>
                <w:sz w:val="16"/>
              </w:rPr>
              <w:t>Colombo</w:t>
            </w:r>
          </w:p>
        </w:tc>
        <w:tc>
          <w:tcPr>
            <w:tcW w:type="dxa" w:w="1380"/>
          </w:tcPr>
          <w:p>
            <w:pPr>
              <w:pStyle w:val="Compact"/>
              <w:spacing w:line="240" w:lineRule="auto" w:before="20" w:after="20"/>
              <w:ind w:firstLine="0"/>
              <w:jc w:val="right"/>
            </w:pPr>
            <w:r>
              <w:rPr>
                <w:rFonts w:ascii="Times New Roman" w:hAnsi="Times New Roman"/>
                <w:sz w:val="16"/>
              </w:rPr>
              <w:t>241,7</w:t>
            </w:r>
          </w:p>
        </w:tc>
        <w:tc>
          <w:tcPr>
            <w:tcW w:type="dxa" w:w="854"/>
          </w:tcPr>
          <w:p>
            <w:pPr>
              <w:pStyle w:val="Compact"/>
              <w:spacing w:line="240" w:lineRule="auto" w:before="20" w:after="20"/>
              <w:ind w:firstLine="0"/>
              <w:jc w:val="right"/>
            </w:pPr>
            <w:r>
              <w:rPr>
                <w:rFonts w:ascii="Times New Roman" w:hAnsi="Times New Roman"/>
                <w:sz w:val="16"/>
              </w:rPr>
              <w:t>737</w:t>
            </w:r>
          </w:p>
        </w:tc>
        <w:tc>
          <w:tcPr>
            <w:tcW w:type="dxa" w:w="854"/>
          </w:tcPr>
          <w:p>
            <w:pPr>
              <w:pStyle w:val="Compact"/>
              <w:spacing w:line="240" w:lineRule="auto" w:before="20" w:after="20"/>
              <w:ind w:firstLine="0"/>
              <w:jc w:val="right"/>
            </w:pPr>
            <w:r>
              <w:rPr>
                <w:rFonts w:ascii="Times New Roman" w:hAnsi="Times New Roman"/>
                <w:sz w:val="16"/>
              </w:rPr>
              <w:t>805</w:t>
            </w:r>
          </w:p>
        </w:tc>
        <w:tc>
          <w:tcPr>
            <w:tcW w:type="dxa" w:w="854"/>
          </w:tcPr>
          <w:p>
            <w:pPr>
              <w:pStyle w:val="Compact"/>
              <w:spacing w:line="240" w:lineRule="auto" w:before="20" w:after="20"/>
              <w:ind w:firstLine="0"/>
              <w:jc w:val="right"/>
            </w:pPr>
            <w:r>
              <w:rPr>
                <w:rFonts w:ascii="Times New Roman" w:hAnsi="Times New Roman"/>
                <w:sz w:val="16"/>
              </w:rPr>
              <w:t>887</w:t>
            </w:r>
          </w:p>
        </w:tc>
        <w:tc>
          <w:tcPr>
            <w:tcW w:type="dxa" w:w="986"/>
          </w:tcPr>
          <w:p>
            <w:pPr>
              <w:pStyle w:val="Compact"/>
              <w:spacing w:line="240" w:lineRule="auto" w:before="20" w:after="20"/>
              <w:ind w:firstLine="0"/>
              <w:jc w:val="right"/>
            </w:pPr>
            <w:r>
              <w:rPr>
                <w:rFonts w:ascii="Times New Roman" w:hAnsi="Times New Roman"/>
                <w:sz w:val="16"/>
              </w:rPr>
              <w:t>1.835</w:t>
            </w:r>
          </w:p>
        </w:tc>
        <w:tc>
          <w:tcPr>
            <w:tcW w:type="dxa" w:w="986"/>
          </w:tcPr>
          <w:p>
            <w:pPr>
              <w:pStyle w:val="Compact"/>
              <w:spacing w:line="240" w:lineRule="auto" w:before="20" w:after="20"/>
              <w:ind w:firstLine="0"/>
              <w:jc w:val="right"/>
            </w:pPr>
            <w:r>
              <w:rPr>
                <w:rFonts w:ascii="Times New Roman" w:hAnsi="Times New Roman"/>
                <w:sz w:val="16"/>
              </w:rPr>
              <w:t>4.881</w:t>
            </w:r>
          </w:p>
        </w:tc>
        <w:tc>
          <w:tcPr>
            <w:tcW w:type="dxa" w:w="1380"/>
          </w:tcPr>
          <w:p>
            <w:pPr>
              <w:pStyle w:val="Compact"/>
              <w:spacing w:line="240" w:lineRule="auto" w:before="20" w:after="20"/>
              <w:ind w:firstLine="0"/>
              <w:jc w:val="right"/>
            </w:pPr>
            <w:r>
              <w:rPr>
                <w:rFonts w:ascii="Times New Roman" w:hAnsi="Times New Roman"/>
                <w:sz w:val="16"/>
              </w:rPr>
              <w:t>+562%</w:t>
            </w:r>
          </w:p>
        </w:tc>
      </w:tr>
      <w:tr>
        <w:trPr>
          <w:cantSplit/>
        </w:trPr>
        <w:tc>
          <w:tcPr>
            <w:tcW w:type="dxa" w:w="1774"/>
          </w:tcPr>
          <w:p>
            <w:pPr>
              <w:pStyle w:val="Compact"/>
              <w:spacing w:line="240" w:lineRule="auto" w:before="20" w:after="20"/>
              <w:ind w:firstLine="0"/>
              <w:jc w:val="left"/>
            </w:pPr>
            <w:r>
              <w:rPr>
                <w:rFonts w:ascii="Times New Roman" w:hAnsi="Times New Roman"/>
                <w:sz w:val="16"/>
              </w:rPr>
              <w:t>Matinhos</w:t>
            </w:r>
          </w:p>
        </w:tc>
        <w:tc>
          <w:tcPr>
            <w:tcW w:type="dxa" w:w="1380"/>
          </w:tcPr>
          <w:p>
            <w:pPr>
              <w:pStyle w:val="Compact"/>
              <w:spacing w:line="240" w:lineRule="auto" w:before="20" w:after="20"/>
              <w:ind w:firstLine="0"/>
              <w:jc w:val="right"/>
            </w:pPr>
            <w:r>
              <w:rPr>
                <w:rFonts w:ascii="Times New Roman" w:hAnsi="Times New Roman"/>
                <w:sz w:val="16"/>
              </w:rPr>
              <w:t>38,9</w:t>
            </w:r>
          </w:p>
        </w:tc>
        <w:tc>
          <w:tcPr>
            <w:tcW w:type="dxa" w:w="854"/>
          </w:tcPr>
          <w:p>
            <w:pPr>
              <w:pStyle w:val="Compact"/>
              <w:spacing w:line="240" w:lineRule="auto" w:before="20" w:after="20"/>
              <w:ind w:firstLine="0"/>
              <w:jc w:val="right"/>
            </w:pPr>
            <w:r>
              <w:rPr>
                <w:rFonts w:ascii="Times New Roman" w:hAnsi="Times New Roman"/>
                <w:sz w:val="16"/>
              </w:rPr>
              <w:t>727</w:t>
            </w:r>
          </w:p>
        </w:tc>
        <w:tc>
          <w:tcPr>
            <w:tcW w:type="dxa" w:w="854"/>
          </w:tcPr>
          <w:p>
            <w:pPr>
              <w:pStyle w:val="Compact"/>
              <w:spacing w:line="240" w:lineRule="auto" w:before="20" w:after="20"/>
              <w:ind w:firstLine="0"/>
              <w:jc w:val="right"/>
            </w:pPr>
            <w:r>
              <w:rPr>
                <w:rFonts w:ascii="Times New Roman" w:hAnsi="Times New Roman"/>
                <w:sz w:val="16"/>
              </w:rPr>
              <w:t>792</w:t>
            </w:r>
          </w:p>
        </w:tc>
        <w:tc>
          <w:tcPr>
            <w:tcW w:type="dxa" w:w="854"/>
          </w:tcPr>
          <w:p>
            <w:pPr>
              <w:pStyle w:val="Compact"/>
              <w:spacing w:line="240" w:lineRule="auto" w:before="20" w:after="20"/>
              <w:ind w:firstLine="0"/>
              <w:jc w:val="right"/>
            </w:pPr>
            <w:r>
              <w:rPr>
                <w:rFonts w:ascii="Times New Roman" w:hAnsi="Times New Roman"/>
                <w:sz w:val="16"/>
              </w:rPr>
              <w:t>810</w:t>
            </w:r>
          </w:p>
        </w:tc>
        <w:tc>
          <w:tcPr>
            <w:tcW w:type="dxa" w:w="986"/>
          </w:tcPr>
          <w:p>
            <w:pPr>
              <w:pStyle w:val="Compact"/>
              <w:spacing w:line="240" w:lineRule="auto" w:before="20" w:after="20"/>
              <w:ind w:firstLine="0"/>
              <w:jc w:val="right"/>
            </w:pPr>
            <w:r>
              <w:rPr>
                <w:rFonts w:ascii="Times New Roman" w:hAnsi="Times New Roman"/>
                <w:sz w:val="16"/>
              </w:rPr>
              <w:t>1.886</w:t>
            </w:r>
          </w:p>
        </w:tc>
        <w:tc>
          <w:tcPr>
            <w:tcW w:type="dxa" w:w="986"/>
          </w:tcPr>
          <w:p>
            <w:pPr>
              <w:pStyle w:val="Compact"/>
              <w:spacing w:line="240" w:lineRule="auto" w:before="20" w:after="20"/>
              <w:ind w:firstLine="0"/>
              <w:jc w:val="right"/>
            </w:pPr>
            <w:r>
              <w:rPr>
                <w:rFonts w:ascii="Times New Roman" w:hAnsi="Times New Roman"/>
                <w:sz w:val="16"/>
              </w:rPr>
              <w:t>5.433</w:t>
            </w:r>
          </w:p>
        </w:tc>
        <w:tc>
          <w:tcPr>
            <w:tcW w:type="dxa" w:w="1380"/>
          </w:tcPr>
          <w:p>
            <w:pPr>
              <w:pStyle w:val="Compact"/>
              <w:spacing w:line="240" w:lineRule="auto" w:before="20" w:after="20"/>
              <w:ind w:firstLine="0"/>
              <w:jc w:val="right"/>
            </w:pPr>
            <w:r>
              <w:rPr>
                <w:rFonts w:ascii="Times New Roman" w:hAnsi="Times New Roman"/>
                <w:sz w:val="16"/>
              </w:rPr>
              <w:t>+647%</w:t>
            </w:r>
          </w:p>
        </w:tc>
      </w:tr>
      <w:tr>
        <w:trPr>
          <w:cantSplit/>
        </w:trPr>
        <w:tc>
          <w:tcPr>
            <w:tcW w:type="dxa" w:w="1774"/>
          </w:tcPr>
          <w:p>
            <w:pPr>
              <w:pStyle w:val="Compact"/>
              <w:spacing w:line="240" w:lineRule="auto" w:before="20" w:after="20"/>
              <w:ind w:firstLine="0"/>
              <w:jc w:val="left"/>
            </w:pPr>
            <w:r>
              <w:rPr>
                <w:rFonts w:ascii="Times New Roman" w:hAnsi="Times New Roman"/>
                <w:sz w:val="16"/>
              </w:rPr>
              <w:t xml:space="preserve">Paiçandu</w:t>
            </w:r>
          </w:p>
        </w:tc>
        <w:tc>
          <w:tcPr>
            <w:tcW w:type="dxa" w:w="1380"/>
          </w:tcPr>
          <w:p>
            <w:pPr>
              <w:pStyle w:val="Compact"/>
              <w:spacing w:line="240" w:lineRule="auto" w:before="20" w:after="20"/>
              <w:ind w:firstLine="0"/>
              <w:jc w:val="right"/>
            </w:pPr>
            <w:r>
              <w:rPr>
                <w:rFonts w:ascii="Times New Roman" w:hAnsi="Times New Roman"/>
                <w:sz w:val="16"/>
              </w:rPr>
              <w:t>45,6</w:t>
            </w:r>
          </w:p>
        </w:tc>
        <w:tc>
          <w:tcPr>
            <w:tcW w:type="dxa" w:w="854"/>
          </w:tcPr>
          <w:p>
            <w:pPr>
              <w:pStyle w:val="Compact"/>
              <w:spacing w:line="240" w:lineRule="auto" w:before="20" w:after="20"/>
              <w:ind w:firstLine="0"/>
              <w:jc w:val="right"/>
            </w:pPr>
            <w:r>
              <w:rPr>
                <w:rFonts w:ascii="Times New Roman" w:hAnsi="Times New Roman"/>
                <w:sz w:val="16"/>
              </w:rPr>
              <w:t>616</w:t>
            </w:r>
          </w:p>
        </w:tc>
        <w:tc>
          <w:tcPr>
            <w:tcW w:type="dxa" w:w="854"/>
          </w:tcPr>
          <w:p>
            <w:pPr>
              <w:pStyle w:val="Compact"/>
              <w:spacing w:line="240" w:lineRule="auto" w:before="20" w:after="20"/>
              <w:ind w:firstLine="0"/>
              <w:jc w:val="right"/>
            </w:pPr>
            <w:r>
              <w:rPr>
                <w:rFonts w:ascii="Times New Roman" w:hAnsi="Times New Roman"/>
                <w:sz w:val="16"/>
              </w:rPr>
              <w:t>679</w:t>
            </w:r>
          </w:p>
        </w:tc>
        <w:tc>
          <w:tcPr>
            <w:tcW w:type="dxa" w:w="854"/>
          </w:tcPr>
          <w:p>
            <w:pPr>
              <w:pStyle w:val="Compact"/>
              <w:spacing w:line="240" w:lineRule="auto" w:before="20" w:after="20"/>
              <w:ind w:firstLine="0"/>
              <w:jc w:val="right"/>
            </w:pPr>
            <w:r>
              <w:rPr>
                <w:rFonts w:ascii="Times New Roman" w:hAnsi="Times New Roman"/>
                <w:sz w:val="16"/>
              </w:rPr>
              <w:t>769</w:t>
            </w:r>
          </w:p>
        </w:tc>
        <w:tc>
          <w:tcPr>
            <w:tcW w:type="dxa" w:w="986"/>
          </w:tcPr>
          <w:p>
            <w:pPr>
              <w:pStyle w:val="Compact"/>
              <w:spacing w:line="240" w:lineRule="auto" w:before="20" w:after="20"/>
              <w:ind w:firstLine="0"/>
              <w:jc w:val="right"/>
            </w:pPr>
            <w:r>
              <w:rPr>
                <w:rFonts w:ascii="Times New Roman" w:hAnsi="Times New Roman"/>
                <w:sz w:val="16"/>
              </w:rPr>
              <w:t>1.773</w:t>
            </w:r>
          </w:p>
        </w:tc>
        <w:tc>
          <w:tcPr>
            <w:tcW w:type="dxa" w:w="986"/>
          </w:tcPr>
          <w:p>
            <w:pPr>
              <w:pStyle w:val="Compact"/>
              <w:spacing w:line="240" w:lineRule="auto" w:before="20" w:after="20"/>
              <w:ind w:firstLine="0"/>
              <w:jc w:val="right"/>
            </w:pPr>
            <w:r>
              <w:rPr>
                <w:rFonts w:ascii="Times New Roman" w:hAnsi="Times New Roman"/>
                <w:sz w:val="16"/>
              </w:rPr>
              <w:t>5.074</w:t>
            </w:r>
          </w:p>
        </w:tc>
        <w:tc>
          <w:tcPr>
            <w:tcW w:type="dxa" w:w="1380"/>
          </w:tcPr>
          <w:p>
            <w:pPr>
              <w:pStyle w:val="Compact"/>
              <w:spacing w:line="240" w:lineRule="auto" w:before="20" w:after="20"/>
              <w:ind w:firstLine="0"/>
              <w:jc w:val="right"/>
            </w:pPr>
            <w:r>
              <w:rPr>
                <w:rFonts w:ascii="Times New Roman" w:hAnsi="Times New Roman"/>
                <w:sz w:val="16"/>
              </w:rPr>
              <w:t>+723%</w:t>
            </w:r>
          </w:p>
        </w:tc>
      </w:tr>
      <w:tr>
        <w:trPr>
          <w:cantSplit/>
        </w:trPr>
        <w:tc>
          <w:tcPr>
            <w:tcW w:type="dxa" w:w="1774"/>
          </w:tcPr>
          <w:p>
            <w:pPr>
              <w:pStyle w:val="Compact"/>
              <w:spacing w:line="240" w:lineRule="auto" w:before="20" w:after="20"/>
              <w:ind w:firstLine="0"/>
              <w:jc w:val="left"/>
            </w:pPr>
            <w:r>
              <w:rPr>
                <w:rFonts w:ascii="Times New Roman" w:hAnsi="Times New Roman"/>
                <w:sz w:val="16"/>
              </w:rPr>
              <w:t>Itaperuçu</w:t>
            </w:r>
          </w:p>
        </w:tc>
        <w:tc>
          <w:tcPr>
            <w:tcW w:type="dxa" w:w="1380"/>
          </w:tcPr>
          <w:p>
            <w:pPr>
              <w:pStyle w:val="Compact"/>
              <w:spacing w:line="240" w:lineRule="auto" w:before="20" w:after="20"/>
              <w:ind w:firstLine="0"/>
              <w:jc w:val="right"/>
            </w:pPr>
            <w:r>
              <w:rPr>
                <w:rFonts w:ascii="Times New Roman" w:hAnsi="Times New Roman"/>
                <w:sz w:val="16"/>
              </w:rPr>
              <w:t>31,3</w:t>
            </w:r>
          </w:p>
        </w:tc>
        <w:tc>
          <w:tcPr>
            <w:tcW w:type="dxa" w:w="854"/>
          </w:tcPr>
          <w:p>
            <w:pPr>
              <w:pStyle w:val="Compact"/>
              <w:spacing w:line="240" w:lineRule="auto" w:before="20" w:after="20"/>
              <w:ind w:firstLine="0"/>
              <w:jc w:val="right"/>
            </w:pPr>
            <w:r>
              <w:rPr>
                <w:rFonts w:ascii="Times New Roman" w:hAnsi="Times New Roman"/>
                <w:sz w:val="16"/>
              </w:rPr>
              <w:t>593</w:t>
            </w:r>
          </w:p>
        </w:tc>
        <w:tc>
          <w:tcPr>
            <w:tcW w:type="dxa" w:w="854"/>
          </w:tcPr>
          <w:p>
            <w:pPr>
              <w:pStyle w:val="Compact"/>
              <w:spacing w:line="240" w:lineRule="auto" w:before="20" w:after="20"/>
              <w:ind w:firstLine="0"/>
              <w:jc w:val="right"/>
            </w:pPr>
            <w:r>
              <w:rPr>
                <w:rFonts w:ascii="Times New Roman" w:hAnsi="Times New Roman"/>
                <w:sz w:val="16"/>
              </w:rPr>
              <w:t>654</w:t>
            </w:r>
          </w:p>
        </w:tc>
        <w:tc>
          <w:tcPr>
            <w:tcW w:type="dxa" w:w="854"/>
          </w:tcPr>
          <w:p>
            <w:pPr>
              <w:pStyle w:val="Compact"/>
              <w:spacing w:line="240" w:lineRule="auto" w:before="20" w:after="20"/>
              <w:ind w:firstLine="0"/>
              <w:jc w:val="right"/>
            </w:pPr>
            <w:r>
              <w:rPr>
                <w:rFonts w:ascii="Times New Roman" w:hAnsi="Times New Roman"/>
                <w:sz w:val="16"/>
              </w:rPr>
              <w:t>735</w:t>
            </w:r>
          </w:p>
        </w:tc>
        <w:tc>
          <w:tcPr>
            <w:tcW w:type="dxa" w:w="986"/>
          </w:tcPr>
          <w:p>
            <w:pPr>
              <w:pStyle w:val="Compact"/>
              <w:spacing w:line="240" w:lineRule="auto" w:before="20" w:after="20"/>
              <w:ind w:firstLine="0"/>
              <w:jc w:val="right"/>
            </w:pPr>
            <w:r>
              <w:rPr>
                <w:rFonts w:ascii="Times New Roman" w:hAnsi="Times New Roman"/>
                <w:sz w:val="16"/>
              </w:rPr>
              <w:t>1.767</w:t>
            </w:r>
          </w:p>
        </w:tc>
        <w:tc>
          <w:tcPr>
            <w:tcW w:type="dxa" w:w="986"/>
          </w:tcPr>
          <w:p>
            <w:pPr>
              <w:pStyle w:val="Compact"/>
              <w:spacing w:line="240" w:lineRule="auto" w:before="20" w:after="20"/>
              <w:ind w:firstLine="0"/>
              <w:jc w:val="right"/>
            </w:pPr>
            <w:r>
              <w:rPr>
                <w:rFonts w:ascii="Times New Roman" w:hAnsi="Times New Roman"/>
                <w:sz w:val="16"/>
              </w:rPr>
              <w:t>5.189</w:t>
            </w:r>
          </w:p>
        </w:tc>
        <w:tc>
          <w:tcPr>
            <w:tcW w:type="dxa" w:w="1380"/>
          </w:tcPr>
          <w:p>
            <w:pPr>
              <w:pStyle w:val="Compact"/>
              <w:spacing w:line="240" w:lineRule="auto" w:before="20" w:after="20"/>
              <w:ind w:firstLine="0"/>
              <w:jc w:val="right"/>
            </w:pPr>
            <w:r>
              <w:rPr>
                <w:rFonts w:ascii="Times New Roman" w:hAnsi="Times New Roman"/>
                <w:sz w:val="16"/>
              </w:rPr>
              <w:t>+776%</w:t>
            </w:r>
          </w:p>
        </w:tc>
      </w:tr>
      <w:tr>
        <w:trPr>
          <w:cantSplit/>
        </w:trPr>
        <w:tc>
          <w:tcPr>
            <w:tcW w:type="dxa" w:w="1774"/>
          </w:tcPr>
          <w:p>
            <w:pPr>
              <w:pStyle w:val="Compact"/>
              <w:spacing w:line="240" w:lineRule="auto" w:before="20" w:after="20"/>
              <w:ind w:firstLine="0"/>
              <w:jc w:val="left"/>
            </w:pPr>
            <w:r>
              <w:rPr>
                <w:rFonts w:ascii="Times New Roman" w:hAnsi="Times New Roman"/>
                <w:sz w:val="16"/>
              </w:rPr>
              <w:t>Pontal do Paraná</w:t>
            </w:r>
          </w:p>
        </w:tc>
        <w:tc>
          <w:tcPr>
            <w:tcW w:type="dxa" w:w="1380"/>
          </w:tcPr>
          <w:p>
            <w:pPr>
              <w:pStyle w:val="Compact"/>
              <w:spacing w:line="240" w:lineRule="auto" w:before="20" w:after="20"/>
              <w:ind w:firstLine="0"/>
              <w:jc w:val="right"/>
            </w:pPr>
            <w:r>
              <w:rPr>
                <w:rFonts w:ascii="Times New Roman" w:hAnsi="Times New Roman"/>
                <w:sz w:val="16"/>
              </w:rPr>
              <w:t>30,6</w:t>
            </w:r>
          </w:p>
        </w:tc>
        <w:tc>
          <w:tcPr>
            <w:tcW w:type="dxa" w:w="854"/>
          </w:tcPr>
          <w:p>
            <w:pPr>
              <w:pStyle w:val="Compact"/>
              <w:spacing w:line="240" w:lineRule="auto" w:before="20" w:after="20"/>
              <w:ind w:firstLine="0"/>
              <w:jc w:val="right"/>
            </w:pPr>
            <w:r>
              <w:rPr>
                <w:rFonts w:ascii="Times New Roman" w:hAnsi="Times New Roman"/>
                <w:sz w:val="16"/>
              </w:rPr>
              <w:t>591</w:t>
            </w:r>
          </w:p>
        </w:tc>
        <w:tc>
          <w:tcPr>
            <w:tcW w:type="dxa" w:w="854"/>
          </w:tcPr>
          <w:p>
            <w:pPr>
              <w:pStyle w:val="Compact"/>
              <w:spacing w:line="240" w:lineRule="auto" w:before="20" w:after="20"/>
              <w:ind w:firstLine="0"/>
              <w:jc w:val="right"/>
            </w:pPr>
            <w:r>
              <w:rPr>
                <w:rFonts w:ascii="Times New Roman" w:hAnsi="Times New Roman"/>
                <w:sz w:val="16"/>
              </w:rPr>
              <w:t>713</w:t>
            </w:r>
          </w:p>
        </w:tc>
        <w:tc>
          <w:tcPr>
            <w:tcW w:type="dxa" w:w="854"/>
          </w:tcPr>
          <w:p>
            <w:pPr>
              <w:pStyle w:val="Compact"/>
              <w:spacing w:line="240" w:lineRule="auto" w:before="20" w:after="20"/>
              <w:ind w:firstLine="0"/>
              <w:jc w:val="right"/>
            </w:pPr>
            <w:r>
              <w:rPr>
                <w:rFonts w:ascii="Times New Roman" w:hAnsi="Times New Roman"/>
                <w:sz w:val="16"/>
              </w:rPr>
              <w:t>1.465</w:t>
            </w:r>
          </w:p>
        </w:tc>
        <w:tc>
          <w:tcPr>
            <w:tcW w:type="dxa" w:w="986"/>
          </w:tcPr>
          <w:p>
            <w:pPr>
              <w:pStyle w:val="Compact"/>
              <w:spacing w:line="240" w:lineRule="auto" w:before="20" w:after="20"/>
              <w:ind w:firstLine="0"/>
              <w:jc w:val="right"/>
            </w:pPr>
            <w:r>
              <w:rPr>
                <w:rFonts w:ascii="Times New Roman" w:hAnsi="Times New Roman"/>
                <w:sz w:val="16"/>
              </w:rPr>
              <w:t>2.523</w:t>
            </w:r>
          </w:p>
        </w:tc>
        <w:tc>
          <w:tcPr>
            <w:tcW w:type="dxa" w:w="986"/>
          </w:tcPr>
          <w:p>
            <w:pPr>
              <w:pStyle w:val="Compact"/>
              <w:spacing w:line="240" w:lineRule="auto" w:before="20" w:after="20"/>
              <w:ind w:firstLine="0"/>
              <w:jc w:val="right"/>
            </w:pPr>
            <w:r>
              <w:rPr>
                <w:rFonts w:ascii="Times New Roman" w:hAnsi="Times New Roman"/>
                <w:sz w:val="16"/>
              </w:rPr>
              <w:t>5.691</w:t>
            </w:r>
          </w:p>
        </w:tc>
        <w:tc>
          <w:tcPr>
            <w:tcW w:type="dxa" w:w="1380"/>
          </w:tcPr>
          <w:p>
            <w:pPr>
              <w:pStyle w:val="Compact"/>
              <w:spacing w:line="240" w:lineRule="auto" w:before="20" w:after="20"/>
              <w:ind w:firstLine="0"/>
              <w:jc w:val="right"/>
            </w:pPr>
            <w:r>
              <w:rPr>
                <w:rFonts w:ascii="Times New Roman" w:hAnsi="Times New Roman"/>
                <w:sz w:val="16"/>
              </w:rPr>
              <w:t>+862%</w:t>
            </w:r>
          </w:p>
        </w:tc>
      </w:tr>
      <w:tr>
        <w:trPr>
          <w:cantSplit/>
        </w:trPr>
        <w:tc>
          <w:tcPr>
            <w:tcW w:type="dxa" w:w="1774"/>
          </w:tcPr>
          <w:p>
            <w:pPr>
              <w:pStyle w:val="Compact"/>
              <w:spacing w:line="240" w:lineRule="auto" w:before="20" w:after="20"/>
              <w:ind w:firstLine="0"/>
              <w:jc w:val="left"/>
            </w:pPr>
            <w:r>
              <w:rPr>
                <w:rFonts w:ascii="Times New Roman" w:hAnsi="Times New Roman"/>
                <w:sz w:val="16"/>
              </w:rPr>
              <w:t xml:space="preserve">Almirante Tamandaré</w:t>
            </w:r>
          </w:p>
        </w:tc>
        <w:tc>
          <w:tcPr>
            <w:tcW w:type="dxa" w:w="1380"/>
          </w:tcPr>
          <w:p>
            <w:pPr>
              <w:pStyle w:val="Compact"/>
              <w:spacing w:line="240" w:lineRule="auto" w:before="20" w:after="20"/>
              <w:ind w:firstLine="0"/>
              <w:jc w:val="right"/>
            </w:pPr>
            <w:r>
              <w:rPr>
                <w:rFonts w:ascii="Times New Roman" w:hAnsi="Times New Roman"/>
                <w:sz w:val="16"/>
              </w:rPr>
              <w:t>122,5</w:t>
            </w:r>
          </w:p>
        </w:tc>
        <w:tc>
          <w:tcPr>
            <w:tcW w:type="dxa" w:w="854"/>
          </w:tcPr>
          <w:p>
            <w:pPr>
              <w:pStyle w:val="Compact"/>
              <w:spacing w:line="240" w:lineRule="auto" w:before="20" w:after="20"/>
              <w:ind w:firstLine="0"/>
              <w:jc w:val="right"/>
            </w:pPr>
            <w:r>
              <w:rPr>
                <w:rFonts w:ascii="Times New Roman" w:hAnsi="Times New Roman"/>
                <w:sz w:val="16"/>
              </w:rPr>
              <w:t>569</w:t>
            </w:r>
          </w:p>
        </w:tc>
        <w:tc>
          <w:tcPr>
            <w:tcW w:type="dxa" w:w="854"/>
          </w:tcPr>
          <w:p>
            <w:pPr>
              <w:pStyle w:val="Compact"/>
              <w:spacing w:line="240" w:lineRule="auto" w:before="20" w:after="20"/>
              <w:ind w:firstLine="0"/>
              <w:jc w:val="right"/>
            </w:pPr>
            <w:r>
              <w:rPr>
                <w:rFonts w:ascii="Times New Roman" w:hAnsi="Times New Roman"/>
                <w:sz w:val="16"/>
              </w:rPr>
              <w:t>631</w:t>
            </w:r>
          </w:p>
        </w:tc>
        <w:tc>
          <w:tcPr>
            <w:tcW w:type="dxa" w:w="854"/>
          </w:tcPr>
          <w:p>
            <w:pPr>
              <w:pStyle w:val="Compact"/>
              <w:spacing w:line="240" w:lineRule="auto" w:before="20" w:after="20"/>
              <w:ind w:firstLine="0"/>
              <w:jc w:val="right"/>
            </w:pPr>
            <w:r>
              <w:rPr>
                <w:rFonts w:ascii="Times New Roman" w:hAnsi="Times New Roman"/>
                <w:sz w:val="16"/>
              </w:rPr>
              <w:t>741</w:t>
            </w:r>
          </w:p>
        </w:tc>
        <w:tc>
          <w:tcPr>
            <w:tcW w:type="dxa" w:w="986"/>
          </w:tcPr>
          <w:p>
            <w:pPr>
              <w:pStyle w:val="Compact"/>
              <w:spacing w:line="240" w:lineRule="auto" w:before="20" w:after="20"/>
              <w:ind w:firstLine="0"/>
              <w:jc w:val="right"/>
            </w:pPr>
            <w:r>
              <w:rPr>
                <w:rFonts w:ascii="Times New Roman" w:hAnsi="Times New Roman"/>
                <w:sz w:val="16"/>
              </w:rPr>
              <w:t>1.728</w:t>
            </w:r>
          </w:p>
        </w:tc>
        <w:tc>
          <w:tcPr>
            <w:tcW w:type="dxa" w:w="986"/>
          </w:tcPr>
          <w:p>
            <w:pPr>
              <w:pStyle w:val="Compact"/>
              <w:spacing w:line="240" w:lineRule="auto" w:before="20" w:after="20"/>
              <w:ind w:firstLine="0"/>
              <w:jc w:val="right"/>
            </w:pPr>
            <w:r>
              <w:rPr>
                <w:rFonts w:ascii="Times New Roman" w:hAnsi="Times New Roman"/>
                <w:sz w:val="16"/>
              </w:rPr>
              <w:t>4.980</w:t>
            </w:r>
          </w:p>
        </w:tc>
        <w:tc>
          <w:tcPr>
            <w:tcW w:type="dxa" w:w="1380"/>
          </w:tcPr>
          <w:p>
            <w:pPr>
              <w:pStyle w:val="Compact"/>
              <w:spacing w:line="240" w:lineRule="auto" w:before="20" w:after="20"/>
              <w:ind w:firstLine="0"/>
              <w:jc w:val="right"/>
            </w:pPr>
            <w:r>
              <w:rPr>
                <w:rFonts w:ascii="Times New Roman" w:hAnsi="Times New Roman"/>
                <w:sz w:val="16"/>
              </w:rPr>
              <w:t>+775%</w:t>
            </w:r>
          </w:p>
        </w:tc>
      </w:tr>
      <w:tr>
        <w:trPr>
          <w:cantSplit/>
        </w:trPr>
        <w:tc>
          <w:tcPr>
            <w:tcW w:type="dxa" w:w="1774"/>
          </w:tcPr>
          <w:p>
            <w:pPr>
              <w:pStyle w:val="Compact"/>
              <w:spacing w:line="240" w:lineRule="auto" w:before="20" w:after="20"/>
              <w:ind w:firstLine="0"/>
              <w:jc w:val="left"/>
            </w:pPr>
            <w:r>
              <w:rPr>
                <w:rFonts w:ascii="Times New Roman" w:hAnsi="Times New Roman"/>
                <w:sz w:val="16"/>
              </w:rPr>
              <w:t xml:space="preserve">Sarandi</w:t>
            </w:r>
          </w:p>
        </w:tc>
        <w:tc>
          <w:tcPr>
            <w:tcW w:type="dxa" w:w="1380"/>
          </w:tcPr>
          <w:p>
            <w:pPr>
              <w:pStyle w:val="Compact"/>
              <w:spacing w:line="240" w:lineRule="auto" w:before="20" w:after="20"/>
              <w:ind w:firstLine="0"/>
              <w:jc w:val="right"/>
            </w:pPr>
            <w:r>
              <w:rPr>
                <w:rFonts w:ascii="Times New Roman" w:hAnsi="Times New Roman"/>
                <w:sz w:val="16"/>
              </w:rPr>
              <w:t>114,8</w:t>
            </w:r>
          </w:p>
        </w:tc>
        <w:tc>
          <w:tcPr>
            <w:tcW w:type="dxa" w:w="854"/>
          </w:tcPr>
          <w:p>
            <w:pPr>
              <w:pStyle w:val="Compact"/>
              <w:spacing w:line="240" w:lineRule="auto" w:before="20" w:after="20"/>
              <w:ind w:firstLine="0"/>
              <w:jc w:val="right"/>
            </w:pPr>
            <w:r>
              <w:rPr>
                <w:rFonts w:ascii="Times New Roman" w:hAnsi="Times New Roman"/>
                <w:sz w:val="16"/>
              </w:rPr>
              <w:t>473</w:t>
            </w:r>
          </w:p>
        </w:tc>
        <w:tc>
          <w:tcPr>
            <w:tcW w:type="dxa" w:w="854"/>
          </w:tcPr>
          <w:p>
            <w:pPr>
              <w:pStyle w:val="Compact"/>
              <w:spacing w:line="240" w:lineRule="auto" w:before="20" w:after="20"/>
              <w:ind w:firstLine="0"/>
              <w:jc w:val="right"/>
            </w:pPr>
            <w:r>
              <w:rPr>
                <w:rFonts w:ascii="Times New Roman" w:hAnsi="Times New Roman"/>
                <w:sz w:val="16"/>
              </w:rPr>
              <w:t>527</w:t>
            </w:r>
          </w:p>
        </w:tc>
        <w:tc>
          <w:tcPr>
            <w:tcW w:type="dxa" w:w="854"/>
          </w:tcPr>
          <w:p>
            <w:pPr>
              <w:pStyle w:val="Compact"/>
              <w:spacing w:line="240" w:lineRule="auto" w:before="20" w:after="20"/>
              <w:ind w:firstLine="0"/>
              <w:jc w:val="right"/>
            </w:pPr>
            <w:r>
              <w:rPr>
                <w:rFonts w:ascii="Times New Roman" w:hAnsi="Times New Roman"/>
                <w:sz w:val="16"/>
              </w:rPr>
              <w:t>624</w:t>
            </w:r>
          </w:p>
        </w:tc>
        <w:tc>
          <w:tcPr>
            <w:tcW w:type="dxa" w:w="986"/>
          </w:tcPr>
          <w:p>
            <w:pPr>
              <w:pStyle w:val="Compact"/>
              <w:spacing w:line="240" w:lineRule="auto" w:before="20" w:after="20"/>
              <w:ind w:firstLine="0"/>
              <w:jc w:val="right"/>
            </w:pPr>
            <w:r>
              <w:rPr>
                <w:rFonts w:ascii="Times New Roman" w:hAnsi="Times New Roman"/>
                <w:sz w:val="16"/>
              </w:rPr>
              <w:t>1.593</w:t>
            </w:r>
          </w:p>
        </w:tc>
        <w:tc>
          <w:tcPr>
            <w:tcW w:type="dxa" w:w="986"/>
          </w:tcPr>
          <w:p>
            <w:pPr>
              <w:pStyle w:val="Compact"/>
              <w:spacing w:line="240" w:lineRule="auto" w:before="20" w:after="20"/>
              <w:ind w:firstLine="0"/>
              <w:jc w:val="right"/>
            </w:pPr>
            <w:r>
              <w:rPr>
                <w:rFonts w:ascii="Times New Roman" w:hAnsi="Times New Roman"/>
                <w:sz w:val="16"/>
              </w:rPr>
              <w:t>4.836</w:t>
            </w:r>
          </w:p>
        </w:tc>
        <w:tc>
          <w:tcPr>
            <w:tcW w:type="dxa" w:w="1380"/>
          </w:tcPr>
          <w:p>
            <w:pPr>
              <w:pStyle w:val="Compact"/>
              <w:spacing w:line="240" w:lineRule="auto" w:before="20" w:after="20"/>
              <w:ind w:firstLine="0"/>
              <w:jc w:val="right"/>
            </w:pPr>
            <w:r>
              <w:rPr>
                <w:rFonts w:ascii="Times New Roman" w:hAnsi="Times New Roman"/>
                <w:sz w:val="16"/>
              </w:rPr>
              <w:t>+923%</w:t>
            </w:r>
          </w:p>
        </w:tc>
      </w:tr>
      <w:tr>
        <w:trPr>
          <w:cantSplit/>
        </w:trPr>
        <w:tc>
          <w:tcPr>
            <w:tcW w:type="dxa" w:w="1774"/>
            <w:shd w:val="clear" w:color="auto" w:fill="E7E6E6"/>
          </w:tcPr>
          <w:p>
            <w:pPr>
              <w:pStyle w:val="Compact"/>
              <w:spacing w:line="240" w:lineRule="auto" w:before="20" w:after="20"/>
              <w:ind w:firstLine="0"/>
              <w:jc w:val="left"/>
            </w:pPr>
            <w:r>
              <w:rPr>
                <w:rFonts w:ascii="Times New Roman" w:hAnsi="Times New Roman"/>
                <w:sz w:val="16"/>
              </w:rPr>
              <w:t>Razão máx./mín. – 399 municípios</w:t>
            </w:r>
            <w:r>
              <w:rPr>
                <w:rFonts w:ascii="Times New Roman" w:hAnsi="Times New Roman"/>
                <w:b/>
                <w:bCs/>
                <w:sz w:val="16"/>
              </w:rPr>
            </w:r>
          </w:p>
        </w:tc>
        <w:tc>
          <w:tcPr>
            <w:tcW w:type="dxa" w:w="1380"/>
            <w:shd w:val="clear" w:color="auto" w:fill="E7E6E6"/>
          </w:tcPr>
          <w:p>
            <w:pPr>
              <w:pStyle w:val="Compact"/>
              <w:spacing w:line="240" w:lineRule="auto" w:before="20" w:after="20"/>
              <w:ind w:firstLine="0"/>
            </w:pP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14,6</w:t>
            </w: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13,8</w:t>
            </w: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13,2</w:t>
            </w:r>
          </w:p>
        </w:tc>
        <w:tc>
          <w:tcPr>
            <w:tcW w:type="dxa" w:w="986"/>
            <w:shd w:val="clear" w:color="auto" w:fill="E7E6E6"/>
          </w:tcPr>
          <w:p>
            <w:pPr>
              <w:pStyle w:val="Compact"/>
              <w:spacing w:line="240" w:lineRule="auto" w:before="20" w:after="20"/>
              <w:ind w:firstLine="0"/>
              <w:jc w:val="right"/>
            </w:pPr>
            <w:r>
              <w:rPr>
                <w:rFonts w:ascii="Times New Roman" w:hAnsi="Times New Roman"/>
                <w:b/>
                <w:bCs/>
                <w:sz w:val="16"/>
              </w:rPr>
              <w:t>7,7</w:t>
            </w:r>
          </w:p>
        </w:tc>
        <w:tc>
          <w:tcPr>
            <w:tcW w:type="dxa" w:w="986"/>
            <w:shd w:val="clear" w:color="auto" w:fill="E7E6E6"/>
          </w:tcPr>
          <w:p>
            <w:pPr>
              <w:pStyle w:val="Compact"/>
              <w:spacing w:line="240" w:lineRule="auto" w:before="20" w:after="20"/>
              <w:ind w:firstLine="0"/>
              <w:jc w:val="right"/>
            </w:pPr>
            <w:r>
              <w:rPr>
                <w:rFonts w:ascii="Times New Roman" w:hAnsi="Times New Roman"/>
                <w:b/>
                <w:bCs/>
                <w:sz w:val="16"/>
              </w:rPr>
              <w:t>4,6</w:t>
            </w:r>
          </w:p>
        </w:tc>
        <w:tc>
          <w:tcPr>
            <w:tcW w:type="dxa" w:w="1380"/>
            <w:shd w:val="clear" w:color="auto" w:fill="E7E6E6"/>
          </w:tcPr>
          <w:p>
            <w:pPr>
              <w:pStyle w:val="Compact"/>
              <w:spacing w:line="240" w:lineRule="auto" w:before="20" w:after="20"/>
              <w:ind w:firstLine="0"/>
            </w:pPr>
          </w:p>
        </w:tc>
      </w:tr>
      <w:tr>
        <w:trPr>
          <w:cantSplit/>
        </w:trPr>
        <w:tc>
          <w:tcPr>
            <w:tcW w:type="dxa" w:w="1774"/>
            <w:shd w:val="clear" w:color="auto" w:fill="E7E6E6"/>
          </w:tcPr>
          <w:p>
            <w:pPr>
              <w:pStyle w:val="Compact"/>
              <w:spacing w:line="240" w:lineRule="auto" w:before="20" w:after="20"/>
              <w:ind w:firstLine="0"/>
              <w:jc w:val="left"/>
            </w:pPr>
            <w:r>
              <w:rPr>
                <w:rFonts w:ascii="Times New Roman" w:hAnsi="Times New Roman"/>
                <w:sz w:val="16"/>
              </w:rPr>
              <w:t>Índice de Gini – 399 municípios</w:t>
            </w:r>
            <w:r>
              <w:rPr>
                <w:rFonts w:ascii="Times New Roman" w:hAnsi="Times New Roman"/>
                <w:b/>
                <w:bCs/>
                <w:sz w:val="16"/>
              </w:rPr>
            </w:r>
          </w:p>
        </w:tc>
        <w:tc>
          <w:tcPr>
            <w:tcW w:type="dxa" w:w="1380"/>
            <w:shd w:val="clear" w:color="auto" w:fill="E7E6E6"/>
          </w:tcPr>
          <w:p>
            <w:pPr>
              <w:pStyle w:val="Compact"/>
              <w:spacing w:line="240" w:lineRule="auto" w:before="20" w:after="20"/>
              <w:ind w:firstLine="0"/>
            </w:pP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0,232</w:t>
            </w: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0,229</w:t>
            </w:r>
          </w:p>
        </w:tc>
        <w:tc>
          <w:tcPr>
            <w:tcW w:type="dxa" w:w="854"/>
            <w:shd w:val="clear" w:color="auto" w:fill="E7E6E6"/>
          </w:tcPr>
          <w:p>
            <w:pPr>
              <w:pStyle w:val="Compact"/>
              <w:spacing w:line="240" w:lineRule="auto" w:before="20" w:after="20"/>
              <w:ind w:firstLine="0"/>
              <w:jc w:val="right"/>
            </w:pPr>
            <w:r>
              <w:rPr>
                <w:rFonts w:ascii="Times New Roman" w:hAnsi="Times New Roman"/>
                <w:b/>
                <w:bCs/>
                <w:sz w:val="16"/>
              </w:rPr>
              <w:t>0,222</w:t>
            </w:r>
          </w:p>
        </w:tc>
        <w:tc>
          <w:tcPr>
            <w:tcW w:type="dxa" w:w="986"/>
            <w:shd w:val="clear" w:color="auto" w:fill="E7E6E6"/>
          </w:tcPr>
          <w:p>
            <w:pPr>
              <w:pStyle w:val="Compact"/>
              <w:spacing w:line="240" w:lineRule="auto" w:before="20" w:after="20"/>
              <w:ind w:firstLine="0"/>
              <w:jc w:val="right"/>
            </w:pPr>
            <w:r>
              <w:rPr>
                <w:rFonts w:ascii="Times New Roman" w:hAnsi="Times New Roman"/>
                <w:b/>
                <w:bCs/>
                <w:sz w:val="16"/>
              </w:rPr>
              <w:t>0,167</w:t>
            </w:r>
          </w:p>
        </w:tc>
        <w:tc>
          <w:tcPr>
            <w:tcW w:type="dxa" w:w="986"/>
            <w:shd w:val="clear" w:color="auto" w:fill="E7E6E6"/>
          </w:tcPr>
          <w:p>
            <w:pPr>
              <w:pStyle w:val="Compact"/>
              <w:spacing w:line="240" w:lineRule="auto" w:before="20" w:after="20"/>
              <w:ind w:firstLine="0"/>
              <w:jc w:val="right"/>
            </w:pPr>
            <w:r>
              <w:rPr>
                <w:rFonts w:ascii="Times New Roman" w:hAnsi="Times New Roman"/>
                <w:b/>
                <w:bCs/>
                <w:sz w:val="16"/>
              </w:rPr>
              <w:t>0,112</w:t>
            </w:r>
          </w:p>
        </w:tc>
        <w:tc>
          <w:tcPr>
            <w:tcW w:type="dxa" w:w="1380"/>
            <w:shd w:val="clear" w:color="auto" w:fill="E7E6E6"/>
          </w:tcPr>
          <w:p>
            <w:pPr>
              <w:pStyle w:val="Compact"/>
              <w:spacing w:line="240" w:lineRule="auto" w:before="20" w:after="20"/>
              <w:ind w:firstLine="0"/>
            </w:pPr>
          </w:p>
        </w:tc>
      </w:tr>
    </w:tbl>
    <w:bookmarkEnd w:id="78"/>
    <w:p>
      <w:pPr>
        <w:pStyle w:val="BodyText"/>
        <w:spacing w:line="240" w:lineRule="auto" w:before="40" w:after="0"/>
        <w:ind w:firstLine="0"/>
        <w:jc w:val="both"/>
      </w:pPr>
      <w:r>
        <w:rPr>
          <w:rFonts w:ascii="Times New Roman" w:hAnsi="Times New Roman"/>
          <w:i/>
          <w:iCs/>
          <w:sz w:val="18"/>
        </w:rPr>
        <w:t>Nota: Receita per capita em R$ de 2025, reunindo o ICMS ou ISS remanescente, o IBS pelo componente histórico e pelo destino, o Seguro-Receita e a dedução do CGIBS, com população média fixa em todo o período. A razão máx./mín. e o índice de Gini referem-se aos 399 municípios; excluídos os 31 com ISS incompleto, os resultados mudam pouco (razão de 13,5 para 4,6; Gini de 0,228 para 0,111). Mato Rico, com pendência de validação do ISS, aparece entre os maiores valores de 2025.</w:t>
      </w:r>
      <w:r>
        <w:rPr>
          <w:rFonts w:ascii="Times New Roman" w:hAnsi="Times New Roman"/>
          <w:sz w:val="18"/>
        </w:rPr>
      </w:r>
      <w:r>
        <w:rPr>
          <w:rFonts w:ascii="Times New Roman" w:hAnsi="Times New Roman"/>
          <w:sz w:val="18"/>
        </w:rPr>
      </w:r>
    </w:p>
    <w:p>
      <w:pPr>
        <w:pStyle w:val="BodyText"/>
        <w:spacing w:line="240" w:lineRule="auto" w:before="40" w:after="200"/>
        <w:ind w:firstLine="0"/>
        <w:jc w:val="both"/>
      </w:pPr>
      <w:r>
        <w:rPr>
          <w:rFonts w:ascii="Times New Roman" w:hAnsi="Times New Roman"/>
          <w:i/>
          <w:iCs/>
          <w:sz w:val="18"/>
        </w:rPr>
        <w:t xml:space="preserve">Fonte:</w:t>
      </w:r>
      <w:r>
        <w:rPr>
          <w:rFonts w:ascii="Times New Roman" w:hAnsi="Times New Roman"/>
          <w:sz w:val="18"/>
        </w:rPr>
        <w:t xml:space="preserve"> </w:t>
      </w:r>
      <w:r>
        <w:rPr>
          <w:rFonts w:ascii="Times New Roman" w:hAnsi="Times New Roman"/>
          <w:sz w:val="18"/>
        </w:rPr>
        <w:t xml:space="preserve">Elaboração própria, a partir da base consolidada e auditada de projeções.</w:t>
      </w:r>
    </w:p>
    <w:bookmarkEnd w:id="79"/>
    <w:sectPr>
      <w:footerReference w:type="default" r:id="rId10"/>
      <w:footnotePr>
        <w:numRestart w:val="eachSect"/>
      </w:footnotePr>
      <w:pgSz w:w="11906" w:h="16838"/>
      <w:pgMar w:top="1701" w:left="1701" w:bottom="1134" w:right="113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120" w:before="0" w:line="276" w:lineRule="auto"/>
      <w:ind w:firstLine="0"/>
      <w:jc w:val="both"/>
    </w:pPr>
    <w:rPr>
      <w:rFonts w:ascii="Times New Roman" w:cs="Times New Roman" w:eastAsia="Times New Roman" w:hAnsi="Times New Roman"/>
      <w:color w:val="000000"/>
      <w:sz w:val="24"/>
    </w:rPr>
  </w:style>
  <w:style w:styleId="BodyText" w:type="paragraph">
    <w:name w:val="Body Text"/>
    <w:basedOn w:val="Normal"/>
    <w:link w:val="BodyTextChar"/>
    <w:qFormat/>
    <w:pPr>
      <w:keepNext w:val="0"/>
      <w:spacing w:after="120" w:before="0" w:line="276" w:lineRule="auto"/>
      <w:ind w:firstLine="709"/>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keepNext w:val="0"/>
      <w:spacing w:after="120" w:before="0" w:line="276"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keepNext w:val="0"/>
      <w:spacing w:after="0" w:before="0" w:line="240" w:lineRule="auto"/>
      <w:ind w:firstLine="0"/>
      <w:jc w:val="left"/>
    </w:pPr>
    <w:rPr>
      <w:rFonts w:ascii="Times New Roman" w:cs="Times New Roman" w:eastAsia="Times New Roman" w:hAnsi="Times New Roman"/>
      <w:color w:val="000000"/>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ind w:firstLine="0"/>
      <w:jc w:val="left"/>
      <w:outlineLvl w:val="0"/>
    </w:pPr>
    <w:rPr>
      <w:rFonts w:ascii="Times New Roman" w:cs="Times New Roman" w:cstheme="majorBidi" w:eastAsia="Times New Roman" w:hAnsi="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ind w:firstLine="0"/>
      <w:jc w:val="left"/>
      <w:outlineLvl w:val="1"/>
    </w:pPr>
    <w:rPr>
      <w:rFonts w:ascii="Times New Roman" w:cs="Times New Roman" w:cstheme="majorBidi" w:eastAsia="Times New Roman" w:hAnsi="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ind w:firstLine="0"/>
      <w:jc w:val="left"/>
      <w:outlineLvl w:val="2"/>
    </w:pPr>
    <w:rPr>
      <w:rFonts w:ascii="Times New Roman" w:cs="Times New Roman" w:cstheme="majorBidi" w:eastAsia="Times New Roman" w:hAnsi="Times New Roman"/>
      <w:b/>
      <w:i/>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80" w:before="240" w:line="240" w:lineRule="auto"/>
      <w:ind w:firstLine="0"/>
      <w:jc w:val="left"/>
    </w:pPr>
    <w:rPr>
      <w:rFonts w:ascii="Times New Roman" w:cs="Times New Roman" w:eastAsia="Times New Roman" w:hAnsi="Times New Roman"/>
      <w:b w:val="0"/>
      <w:i w:val="0"/>
      <w:color w:val="000000"/>
      <w:sz w:val="20"/>
    </w:rPr>
  </w:style>
  <w:style w:customStyle="1" w:styleId="TableCaption" w:type="paragraph">
    <w:name w:val="Table Caption"/>
    <w:basedOn w:val="Caption"/>
    <w:pPr>
      <w:keepNext/>
      <w:spacing w:after="80" w:before="240" w:line="240" w:lineRule="auto"/>
      <w:ind w:firstLine="0"/>
      <w:jc w:val="left"/>
    </w:pPr>
    <w:rPr>
      <w:rFonts w:ascii="Times New Roman" w:cs="Times New Roman" w:eastAsia="Times New Roman" w:hAnsi="Times New Roman"/>
      <w:b w:val="0"/>
      <w:i w:val="0"/>
      <w:color w:val="000000"/>
      <w:sz w:val="20"/>
    </w:rPr>
  </w:style>
  <w:style w:customStyle="1" w:styleId="ImageCaption" w:type="paragraph">
    <w:name w:val="Image Caption"/>
    <w:basedOn w:val="Caption"/>
    <w:pPr>
      <w:keepNext w:val="0"/>
      <w:spacing w:after="80" w:before="240" w:line="240" w:lineRule="auto"/>
      <w:ind w:firstLine="0"/>
      <w:jc w:val="left"/>
    </w:pPr>
    <w:rPr>
      <w:rFonts w:ascii="Times New Roman" w:cs="Times New Roman" w:eastAsia="Times New Roman" w:hAnsi="Times New Roman"/>
      <w:b w:val="0"/>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3" Type="http://schemas.openxmlformats.org/officeDocument/2006/relationships/image" Target="media/rId33.png"/><Relationship Id="rId64" Type="http://schemas.openxmlformats.org/officeDocument/2006/relationships/image" Target="media/rId64.png"/><Relationship Id="rId61" Type="http://schemas.openxmlformats.org/officeDocument/2006/relationships/image" Target="media/rId61.png"/><Relationship Id="rId21" Type="http://schemas.openxmlformats.org/officeDocument/2006/relationships/image" Target="media/rId21.png"/><Relationship Id="rId49" Type="http://schemas.openxmlformats.org/officeDocument/2006/relationships/hyperlink" Target="https://ftp.ibge.gov.br/Estimativas_de_Populacao/" TargetMode="External"/><Relationship Id="rId53" Type="http://schemas.openxmlformats.org/officeDocument/2006/relationships/hyperlink" Target="https://ipardes.emnuvens.com.br/revistaparanaense/article/view/203" TargetMode="External"/><Relationship Id="rId42" Type="http://schemas.openxmlformats.org/officeDocument/2006/relationships/hyperlink" Target="https://ipardes.emnuvens.com.br/revistaparanaense/article/view/23" TargetMode="External"/><Relationship Id="rId57" Type="http://schemas.openxmlformats.org/officeDocument/2006/relationships/hyperlink" Target="https://pit.tce.pr.gov.br/Arquivos/Repasses-Receitas.html" TargetMode="External"/><Relationship Id="rId56" Type="http://schemas.openxmlformats.org/officeDocument/2006/relationships/hyperlink" Target="https://siconfi.tesouro.gov.br/" TargetMode="External"/><Relationship Id="rId41" Type="http://schemas.openxmlformats.org/officeDocument/2006/relationships/hyperlink" Target="https://www.bcb.gov.br/publicacoes/focus" TargetMode="External"/><Relationship Id="rId48" Type="http://schemas.openxmlformats.org/officeDocument/2006/relationships/hyperlink" Target="https://www.ibge.gov.br/estatisticas/sociais/populacao/22827-censo-demografico-2022.html" TargetMode="External"/><Relationship Id="rId50" Type="http://schemas.openxmlformats.org/officeDocument/2006/relationships/hyperlink" Target="https://www.ibge.gov.br/estatisticas/sociais/populacao/24786-pesquisa-de-orcamentos-familiares-2.html" TargetMode="External"/><Relationship Id="rId51" Type="http://schemas.openxmlformats.org/officeDocument/2006/relationships/hyperlink" Target="https://www.ibge.gov.br/estatisticas/sociais/trabalho/22827-censo-demografico-2022.html" TargetMode="External"/><Relationship Id="rId46" Type="http://schemas.openxmlformats.org/officeDocument/2006/relationships/hyperlink" Target="https://www.imf.org/external/pubs/nft/2001/VAT/" TargetMode="External"/><Relationship Id="rId47" Type="http://schemas.openxmlformats.org/officeDocument/2006/relationships/hyperlink" Target="https://www.ipea.gov.br/cartadeconjuntura/wp-content/uploads/2023/08/230828_reforma_tributaria_cc_60_nota_18.pdf" TargetMode="External"/><Relationship Id="rId55" Type="http://schemas.openxmlformats.org/officeDocument/2006/relationships/hyperlink" Target="https://www.joserobertoafonso.com.br/wp-content/uploads/2025/08/A_DIMENSAO_FEDERATIVA_DA_REFORMA_TRIBUTARIA.pdf" TargetMode="External"/><Relationship Id="rId43" Type="http://schemas.openxmlformats.org/officeDocument/2006/relationships/hyperlink" Target="https://www.planalto.gov.br/ccivil_03/constituicao/emendas/emc/emc132.htm" TargetMode="External"/><Relationship Id="rId44" Type="http://schemas.openxmlformats.org/officeDocument/2006/relationships/hyperlink" Target="https://www.planalto.gov.br/ccivil_03/leis/lcp/lcp214.htm" TargetMode="External"/><Relationship Id="rId45" Type="http://schemas.openxmlformats.org/officeDocument/2006/relationships/hyperlink" Target="https://www.planalto.gov.br/ccivil_03/leis/lcp/lcp227.htm" TargetMode="External"/><Relationship Id="rId54" Type="http://schemas.openxmlformats.org/officeDocument/2006/relationships/hyperlink" Target="https://www.transparencia.pr.gov.br/" TargetMode="External"/><Relationship Id="rId52" Type="http://schemas.openxmlformats.org/officeDocument/2006/relationships/hyperlink" Target="https://www2.senado.leg.br/bdsf/bitstream/handle/id/816727/RAF107_DEZ2025.pdf" TargetMode="Externa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www.aeaweb.org/articles?id=10.1257/jel.37.3.1120" TargetMode="External"/><Relationship Id="rId12" Type="http://schemas.openxmlformats.org/officeDocument/2006/relationships/hyperlink" Target="https://www.usp.br/nereus/wp-content/uploads/TD_NEREUS_08_2023.pdf" TargetMode="External"/><Relationship Id="rId13" Type="http://schemas.openxmlformats.org/officeDocument/2006/relationships/hyperlink" Target="https://www.sciencedirect.com/science/article/abs/pii/S016518892400054X" TargetMode="External"/><Relationship Id="rId14" Type="http://schemas.openxmlformats.org/officeDocument/2006/relationships/hyperlink" Target="https://www.oecd.org/en/publications/international-vat-gst-guidelines_9789264271401-en.html" TargetMode="External"/><Relationship Id="rId15" Type="http://schemas.openxmlformats.org/officeDocument/2006/relationships/hyperlink" Target="https://publicacoes.tesouro.gov.br/index.php/cadernos/article/view/131" TargetMode="External"/><Relationship Id="rId16" Type="http://schemas.openxmlformats.org/officeDocument/2006/relationships/hyperlink" Target="https://www.imf.org/en/publications/wp/issues/2025/12/19/brazil-s-vat-reform-ensuring-revenue-neutrality-572700" TargetMode="External"/><Relationship Id="rId17" Type="http://schemas.openxmlformats.org/officeDocument/2006/relationships/hyperlink" Target="https://revistas.usp.br/ee/pt_BR/article/view/158775" TargetMode="External"/><Relationship Id="rId18" Type="http://schemas.openxmlformats.org/officeDocument/2006/relationships/hyperlink" Target="https://revista.tcu.gov.br/ojs/index.php/RTCU/article/view/1929"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ftp.ibge.gov.br/Estimativas_de_Populacao/" TargetMode="External"/><Relationship Id="rId53" Type="http://schemas.openxmlformats.org/officeDocument/2006/relationships/hyperlink" Target="https://ipardes.emnuvens.com.br/revistaparanaense/article/view/203" TargetMode="External"/><Relationship Id="rId42" Type="http://schemas.openxmlformats.org/officeDocument/2006/relationships/hyperlink" Target="https://ipardes.emnuvens.com.br/revistaparanaense/article/view/23" TargetMode="External"/><Relationship Id="rId57" Type="http://schemas.openxmlformats.org/officeDocument/2006/relationships/hyperlink" Target="https://pit.tce.pr.gov.br/Arquivos/Repasses-Receitas.html" TargetMode="External"/><Relationship Id="rId56" Type="http://schemas.openxmlformats.org/officeDocument/2006/relationships/hyperlink" Target="https://siconfi.tesouro.gov.br/" TargetMode="External"/><Relationship Id="rId41" Type="http://schemas.openxmlformats.org/officeDocument/2006/relationships/hyperlink" Target="https://www.bcb.gov.br/publicacoes/focus" TargetMode="External"/><Relationship Id="rId48" Type="http://schemas.openxmlformats.org/officeDocument/2006/relationships/hyperlink" Target="https://www.ibge.gov.br/estatisticas/sociais/populacao/22827-censo-demografico-2022.html" TargetMode="External"/><Relationship Id="rId50" Type="http://schemas.openxmlformats.org/officeDocument/2006/relationships/hyperlink" Target="https://www.ibge.gov.br/estatisticas/sociais/populacao/24786-pesquisa-de-orcamentos-familiares-2.html" TargetMode="External"/><Relationship Id="rId51" Type="http://schemas.openxmlformats.org/officeDocument/2006/relationships/hyperlink" Target="https://www.ibge.gov.br/estatisticas/sociais/trabalho/22827-censo-demografico-2022.html" TargetMode="External"/><Relationship Id="rId46" Type="http://schemas.openxmlformats.org/officeDocument/2006/relationships/hyperlink" Target="https://www.imf.org/external/pubs/nft/2001/VAT/" TargetMode="External"/><Relationship Id="rId47" Type="http://schemas.openxmlformats.org/officeDocument/2006/relationships/hyperlink" Target="https://www.ipea.gov.br/cartadeconjuntura/wp-content/uploads/2023/08/230828_reforma_tributaria_cc_60_nota_18.pdf" TargetMode="External"/><Relationship Id="rId55" Type="http://schemas.openxmlformats.org/officeDocument/2006/relationships/hyperlink" Target="https://www.joserobertoafonso.com.br/wp-content/uploads/2025/08/A_DIMENSAO_FEDERATIVA_DA_REFORMA_TRIBUTARIA.pdf" TargetMode="External"/><Relationship Id="rId43" Type="http://schemas.openxmlformats.org/officeDocument/2006/relationships/hyperlink" Target="https://www.planalto.gov.br/ccivil_03/constituicao/emendas/emc/emc132.htm" TargetMode="External"/><Relationship Id="rId44" Type="http://schemas.openxmlformats.org/officeDocument/2006/relationships/hyperlink" Target="https://www.planalto.gov.br/ccivil_03/leis/lcp/lcp214.htm" TargetMode="External"/><Relationship Id="rId45" Type="http://schemas.openxmlformats.org/officeDocument/2006/relationships/hyperlink" Target="https://www.planalto.gov.br/ccivil_03/leis/lcp/lcp227.htm" TargetMode="External"/><Relationship Id="rId54" Type="http://schemas.openxmlformats.org/officeDocument/2006/relationships/hyperlink" Target="https://www.transparencia.pr.gov.br/" TargetMode="External"/><Relationship Id="rId52" Type="http://schemas.openxmlformats.org/officeDocument/2006/relationships/hyperlink" Target="https://www2.senado.leg.br/bdsf/bitstream/handle/id/816727/RAF107_DEZ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2026-10-01T02:49:09Z</dcterms:created>
  <dcterms:modified xsi:type="dcterms:W3CDTF">2026-10-01T02:49:09Z</dcterms:modified>
  <cp:lastModifiedBy/>
  <dc:description/>
  <dc:subject/>
  <cp:category/>
</cp:coreProperties>
</file>

<file path=docProps/custom.xml><?xml version="1.0" encoding="utf-8"?>
<Properties xmlns="http://schemas.openxmlformats.org/officeDocument/2006/custom-properties" xmlns:vt="http://schemas.openxmlformats.org/officeDocument/2006/docPropsVTypes"/>
</file>