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2"/>
        </w:rPr>
        <w:t xml:space="preserve">Tabela 6 – </w:t>
      </w:r>
      <w:r>
        <w:rPr>
          <w:sz w:val="22"/>
        </w:rPr>
        <w:t>Projeção da receita tributária estadual (ICMS/IBS) do Paraná, 2029–2033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624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sz w:val="18"/>
              </w:rPr>
              <w:t>Ano</w:t>
            </w:r>
          </w:p>
        </w:tc>
        <w:tc>
          <w:tcPr>
            <w:tcW w:type="dxa" w:w="850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Ref.</w:t>
            </w:r>
          </w:p>
        </w:tc>
        <w:tc>
          <w:tcPr>
            <w:tcW w:type="dxa" w:w="2522"/>
            <w:gridSpan w:val="3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sz w:val="18"/>
              </w:rPr>
              <w:t>Estimativa própria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Composto POF/Censo/PNAD</w:t>
            </w:r>
          </w:p>
        </w:tc>
        <w:tc>
          <w:tcPr>
            <w:tcW w:type="dxa" w:w="2522"/>
            <w:gridSpan w:val="3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sz w:val="18"/>
              </w:rPr>
              <w:t>Neutro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destino = origem</w:t>
            </w:r>
          </w:p>
        </w:tc>
        <w:tc>
          <w:tcPr>
            <w:tcW w:type="dxa" w:w="2522"/>
            <w:gridSpan w:val="3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sz w:val="18"/>
              </w:rPr>
              <w:t>Gobetti e Monteiro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IPEA, 2023</w:t>
            </w:r>
          </w:p>
        </w:tc>
      </w:tr>
      <w:tr>
        <w:tc>
          <w:tcPr>
            <w:tcW w:type="dxa" w:w="624"/>
            <w:vMerge/>
            <w:tcBorders>
              <w:bottom w:val="single" w:sz="6"/>
            </w:tcBorders>
          </w:tcPr>
          <w:p/>
        </w:tc>
        <w:tc>
          <w:tcPr>
            <w:tcW w:type="dxa" w:w="850"/>
            <w:vMerge/>
            <w:tcBorders>
              <w:bottom w:val="single" w:sz="6"/>
            </w:tcBorders>
          </w:tcPr>
          <w:p/>
        </w:tc>
        <w:tc>
          <w:tcPr>
            <w:tcW w:type="dxa" w:w="850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R$ bi</w:t>
            </w:r>
          </w:p>
        </w:tc>
        <w:tc>
          <w:tcPr>
            <w:tcW w:type="dxa" w:w="765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Δ%</w:t>
            </w:r>
          </w:p>
        </w:tc>
        <w:tc>
          <w:tcPr>
            <w:tcW w:type="dxa" w:w="90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 R$ mi</w:t>
            </w:r>
          </w:p>
        </w:tc>
        <w:tc>
          <w:tcPr>
            <w:tcW w:type="dxa" w:w="850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R$ bi</w:t>
            </w:r>
          </w:p>
        </w:tc>
        <w:tc>
          <w:tcPr>
            <w:tcW w:type="dxa" w:w="765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Δ%</w:t>
            </w:r>
          </w:p>
        </w:tc>
        <w:tc>
          <w:tcPr>
            <w:tcW w:type="dxa" w:w="90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 R$ mi</w:t>
            </w:r>
          </w:p>
        </w:tc>
        <w:tc>
          <w:tcPr>
            <w:tcW w:type="dxa" w:w="850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R$ bi</w:t>
            </w:r>
          </w:p>
        </w:tc>
        <w:tc>
          <w:tcPr>
            <w:tcW w:type="dxa" w:w="765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Δ%</w:t>
            </w:r>
          </w:p>
        </w:tc>
        <w:tc>
          <w:tcPr>
            <w:tcW w:type="dxa" w:w="90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Δ R$ mi</w:t>
            </w:r>
          </w:p>
        </w:tc>
      </w:tr>
      <w:tr>
        <w:tc>
          <w:tcPr>
            <w:tcW w:type="dxa" w:w="624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2029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43,31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43,26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−0,1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−52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43,22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−0,2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−91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43,31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−0,0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</w:t>
            </w:r>
          </w:p>
        </w:tc>
      </w:tr>
      <w:tr>
        <w:tc>
          <w:tcPr>
            <w:tcW w:type="dxa" w:w="624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2030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44,18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44,16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−0,0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−16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44,08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−0,2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−98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44,26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+0,2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+83</w:t>
            </w:r>
          </w:p>
        </w:tc>
      </w:tr>
      <w:tr>
        <w:tc>
          <w:tcPr>
            <w:tcW w:type="dxa" w:w="624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2031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45,15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45,17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+0,0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+20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45,05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−0,2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−106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45,33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+0,4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+173</w:t>
            </w:r>
          </w:p>
        </w:tc>
      </w:tr>
      <w:tr>
        <w:tc>
          <w:tcPr>
            <w:tcW w:type="dxa" w:w="624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2032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46,15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46,20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+0,1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+59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46,03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−0,2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−113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46,41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+0,6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+268</w:t>
            </w:r>
          </w:p>
        </w:tc>
      </w:tr>
      <w:tr>
        <w:tc>
          <w:tcPr>
            <w:tcW w:type="dxa" w:w="624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2033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47,16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47,52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+0,8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+361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47,30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+141</w:t>
            </w:r>
          </w:p>
        </w:tc>
        <w:tc>
          <w:tcPr>
            <w:tcW w:type="dxa" w:w="850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47,79</w:t>
            </w:r>
          </w:p>
        </w:tc>
        <w:tc>
          <w:tcPr>
            <w:tcW w:type="dxa" w:w="765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+1,3</w:t>
            </w:r>
          </w:p>
        </w:tc>
        <w:tc>
          <w:tcPr>
            <w:tcW w:type="dxa" w:w="90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+629</w:t>
            </w:r>
          </w:p>
        </w:tc>
      </w:tr>
      <w:tr>
        <w:tc>
          <w:tcPr>
            <w:tcW w:type="dxa" w:w="624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sz w:val="18"/>
              </w:rPr>
              <w:t>Acum.</w:t>
            </w:r>
          </w:p>
        </w:tc>
        <w:tc>
          <w:tcPr>
            <w:tcW w:type="dxa" w:w="850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50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+0,37</w:t>
            </w:r>
          </w:p>
        </w:tc>
        <w:tc>
          <w:tcPr>
            <w:tcW w:type="dxa" w:w="765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+373</w:t>
            </w:r>
          </w:p>
        </w:tc>
        <w:tc>
          <w:tcPr>
            <w:tcW w:type="dxa" w:w="850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−0,27</w:t>
            </w:r>
          </w:p>
        </w:tc>
        <w:tc>
          <w:tcPr>
            <w:tcW w:type="dxa" w:w="765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−266</w:t>
            </w:r>
          </w:p>
        </w:tc>
        <w:tc>
          <w:tcPr>
            <w:tcW w:type="dxa" w:w="850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+1,15</w:t>
            </w:r>
          </w:p>
        </w:tc>
        <w:tc>
          <w:tcPr>
            <w:tcW w:type="dxa" w:w="765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tcBorders>
              <w:top w:val="single" w:sz="6"/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+1.151</w:t>
            </w:r>
          </w:p>
        </w:tc>
      </w:tr>
    </w:tbl>
    <w:p>
      <w:pPr>
        <w:spacing w:before="80"/>
      </w:pPr>
      <w:r>
        <w:rPr>
          <w:i w:val="0"/>
          <w:sz w:val="16"/>
        </w:rPr>
        <w:t>Nota: Ref. é a receita estadual projetada sem a reforma (participação neutra de 2025 do ente estadual, ICMS + FECOP, líquido de cota-parte, aplicada à receita de referência nacional de cada ano, em R$ bilhões de 2025). Δ% e Δ R$ mi comparam a receita projetada com a referência do mesmo ano; Acum. soma os cinco anos. Os cenários diferem apenas na fonte do coeficiente de destino: estimativa própria (composto de POF, Censo e PNAD Contínua); neutro (destino igual à participação de origem, referência e não previsão; o histórico de transição continua valendo); e Gobetti e Monteiro (2023, Tabela 1). O Paraná não recebe repasse do Seguro-Receita na esfera estadual.</w:t>
      </w:r>
    </w:p>
    <w:p>
      <w:r>
        <w:rPr>
          <w:sz w:val="16"/>
        </w:rPr>
        <w:t>Fonte: SICONFI/STN; EC n.º 132/2023; LC n.º 214/2025; LC n.º 227/2026; Gobetti e Monteiro (2023). Elaboração própria.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