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20"/>
        </w:rPr>
        <w:t>Tabela 1 – Receita per capita de ISS e cota-parte do ICMS (2025) e do IBS municipal (2029-2077) nos municípios paranaenses de maior e menor valor em 2025, com medidas de dispersão (R$ de 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2438"/>
            <w:vMerge w:val="restart"/>
            <w:tcBorders>
              <w:top w:val="single" w:sz="12"/>
            </w:tcBorders>
          </w:tcPr>
          <w:p>
            <w:pPr>
              <w:spacing w:after="0" w:before="20"/>
              <w:jc w:val="left"/>
            </w:pPr>
            <w:r/>
            <w:r>
              <w:rPr>
                <w:b/>
                <w:i w:val="0"/>
                <w:sz w:val="18"/>
              </w:rPr>
              <w:t>Município</w:t>
            </w:r>
          </w:p>
        </w:tc>
        <w:tc>
          <w:tcPr>
            <w:tcW w:type="dxa" w:w="1077"/>
            <w:vMerge w:val="restart"/>
            <w:tcBorders>
              <w:top w:val="single" w:sz="12"/>
            </w:tcBorders>
          </w:tcPr>
          <w:p>
            <w:pPr>
              <w:spacing w:after="0" w:before="20"/>
              <w:jc w:val="center"/>
            </w:pPr>
            <w:r/>
            <w:r>
              <w:rPr>
                <w:b/>
                <w:i w:val="0"/>
                <w:sz w:val="18"/>
              </w:rPr>
              <w:t>População</w:t>
            </w:r>
          </w:p>
        </w:tc>
        <w:tc>
          <w:tcPr>
            <w:tcW w:type="dxa" w:w="4960"/>
            <w:gridSpan w:val="5"/>
            <w:tcBorders>
              <w:bottom w:val="single" w:sz="4"/>
              <w:top w:val="single" w:sz="12"/>
            </w:tcBorders>
          </w:tcPr>
          <w:p>
            <w:pPr>
              <w:spacing w:after="0" w:before="20"/>
              <w:jc w:val="center"/>
            </w:pPr>
            <w:r/>
            <w:r>
              <w:rPr>
                <w:b/>
                <w:i w:val="0"/>
                <w:sz w:val="18"/>
              </w:rPr>
              <w:t>Receita per capita (R$)</w:t>
            </w:r>
          </w:p>
        </w:tc>
        <w:tc>
          <w:tcPr>
            <w:tcW w:type="dxa" w:w="1162"/>
            <w:vMerge w:val="restart"/>
            <w:tcBorders>
              <w:top w:val="single" w:sz="12"/>
            </w:tcBorders>
          </w:tcPr>
          <w:p>
            <w:pPr>
              <w:spacing w:after="0" w:before="20"/>
              <w:jc w:val="center"/>
            </w:pPr>
            <w:r/>
            <w:r>
              <w:rPr>
                <w:b/>
                <w:i w:val="0"/>
                <w:sz w:val="18"/>
              </w:rPr>
              <w:t>Variação</w:t>
              <w:br/>
              <w:t>2025-2077</w:t>
            </w:r>
          </w:p>
        </w:tc>
      </w:tr>
      <w:tr>
        <w:tc>
          <w:tcPr>
            <w:tcW w:type="dxa" w:w="2438"/>
            <w:vMerge/>
            <w:tcBorders>
              <w:bottom w:val="single" w:sz="6"/>
            </w:tcBorders>
          </w:tcPr>
          <w:p/>
        </w:tc>
        <w:tc>
          <w:tcPr>
            <w:tcW w:type="dxa" w:w="1077"/>
            <w:vMerge/>
            <w:tcBorders>
              <w:bottom w:val="single" w:sz="6"/>
            </w:tcBorders>
          </w:tcPr>
          <w:p/>
        </w:tc>
        <w:tc>
          <w:tcPr>
            <w:tcW w:type="dxa" w:w="992"/>
            <w:tcBorders>
              <w:bottom w:val="single" w:sz="6"/>
            </w:tcBorders>
          </w:tcPr>
          <w:p>
            <w:pPr>
              <w:spacing w:after="0" w:before="20"/>
              <w:jc w:val="center"/>
            </w:pPr>
            <w:r/>
            <w:r>
              <w:rPr>
                <w:b/>
                <w:i w:val="0"/>
                <w:sz w:val="18"/>
              </w:rPr>
              <w:t>2025</w:t>
            </w:r>
          </w:p>
        </w:tc>
        <w:tc>
          <w:tcPr>
            <w:tcW w:type="dxa" w:w="992"/>
            <w:tcBorders>
              <w:bottom w:val="single" w:sz="6"/>
            </w:tcBorders>
          </w:tcPr>
          <w:p>
            <w:pPr>
              <w:spacing w:after="0" w:before="20"/>
              <w:jc w:val="center"/>
            </w:pPr>
            <w:r/>
            <w:r>
              <w:rPr>
                <w:b/>
                <w:i w:val="0"/>
                <w:sz w:val="18"/>
              </w:rPr>
              <w:t>2029</w:t>
            </w:r>
          </w:p>
        </w:tc>
        <w:tc>
          <w:tcPr>
            <w:tcW w:type="dxa" w:w="992"/>
            <w:tcBorders>
              <w:bottom w:val="single" w:sz="6"/>
            </w:tcBorders>
          </w:tcPr>
          <w:p>
            <w:pPr>
              <w:spacing w:after="0" w:before="20"/>
              <w:jc w:val="center"/>
            </w:pPr>
            <w:r/>
            <w:r>
              <w:rPr>
                <w:b/>
                <w:i w:val="0"/>
                <w:sz w:val="18"/>
              </w:rPr>
              <w:t>2033</w:t>
            </w:r>
          </w:p>
        </w:tc>
        <w:tc>
          <w:tcPr>
            <w:tcW w:type="dxa" w:w="992"/>
            <w:tcBorders>
              <w:bottom w:val="single" w:sz="6"/>
            </w:tcBorders>
          </w:tcPr>
          <w:p>
            <w:pPr>
              <w:spacing w:after="0" w:before="20"/>
              <w:jc w:val="center"/>
            </w:pPr>
            <w:r/>
            <w:r>
              <w:rPr>
                <w:b/>
                <w:i w:val="0"/>
                <w:sz w:val="18"/>
              </w:rPr>
              <w:t>2050</w:t>
            </w:r>
          </w:p>
        </w:tc>
        <w:tc>
          <w:tcPr>
            <w:tcW w:type="dxa" w:w="992"/>
            <w:tcBorders>
              <w:bottom w:val="single" w:sz="6"/>
            </w:tcBorders>
          </w:tcPr>
          <w:p>
            <w:pPr>
              <w:spacing w:after="0" w:before="20"/>
              <w:jc w:val="center"/>
            </w:pPr>
            <w:r/>
            <w:r>
              <w:rPr>
                <w:b/>
                <w:i w:val="0"/>
                <w:sz w:val="18"/>
              </w:rPr>
              <w:t>2077</w:t>
            </w:r>
          </w:p>
        </w:tc>
        <w:tc>
          <w:tcPr>
            <w:tcW w:type="dxa" w:w="1162"/>
            <w:vMerge/>
            <w:tcBorders>
              <w:bottom w:val="single" w:sz="6"/>
            </w:tcBorders>
          </w:tcPr>
          <w:p/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1. Araucária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152.173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6.469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6.929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7.546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9.570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13.274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+105,2%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2. Ortigueira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23.043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6.353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6.851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7.967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9.928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13.213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+108,0%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3. Alto Paraíso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2.840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6.295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6.752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7.434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9.410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13.032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+107,0%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4. Porto Barreiro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3.138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5.596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5.902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5.341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7.296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11.866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+112,1%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5. Serranópolis do Iguaçu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4.746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5.582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5.985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6.501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8.591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13.060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+134,0%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6. Campina do Simão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3.901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5.160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5.423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4.702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6.433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10.483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+103,2%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7. Maripá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6.068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4.544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4.904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5.602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7.710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12.674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+178,9%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8. Saudade do Iguaçu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5.874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4.456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5.031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8.226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10.162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13.229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+196,9%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9. Bom Sucesso do Sul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3.248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4.284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4.583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4.813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6.578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10.703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+149,8%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10. Quatro Pontes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4.279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4.240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4.543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4.839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6.635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10.846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+155,8%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/>
                <w:sz w:val="18"/>
              </w:rPr>
              <w:t>... (348 municípios omitidos)</w:t>
            </w:r>
          </w:p>
        </w:tc>
        <w:tc>
          <w:tcPr>
            <w:tcW w:type="dxa" w:w="1077"/>
          </w:tcPr>
          <w:p>
            <w:pPr>
              <w:spacing w:after="0" w:before="20"/>
              <w:jc w:val="center"/>
            </w:pPr>
            <w:r/>
            <w:r>
              <w:rPr>
                <w:b w:val="0"/>
                <w:i/>
                <w:sz w:val="18"/>
              </w:rPr>
              <w:t>...</w:t>
            </w:r>
          </w:p>
        </w:tc>
        <w:tc>
          <w:tcPr>
            <w:tcW w:type="dxa" w:w="992"/>
          </w:tcPr>
          <w:p>
            <w:pPr>
              <w:spacing w:after="0" w:before="20"/>
              <w:jc w:val="center"/>
            </w:pPr>
            <w:r/>
            <w:r>
              <w:rPr>
                <w:b w:val="0"/>
                <w:i/>
                <w:sz w:val="18"/>
              </w:rPr>
              <w:t>...</w:t>
            </w:r>
          </w:p>
        </w:tc>
        <w:tc>
          <w:tcPr>
            <w:tcW w:type="dxa" w:w="992"/>
          </w:tcPr>
          <w:p>
            <w:pPr>
              <w:spacing w:after="0" w:before="20"/>
              <w:jc w:val="center"/>
            </w:pPr>
            <w:r/>
            <w:r>
              <w:rPr>
                <w:b w:val="0"/>
                <w:i/>
                <w:sz w:val="18"/>
              </w:rPr>
              <w:t>...</w:t>
            </w:r>
          </w:p>
        </w:tc>
        <w:tc>
          <w:tcPr>
            <w:tcW w:type="dxa" w:w="992"/>
          </w:tcPr>
          <w:p>
            <w:pPr>
              <w:spacing w:after="0" w:before="20"/>
              <w:jc w:val="center"/>
            </w:pPr>
            <w:r/>
            <w:r>
              <w:rPr>
                <w:b w:val="0"/>
                <w:i/>
                <w:sz w:val="18"/>
              </w:rPr>
              <w:t>...</w:t>
            </w:r>
          </w:p>
        </w:tc>
        <w:tc>
          <w:tcPr>
            <w:tcW w:type="dxa" w:w="992"/>
          </w:tcPr>
          <w:p>
            <w:pPr>
              <w:spacing w:after="0" w:before="20"/>
              <w:jc w:val="center"/>
            </w:pPr>
            <w:r/>
            <w:r>
              <w:rPr>
                <w:b w:val="0"/>
                <w:i/>
                <w:sz w:val="18"/>
              </w:rPr>
              <w:t>...</w:t>
            </w:r>
          </w:p>
        </w:tc>
        <w:tc>
          <w:tcPr>
            <w:tcW w:type="dxa" w:w="992"/>
          </w:tcPr>
          <w:p>
            <w:pPr>
              <w:spacing w:after="0" w:before="20"/>
              <w:jc w:val="center"/>
            </w:pPr>
            <w:r/>
            <w:r>
              <w:rPr>
                <w:b w:val="0"/>
                <w:i/>
                <w:sz w:val="18"/>
              </w:rPr>
              <w:t>...</w:t>
            </w:r>
          </w:p>
        </w:tc>
        <w:tc>
          <w:tcPr>
            <w:tcW w:type="dxa" w:w="1162"/>
          </w:tcPr>
          <w:p>
            <w:pPr>
              <w:spacing w:after="0" w:before="20"/>
              <w:jc w:val="center"/>
            </w:pPr>
            <w:r/>
            <w:r>
              <w:rPr>
                <w:b w:val="0"/>
                <w:i/>
                <w:sz w:val="18"/>
              </w:rPr>
              <w:t>...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359. Porecatu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12.192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902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992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1.188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2.254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5.584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+519,0%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360. Fazenda Rio Grande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126.682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847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916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942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1.869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4.805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+467,3%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361. Figueira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7.873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764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849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1.082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2.135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5.469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+615,9%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362. Matinhos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37.825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748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809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792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1.804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5.128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+585,3%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363. Colombo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244.387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729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793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854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1.727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4.510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+518,6%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364. Paiçandu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44.441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633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693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759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1.681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4.690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+641,4%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365. Pontal do Paraná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29.857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606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735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1.573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2.538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5.315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+776,7%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366. Itaperuçu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30.679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605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664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723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1.693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4.896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+709,8%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367. Almirante Tamandaré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122.147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570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629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722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1.634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4.624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+710,7%</w:t>
            </w:r>
          </w:p>
        </w:tc>
      </w:tr>
      <w:tr>
        <w:tc>
          <w:tcPr>
            <w:tcW w:type="dxa" w:w="2438"/>
          </w:tcPr>
          <w:p>
            <w:pPr>
              <w:spacing w:after="0" w:before="20"/>
              <w:jc w:val="left"/>
            </w:pPr>
            <w:r/>
            <w:r>
              <w:rPr>
                <w:b w:val="0"/>
                <w:i w:val="0"/>
                <w:sz w:val="18"/>
              </w:rPr>
              <w:t>368. Sarandi</w:t>
            </w:r>
          </w:p>
        </w:tc>
        <w:tc>
          <w:tcPr>
            <w:tcW w:type="dxa" w:w="1077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109.454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496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549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625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1.530</w:t>
            </w:r>
          </w:p>
        </w:tc>
        <w:tc>
          <w:tcPr>
            <w:tcW w:type="dxa" w:w="99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4.541</w:t>
            </w:r>
          </w:p>
        </w:tc>
        <w:tc>
          <w:tcPr>
            <w:tcW w:type="dxa" w:w="1162"/>
          </w:tcPr>
          <w:p>
            <w:pPr>
              <w:spacing w:after="0" w:before="20"/>
              <w:jc w:val="right"/>
            </w:pPr>
            <w:r/>
            <w:r>
              <w:rPr>
                <w:b w:val="0"/>
                <w:i w:val="0"/>
                <w:sz w:val="18"/>
              </w:rPr>
              <w:t>+816,4%</w:t>
            </w:r>
          </w:p>
        </w:tc>
      </w:tr>
      <w:tr>
        <w:tc>
          <w:tcPr>
            <w:tcW w:type="dxa" w:w="3515"/>
            <w:gridSpan w:val="2"/>
            <w:shd w:val="clear" w:color="auto" w:fill="E7E6E6"/>
            <w:tcBorders>
              <w:top w:val="single" w:sz="8"/>
            </w:tcBorders>
          </w:tcPr>
          <w:p>
            <w:pPr>
              <w:spacing w:after="0" w:before="20"/>
              <w:jc w:val="left"/>
            </w:pPr>
            <w:r/>
            <w:r>
              <w:rPr>
                <w:b/>
                <w:i w:val="0"/>
                <w:sz w:val="18"/>
              </w:rPr>
              <w:t>Razão máx./mín. – 368 municípios</w:t>
            </w:r>
          </w:p>
        </w:tc>
        <w:tc>
          <w:tcPr>
            <w:tcW w:type="dxa" w:w="992"/>
            <w:shd w:val="clear" w:color="auto" w:fill="E7E6E6"/>
            <w:tcBorders>
              <w:top w:val="single" w:sz="8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i w:val="0"/>
                <w:sz w:val="18"/>
              </w:rPr>
              <w:t>13,1</w:t>
            </w:r>
          </w:p>
        </w:tc>
        <w:tc>
          <w:tcPr>
            <w:tcW w:type="dxa" w:w="992"/>
            <w:shd w:val="clear" w:color="auto" w:fill="E7E6E6"/>
            <w:tcBorders>
              <w:top w:val="single" w:sz="8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i w:val="0"/>
                <w:sz w:val="18"/>
              </w:rPr>
              <w:t>12,6</w:t>
            </w:r>
          </w:p>
        </w:tc>
        <w:tc>
          <w:tcPr>
            <w:tcW w:type="dxa" w:w="992"/>
            <w:shd w:val="clear" w:color="auto" w:fill="E7E6E6"/>
            <w:tcBorders>
              <w:top w:val="single" w:sz="8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i w:val="0"/>
                <w:sz w:val="18"/>
              </w:rPr>
              <w:t>13,2</w:t>
            </w:r>
          </w:p>
        </w:tc>
        <w:tc>
          <w:tcPr>
            <w:tcW w:type="dxa" w:w="992"/>
            <w:shd w:val="clear" w:color="auto" w:fill="E7E6E6"/>
            <w:tcBorders>
              <w:top w:val="single" w:sz="8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i w:val="0"/>
                <w:sz w:val="18"/>
              </w:rPr>
              <w:t>6,6</w:t>
            </w:r>
          </w:p>
        </w:tc>
        <w:tc>
          <w:tcPr>
            <w:tcW w:type="dxa" w:w="992"/>
            <w:shd w:val="clear" w:color="auto" w:fill="E7E6E6"/>
            <w:tcBorders>
              <w:top w:val="single" w:sz="8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i w:val="0"/>
                <w:sz w:val="18"/>
              </w:rPr>
              <w:t>2,9</w:t>
            </w:r>
          </w:p>
        </w:tc>
        <w:tc>
          <w:tcPr>
            <w:tcW w:type="dxa" w:w="1162"/>
            <w:shd w:val="clear" w:color="auto" w:fill="E7E6E6"/>
            <w:tcBorders>
              <w:top w:val="single" w:sz="8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i w:val="0"/>
                <w:sz w:val="18"/>
              </w:rPr>
              <w:t>−77,5%</w:t>
            </w:r>
          </w:p>
        </w:tc>
      </w:tr>
      <w:tr>
        <w:tc>
          <w:tcPr>
            <w:tcW w:type="dxa" w:w="3515"/>
            <w:gridSpan w:val="2"/>
            <w:shd w:val="clear" w:color="auto" w:fill="E7E6E6"/>
            <w:tcBorders>
              <w:bottom w:val="single" w:sz="12"/>
            </w:tcBorders>
          </w:tcPr>
          <w:p>
            <w:pPr>
              <w:spacing w:after="0" w:before="20"/>
              <w:jc w:val="left"/>
            </w:pPr>
            <w:r/>
            <w:r>
              <w:rPr>
                <w:b/>
                <w:i w:val="0"/>
                <w:sz w:val="18"/>
              </w:rPr>
              <w:t>Índice de Gini – 368 municípios</w:t>
            </w:r>
          </w:p>
        </w:tc>
        <w:tc>
          <w:tcPr>
            <w:tcW w:type="dxa" w:w="992"/>
            <w:shd w:val="clear" w:color="auto" w:fill="E7E6E6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i w:val="0"/>
                <w:sz w:val="18"/>
              </w:rPr>
              <w:t>0,230</w:t>
            </w:r>
          </w:p>
        </w:tc>
        <w:tc>
          <w:tcPr>
            <w:tcW w:type="dxa" w:w="992"/>
            <w:shd w:val="clear" w:color="auto" w:fill="E7E6E6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i w:val="0"/>
                <w:sz w:val="18"/>
              </w:rPr>
              <w:t>0,228</w:t>
            </w:r>
          </w:p>
        </w:tc>
        <w:tc>
          <w:tcPr>
            <w:tcW w:type="dxa" w:w="992"/>
            <w:shd w:val="clear" w:color="auto" w:fill="E7E6E6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i w:val="0"/>
                <w:sz w:val="18"/>
              </w:rPr>
              <w:t>0,227</w:t>
            </w:r>
          </w:p>
        </w:tc>
        <w:tc>
          <w:tcPr>
            <w:tcW w:type="dxa" w:w="992"/>
            <w:shd w:val="clear" w:color="auto" w:fill="E7E6E6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i w:val="0"/>
                <w:sz w:val="18"/>
              </w:rPr>
              <w:t>0,182</w:t>
            </w:r>
          </w:p>
        </w:tc>
        <w:tc>
          <w:tcPr>
            <w:tcW w:type="dxa" w:w="992"/>
            <w:shd w:val="clear" w:color="auto" w:fill="E7E6E6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i w:val="0"/>
                <w:sz w:val="18"/>
              </w:rPr>
              <w:t>0,130</w:t>
            </w:r>
          </w:p>
        </w:tc>
        <w:tc>
          <w:tcPr>
            <w:tcW w:type="dxa" w:w="1162"/>
            <w:shd w:val="clear" w:color="auto" w:fill="E7E6E6"/>
            <w:tcBorders>
              <w:bottom w:val="single" w:sz="12"/>
            </w:tcBorders>
          </w:tcPr>
          <w:p>
            <w:pPr>
              <w:spacing w:after="0" w:before="20"/>
              <w:jc w:val="right"/>
            </w:pPr>
            <w:r/>
            <w:r>
              <w:rPr>
                <w:b/>
                <w:i w:val="0"/>
                <w:sz w:val="18"/>
              </w:rPr>
              <w:t>−43,6%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0"/>
      </w:pPr>
      <w:r>
        <w:rPr>
          <w:b w:val="0"/>
          <w:i w:val="0"/>
          <w:sz w:val="16"/>
        </w:rPr>
        <w:t>Fonte: elaboração própria, com base na DCA/Siconfi, no Portal da Transparência do Paraná e no PIT/TCE-PR (base municipal final auditada). Nota: receita per capita = ISS + cota-parte do ICMS em 2025, substituídos pelo IBS municipal de 2029 em diante, conforme o cronograma do art. 131 do ADCT (EC 132/2023) e PIB real de 2,2% a.a. após 2033; valores em R$ constantes de 2025 e população fixa (média 2019-2026). Razão máx./mín. = maior valor per capita dividido pelo menor; Índice de Gini (0 = igualdade perfeita). As duas medidas consideram todos os municípios elegíveis, e não apenas os exibidos; os municípios intermediários foram omitidos (...).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