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EMPRESARIAL, M&amp;A E MERCADO DE CAPITAIS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Latin Lawyer, Agência iNFRA.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