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IMOBILIARIO E INFRAESTRUTURA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13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5E7"/>
          </w:tcPr>
          <w:p>
            <w:pPr>
              <w:spacing w:before="160" w:after="160"/>
            </w:pPr>
            <w:r>
              <w:rPr>
                <w:b/>
                <w:color w:val="D68910"/>
                <w:sz w:val="20"/>
              </w:rPr>
              <w:t xml:space="preserve">Nota: </w:t>
            </w:r>
            <w:r>
              <w:rPr>
                <w:color w:val="4A4A4A"/>
                <w:sz w:val="20"/>
              </w:rPr>
              <w:t>Este boletim tera as seguintes fontes adicionais quando a integracao por e-mail estiver ativa: Agência iNFRA, iNFRA Energia, IRIB.</w:t>
            </w:r>
          </w:p>
        </w:tc>
      </w:tr>
    </w:tbl>
    <w:p/>
    <w:p>
      <w:pPr>
        <w:jc w:val="center"/>
      </w:pPr>
      <w:r>
        <w:rPr>
          <w:color w:val="888888"/>
          <w:sz w:val="24"/>
        </w:rPr>
        <w:t>Nao ha itens para este boletim na janela temporal atual.</w:t>
      </w:r>
    </w:p>
    <w:p>
      <w:pPr>
        <w:jc w:val="center"/>
      </w:pPr>
      <w:r>
        <w:rPr>
          <w:i/>
          <w:color w:val="888888"/>
          <w:sz w:val="20"/>
        </w:rPr>
        <w:t>Isso pode ocorrer em fins de semana, feriados ou dias sem publicacoes relevantes.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2026-07-10T00:00 ate 2026-07-13T10:25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