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600" w:after="120"/>
            </w:pPr>
            <w:r>
              <w:rPr>
                <w:b w:val="0"/>
                <w:color w:val="FFFFFF"/>
                <w:sz w:val="88"/>
              </w:rPr>
              <w:t>Boletim</w:t>
            </w:r>
          </w:p>
          <w:p>
            <w:pPr>
              <w:spacing w:after="120"/>
            </w:pPr>
            <w:r>
              <w:rPr>
                <w:b/>
                <w:color w:val="A8D8B9"/>
                <w:sz w:val="22"/>
              </w:rPr>
              <w:t>CURADORIA DE TODAS AS FONTES</w:t>
            </w:r>
          </w:p>
          <w:p>
            <w:pPr>
              <w:spacing w:after="400"/>
            </w:pPr>
            <w:r>
              <w:rPr>
                <w:color w:val="FFFFFF"/>
                <w:sz w:val="28"/>
              </w:rPr>
              <w:t>8 de julho de 2026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1A4D2E"/>
                <w:sz w:val="56"/>
              </w:rPr>
              <w:t>38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C0392B"/>
                <w:sz w:val="56"/>
              </w:rPr>
              <w:t>14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D68910"/>
                <w:sz w:val="56"/>
              </w:rPr>
              <w:t>14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7F8C8D"/>
                <w:sz w:val="56"/>
              </w:rPr>
              <w:t>10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TOTAL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ALTA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MEDIA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BAIXA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Destaques do dia</w:t>
            </w:r>
          </w:p>
          <w:p>
            <w:pPr>
              <w:spacing w:after="120"/>
            </w:pPr>
            <w:r>
              <w:rPr>
                <w:color w:val="A8D8B9"/>
                <w:sz w:val="18"/>
              </w:rPr>
              <w:t>Selecionados por alta relevancia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BANCO CENTRAL | NORMAS</w:t>
            </w:r>
          </w:p>
          <w:p>
            <w:pPr>
              <w:spacing w:after="40"/>
            </w:pPr>
            <w:hyperlink r:id="rId9">
              <w:r>
                <w:rPr>
                  <w:color w:val="1A1A1A"/>
                  <w:u w:val="single"/>
                  <w:b/>
                </w:rPr>
                <w:t>Comunicado n° 45.517, 8/7/2026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Divulga a Taxa Básica Financeira (TBF), o Redutor "R" e a Taxa Referencial (TR) relativos a 7 de julho de 2026.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BANCO CENTRAL | NORMAS</w:t>
            </w:r>
          </w:p>
          <w:p>
            <w:pPr>
              <w:spacing w:after="40"/>
            </w:pPr>
            <w:hyperlink r:id="rId10">
              <w:r>
                <w:rPr>
                  <w:color w:val="1A1A1A"/>
                  <w:u w:val="single"/>
                  <w:b/>
                </w:rPr>
                <w:t>Comunicado n° 45.516, 7/7/2026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Divulga condições para a realização de operações compromissadas com instituições financeiras participantes do módulo Oferta Pública (Ofpub).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BANCO CENTRAL | NORMAS</w:t>
            </w:r>
          </w:p>
          <w:p>
            <w:pPr>
              <w:spacing w:after="40"/>
            </w:pPr>
            <w:hyperlink r:id="rId11">
              <w:r>
                <w:rPr>
                  <w:color w:val="1A1A1A"/>
                  <w:u w:val="single"/>
                  <w:b/>
                </w:rPr>
                <w:t>Comunicado n° 45.515, 7/7/2026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Divulga as condições de oferta pública para a realização de operações de swap para fins de rolagem do vencimento de 03/08/2026.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BANCO CENTRAL | NORMAS</w:t>
            </w:r>
          </w:p>
          <w:p>
            <w:pPr>
              <w:spacing w:after="40"/>
            </w:pPr>
            <w:hyperlink r:id="rId12">
              <w:r>
                <w:rPr>
                  <w:color w:val="1A1A1A"/>
                  <w:u w:val="single"/>
                  <w:b/>
                </w:rPr>
                <w:t>Comunicado n° 45.514, 7/7/2026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Divulga comunicado do Grupo de Ação Financeira contra a Lavagem de Dinheiro e o Financiamento do Terrorismo (GAFI/FATF).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BANCO CENTRAL | NORMAS</w:t>
            </w:r>
          </w:p>
          <w:p>
            <w:pPr>
              <w:spacing w:after="40"/>
            </w:pPr>
            <w:hyperlink r:id="rId13">
              <w:r>
                <w:rPr>
                  <w:color w:val="1A1A1A"/>
                  <w:u w:val="single"/>
                  <w:b/>
                </w:rPr>
                <w:t>Comunicado n° 45.511, 7/7/2026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Divulga as Taxas Básicas Financeiras (TBF), os Redutores "R" e as Taxas Referenciais (TR) relativos a 4, 5 e 6 de julho de 2026.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Legislacao Federal</w:t>
            </w:r>
          </w:p>
        </w:tc>
      </w:tr>
    </w:tbl>
    <w:p>
      <w:pPr>
        <w:spacing w:before="240" w:after="80"/>
      </w:pPr>
      <w:r>
        <w:rPr>
          <w:b/>
          <w:color w:val="1A4D2E"/>
          <w:sz w:val="20"/>
        </w:rPr>
        <w:t>PLANALTO | RESENHA DIARIA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Lei nº 15.461, de 7.7.2026 - Confere o título de Capital Nacional da Maior Onda do Brasil ao Município de Jaguaruna, no Estado de Santa Catarina.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Confere o título de Capital Nacional da Maior Onda do Brasil ao Município de Jaguaruna, no Estado de Santa Catarina.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   </w:t>
      </w:r>
      <w:hyperlink r:id="rId14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Lei com caráter honorífico, sem impacto direto a clientes corporativos.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Lei nº 15.460, de 7.7.2026 - Institui o Dia Nacional do Vinho, a ser comemorado no primeiro domingo do mês de junho.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Institui o Dia Nacional do Vinho, a ser comemorado no primeiro domingo do mês de junho.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   </w:t>
      </w:r>
      <w:hyperlink r:id="rId15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Lei com caráter comemorativo, sem impacto direto a clientes corporativos.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Lei nº 15.459, de 7.7.2026 - Altera a Lei nº 7.405, de 12 de novembro de 1985, para estabelecer a utilização do Símbolo Internacional de Acessibilidade.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Altera a Lei nº 7.405, de 1985, para estabelecer a utilização do Símbolo Internacional de Acessibilidade.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   </w:t>
      </w:r>
      <w:hyperlink r:id="rId16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Alteração de lei que pode ter implicações para empresas em termos de acessibilidade e conformidade.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Decreto nº 13.060, de 7.7.2026 - Altera o Decreto nº 10.172, de 11 de dezembro de 2019, para alterar a composição do Conselho Fiscal do Serviço Autônomo Embratur – Agência Brasileira de Promoção Internacional do Turismo.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Altera a composição do Conselho Fiscal do Serviço Autônomo Embratur – Agência Brasileira de Promoção Internacional do Turismo.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   </w:t>
      </w:r>
      <w:hyperlink r:id="rId17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Alteração administrativa interna de órgão público, com baixo impacto corporativo direto.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Decreto nº 13.059, de 7.7.2026 - Remaneja, em caráter temporário, cargo em comissão e funções de confiança para o Ministério das Relações Exteriores.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Remaneja, em caráter temporário, cargo em comissão e funções de confiança para o Ministério das Relações Exteriores.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   </w:t>
      </w:r>
      <w:hyperlink r:id="rId18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Alteração administrativa interna de órgão público, com baixo impacto corporativo direto.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Decreto nº 13.058, de 7.7.2026 - Altera o Decreto nº 11.198, de 15 de setembro de 2022, que aprova a Estrutura Regimental e o Quadro Demonstrativo dos Cargos em Comissão e das Funções de Confiança do Departamento Nacional de Obras Contra as Secas, e remaneja e transforma cargos em comissão e funções de confiança.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Altera a Estrutura Regimental e o Quadro Demonstrativo de Cargos e Funções do Departamento Nacional de Obras Contra as Secas (DNOCS).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   </w:t>
      </w:r>
      <w:hyperlink r:id="rId19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Alteração administrativa interna de órgão público, com baixo impacto corporativo direto.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Decreto nº 13.057, de 7.7.2026 - Altera o Decreto nº 2.338, de 7 de outubro de 1997, que aprova o Regulamento da Agência Nacional de Telecomunicações, e remaneja e transforma cargos em comissão e funções de confiança.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Altera o Regulamento da Agência Nacional de Telecomunicações (ANATEL) e remaneja cargos e funções de confiança.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   </w:t>
      </w:r>
      <w:hyperlink r:id="rId20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Alteração no regulamento de uma agência reguladora, podendo ter impacto setorial.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Financeiro e Mercado de Capitais</w:t>
            </w:r>
          </w:p>
        </w:tc>
      </w:tr>
    </w:tbl>
    <w:p>
      <w:pPr>
        <w:spacing w:before="240" w:after="80"/>
      </w:pPr>
      <w:r>
        <w:rPr>
          <w:b/>
          <w:color w:val="1A4D2E"/>
          <w:sz w:val="20"/>
        </w:rPr>
        <w:t>BANCO CENTRAL | NORMAS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45.517, 8/7/2026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Divulga a Taxa Básica Financeira (TBF), o Redutor "R" e a Taxa Referencial (TR) relativos a 7 de julho de 2026.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2026-07-08T09:01   </w:t>
      </w:r>
      <w:hyperlink r:id="rId9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Divulgação de taxas financeiras de referência, crucial para o mercado financeiro.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45.516, 7/7/2026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Divulga condições para a realização de operações compromissadas com instituições financeiras participantes do módulo Oferta Pública (Ofpub).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2026-07-07T18:30   </w:t>
      </w:r>
      <w:hyperlink r:id="rId10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Impacto direto em operações de instituições financeiras no mercado.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45.515, 7/7/2026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Divulga as condições de oferta pública para a realização de operações de swap para fins de rolagem do vencimento de 03/08/2026.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2026-07-07T18:30   </w:t>
      </w:r>
      <w:hyperlink r:id="rId11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Impacto direto em operações de mercado financeiro, como swaps.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45.514, 7/7/2026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Divulga comunicado do Grupo de Ação Financeira contra a Lavagem de Dinheiro e o Financiamento do Terrorismo (GAFI/FATF).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2026-07-07T15:28   </w:t>
      </w:r>
      <w:hyperlink r:id="rId12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Norma regulatória internacional com impacto em compliance de instituições financeiras.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45.513, 7/7/2026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Divulga nomes de pessoas eleitas ou nomeadas para cargos de administração em instituições autorizadas a funcionar, para fins de objeções.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2026-07-07T09:32   </w:t>
      </w:r>
      <w:hyperlink r:id="rId21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Atualização administrativa relevante para o setor financeiro.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45.512, 7/7/2026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Divulga nome aprovado de pessoas eleitas/nomeadas para cargos de órgãos estatutários ou contratuais de sociedades autorizadas a funcionar pelo Banco Central.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2026-07-07T09:30   </w:t>
      </w:r>
      <w:hyperlink r:id="rId22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Atualização administrativa relevante para o setor financeiro.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45.511, 7/7/2026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Divulga as Taxas Básicas Financeiras (TBF), os Redutores "R" e as Taxas Referenciais (TR) relativos a 4, 5 e 6 de julho de 2026.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2026-07-07T09:06   </w:t>
      </w:r>
      <w:hyperlink r:id="rId13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Divulgação de taxas financeiras de referência, crucial para o mercado financeiro.</w:t>
      </w:r>
    </w:p>
    <w:p>
      <w:pPr>
        <w:spacing w:before="240" w:after="80"/>
      </w:pPr>
      <w:r>
        <w:rPr>
          <w:b/>
          <w:color w:val="1A4D2E"/>
          <w:sz w:val="20"/>
        </w:rPr>
        <w:t>CVM | NOTÍCIAS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Até 14/7, participe da pesquisa do TCU sobre Termo de Compromisso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Consulta pública do TCU sobre Termo de Compromisso no âmbito de auditoria operacional sobre a governança da CVM.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2026-07-07   </w:t>
      </w:r>
      <w:hyperlink r:id="rId23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Pesquisa sobre governança de órgão regulador, podendo influenciar futuras práticas.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Colegiado da CVM aprova acordo de cooperação com ANBIMA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CVM e ANBIMA aprovam parceria para manutenção evolutiva do sistema de registro de ofertas públicas.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2026-07-07   </w:t>
      </w:r>
      <w:hyperlink r:id="rId24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Acordo entre órgãos reguladores que afeta diretamente o funcionamento e a eficiência do mercado de capitais.</w:t>
      </w:r>
    </w:p>
    <w:p>
      <w:pPr>
        <w:spacing w:before="240" w:after="80"/>
      </w:pPr>
      <w:r>
        <w:rPr>
          <w:b/>
          <w:color w:val="1A4D2E"/>
          <w:sz w:val="20"/>
        </w:rPr>
        <w:t>B3 | OFÍCIOS E COMUNICADOS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042-2026-VNC-Ofício Circular - Postergação do aprimoramento da funcionalidade de sincronização dos leilões de pré-abertura, regulares e de fechamento dos Contratos Futuros de Dólar (DOL/WDO), Futuros de Ibovespa (IND/WIN) e Futuros de S&amp;P 500 (ISP/WSP)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Postergação do aprimoramento da funcionalidade de sincronização dos leilões de contratos futuros de Dólar, Ibovespa e S&amp;P 500 na B3.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2026-07-07   </w:t>
      </w:r>
      <w:hyperlink r:id="rId25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Impacto operacional direto para participantes do mercado financeiro, afetando negociações de contratos futuros.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036-2026-VPC-Ofício Circular - Soluções de Grandes Lotes - Inclusão de Fundos de Investimentos em Índices (ETFs) de renda variável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A partir de 27/07/2026, será permitida a negociação de ETFs de renda variável nas Soluções de Grandes Lotes da B3.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2026-07-07   </w:t>
      </w:r>
      <w:hyperlink r:id="rId26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Expansão de produtos e funcionalidades no mercado de capitais, relevante para investidores e gestores de fundos.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035-2026-VPC-Ofício Circular - Lançamento do Índice B3 Bancos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Lançamento do Índice B3 Bancos, disponível a partir de 07/07/2026, como indicador de retorno total de carteira de ativos do segmento bancário.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2026-07-07   </w:t>
      </w:r>
      <w:hyperlink r:id="rId27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Novo índice de mercado relevante para investidores e analistas do setor bancário.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005-2026-VPE-Comunicado Externo - Atualização no catálogo de mensagens e arquivos da Clearing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Novas versões do catálogo de mensagens e arquivos da Clearing com atualização de especificação técnica opcional em mensagens e arquivos de alocação.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2026-07-07   </w:t>
      </w:r>
      <w:hyperlink r:id="rId28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Atualização técnica que pode exigir adaptação de sistemas dos participantes da Clearing.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Energia e Recursos</w:t>
            </w:r>
          </w:p>
        </w:tc>
      </w:tr>
    </w:tbl>
    <w:p>
      <w:pPr>
        <w:spacing w:before="240" w:after="80"/>
      </w:pPr>
      <w:r>
        <w:rPr>
          <w:b/>
          <w:color w:val="1A4D2E"/>
          <w:sz w:val="20"/>
        </w:rPr>
        <w:t>CCEE | NOTICIAS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CT PMO/PLD abre Consulta Externa sobre aprimoramento dos modelos do setor elétrico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Consulta externa para aprimoramento dos modelos do setor elétrico, com contribuições para a agenda de trabalho do CT.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2026-07-07   </w:t>
      </w:r>
      <w:hyperlink r:id="rId29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Consulta pública setorial que pode levar a mudanças regulatórias no setor elétrico.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Encontro CCEE: evolução das operações e abertura do mercado são destaques dos painéis da manhã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Encontro da CCEE reuniu especialistas para debater desafios, avanços da Câmara e perspectivas para o setor elétrico até 2030.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2026-07-07   </w:t>
      </w:r>
      <w:hyperlink r:id="rId30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Notícia institucional sobre um evento, com baixo impacto direto.</w:t>
      </w:r>
    </w:p>
    <w:p>
      <w:pPr>
        <w:spacing w:before="240" w:after="80"/>
      </w:pPr>
      <w:r>
        <w:rPr>
          <w:b/>
          <w:color w:val="1A4D2E"/>
          <w:sz w:val="20"/>
        </w:rPr>
        <w:t>ANP | NOTÍCIAS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Aviso: não haverá expediente nem protocolo no Escritório ANP SP no dia 9 de julho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Aviso sobre a suspensão de expediente e protocolo no Escritório da ANP em São Paulo no dia 9 de julho.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2026-07-07   </w:t>
      </w:r>
      <w:hyperlink r:id="rId31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Aviso administrativo de funcionamento, com impacto limitado.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ANP e Petrobras assinam acordo para adequação de 335 poços marítimos às regras de segurança operacional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Termo de Conciliação celebrado na AGU estabelece compromissos técnicos para fortalecer a prevenção e a resposta a emergências em poços marítimos.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2026-07-07   </w:t>
      </w:r>
      <w:hyperlink r:id="rId32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Acordo com grande empresa estatal sobre segurança operacional, com impacto regulatório e ambiental no setor de energia.</w:t>
      </w:r>
    </w:p>
    <w:p>
      <w:pPr>
        <w:spacing w:before="240" w:after="80"/>
      </w:pPr>
      <w:r>
        <w:rPr>
          <w:b/>
          <w:color w:val="1A4D2E"/>
          <w:sz w:val="20"/>
        </w:rPr>
        <w:t>ANEEL | ÚLTIMAS NOTÍCIAS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ANEEL aprova abertura de consulta pública sobre o edital dos Leilões de Energia Existente A-1, A-2 e A-3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ANEEL aprova abertura de consulta pública sobre o edital dos Leilões de Energia Existente A-1, A-2 e A-3, com contribuições até 24 de agosto de 2026.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2026-07-07   </w:t>
      </w:r>
      <w:hyperlink r:id="rId33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Abertura de consulta pública para leilões de energia, com impacto direto no setor elétrico e para empresas do ramo.</w:t>
      </w:r>
    </w:p>
    <w:p>
      <w:pPr>
        <w:spacing w:before="240" w:after="80"/>
      </w:pPr>
      <w:r>
        <w:rPr>
          <w:b/>
          <w:color w:val="1A4D2E"/>
          <w:sz w:val="20"/>
        </w:rPr>
        <w:t>ANM | NOTÍCIAS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Recolhimento da CFEM tem nova plataforma digital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Nova plataforma digital para recolhimento da Compensação Financeira pela Exploração de Recursos Minerais (CFEM), exigindo login gov.br e ampliando formas de pagamento.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2026-07-07T15:04   </w:t>
      </w:r>
      <w:hyperlink r:id="rId34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Mudança no processo de recolhimento de royalties da mineração, com impacto direto para empresas do setor.</w:t>
      </w:r>
    </w:p>
    <w:p>
      <w:pPr>
        <w:spacing w:before="240" w:after="80"/>
      </w:pPr>
      <w:r>
        <w:rPr>
          <w:b/>
          <w:color w:val="1A4D2E"/>
          <w:sz w:val="20"/>
        </w:rPr>
        <w:t>EPE | NOTÍCIAS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Em parceria com a EPE, curso de Mercados de Energia para Futuros Líderes terá nova turma em agosto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A Fundação Carlos Alberto Vanzolini abriu inscrições para a segunda turma do curso de atualização em Mercados de Energia para Futuros Líderes, em parceria com a EPE.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2026-07-07   </w:t>
      </w:r>
      <w:hyperlink r:id="rId35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Notícia sobre capacitação e evento, com baixo impacto direto a clientes corporativos.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EPE atualiza ferramentas interativas do Balanço Energético Nacional (BEN) 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A Empresa de Pesquisa Energética (EPE) atualiza as ferramentas interativas do Balanço Energético Nacional (BEN) 2026 para ampliar o acesso à informação e inovar na disponibilização de dados energéticos.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2026-07-07   </w:t>
      </w:r>
      <w:hyperlink r:id="rId36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Atualização de ferramenta de dados setoriais, importante para análise e planejamento no setor de energia.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Tributário</w:t>
            </w:r>
          </w:p>
        </w:tc>
      </w:tr>
    </w:tbl>
    <w:p>
      <w:pPr>
        <w:spacing w:before="240" w:after="80"/>
      </w:pPr>
      <w:r>
        <w:rPr>
          <w:b/>
          <w:color w:val="1A4D2E"/>
          <w:sz w:val="20"/>
        </w:rPr>
        <w:t>MINISTÉRIO DA FAZENDA | NOTÍCIAS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Workshop debate Governança dos Gastos Tributários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Evento reuniu representantes para discutir contribuições à regulamentação da Lei Complementar nº 224/2025 e ao fortalecimento da governança dos gastos tributários.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2026-07-07   </w:t>
      </w:r>
      <w:hyperlink r:id="rId37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Discussão sobre regulamentação de lei complementar e governança tributária, com potencial impacto em políticas fiscais.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Consulta sobre a restituição automática (cashback) pode ser feita a partir desta quarta (8/7) no site da Receita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Informação sobre a consulta da restituição automática (cashback) do IRPF, com pagamento previsto para 15/7.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2026-07-07   </w:t>
      </w:r>
      <w:hyperlink r:id="rId38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Comunicado sobre serviço público com impacto direto em contribuintes e empresas.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Regulatório e Setorial</w:t>
            </w:r>
          </w:p>
        </w:tc>
      </w:tr>
    </w:tbl>
    <w:p>
      <w:pPr>
        <w:spacing w:before="240" w:after="80"/>
      </w:pPr>
      <w:r>
        <w:rPr>
          <w:b/>
          <w:color w:val="1A4D2E"/>
          <w:sz w:val="20"/>
        </w:rPr>
        <w:t>ANPD | NOTÍCIAS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ANPD e PNUD selecionam consultores para realização de estudos sobre IA, proteção de dados e publicidade digital voltada a crianças e adolescentes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ANPD e PNUD abrem seleção para consultores para estudos sobre IA, proteção de dados e publicidade digital para crianças e adolescentes.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2026-07-07T13:49   </w:t>
      </w:r>
      <w:hyperlink r:id="rId39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Iniciativa de pesquisa e desenvolvimento em temas regulatórios importantes para proteção de dados e IA.</w:t>
      </w:r>
    </w:p>
    <w:p>
      <w:pPr>
        <w:spacing w:before="240" w:after="80"/>
      </w:pPr>
      <w:r>
        <w:rPr>
          <w:b/>
          <w:color w:val="1A4D2E"/>
          <w:sz w:val="20"/>
        </w:rPr>
        <w:t>INPI | NOTÍCIAS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Sistema de peticionamento de programa de computador volta a funcionar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O sistema de peticionamento de programa de computador do INPI foi restabelecido, permitindo novamente o registro de propriedade intelectual.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2026-07-07T16:00   </w:t>
      </w:r>
      <w:hyperlink r:id="rId40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Restabelecimento de serviço essencial para o registro de propriedade intelectual, importante para empresas de tecnologia.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Sistema de restituição de taxas está disponível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O sistema de restituição de taxas do INPI agora está disponível, facilitando o processo para os usuários.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2026-07-07T13:07   </w:t>
      </w:r>
      <w:hyperlink r:id="rId41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Disponibilização de serviço para restituição de taxas, relevante para empresas que interagem com o INPI.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Tomada pública de subsídios sobre Indicações Geográficas argentinas está aberta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O INPI abriu tomada pública de subsídios sobre Indicações Geográficas argentinas, buscando contribuições da sociedade.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2026-07-07T13:04   </w:t>
      </w:r>
      <w:hyperlink r:id="rId42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Consulta pública sobre propriedade intelectual internacional, relevante para empresas com interesses em mercados externos.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Consulta pública sobre marcas de posição recebe contribuições até 24/7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O INPI abriu consulta pública para receber contribuições sobre marcas de posição até 24 de julho.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2026-07-07T13:01   </w:t>
      </w:r>
      <w:hyperlink r:id="rId43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Consulta pública sobre regulamentação de marcas, importante para empresas que buscam proteção de propriedade intelectual.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INPI realiza seleção com duas vagas para atuar na área de promoção e eventos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O INPI está realizando um processo seletivo para preencher duas vagas na área de promoção e eventos.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2026-07-07T12:59   </w:t>
      </w:r>
      <w:hyperlink r:id="rId44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Notícia institucional de recrutamento, com baixo impacto direto a clientes corporativos.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INPI seleciona bolsista na área de direito da Propriedade Intelectual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O INPI está selecionando um bolsista para atuar na área de direito da Propriedade Intelectual.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2026-07-07T10:46   </w:t>
      </w:r>
      <w:hyperlink r:id="rId45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Notícia institucional de recrutamento, com baixo impacto direto a clientes corporativos.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INPI publica atualização da Agenda Regulatória 2026-2028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O INPI publicou a atualização de sua Agenda Regulatória para o período de 2026-2028, detalhando as prioridades do órgão.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2026-07-07T15:33   </w:t>
      </w:r>
      <w:hyperlink r:id="rId46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Documento estratégico que define as prioridades regulatórias do órgão, com impacto potencial em futuras normas e procedimentos.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</w:tcPr>
          <w:p>
            <w:pPr>
              <w:spacing w:before="120" w:after="40"/>
            </w:pPr>
            <w:r>
              <w:rPr>
                <w:b w:val="0"/>
                <w:color w:val="1A4D2E"/>
                <w:sz w:val="32"/>
              </w:rPr>
              <w:t>Transparencia da coleta</w:t>
            </w:r>
          </w:p>
        </w:tc>
      </w:tr>
    </w:tbl>
    <w:p>
      <w:r>
        <w:rPr>
          <w:b/>
          <w:color w:val="1A4D2E"/>
          <w:sz w:val="20"/>
        </w:rPr>
        <w:t>Fontes sem publicacao na janela:</w:t>
      </w:r>
    </w:p>
    <w:p>
      <w:pPr>
        <w:pStyle w:val="ListBullet"/>
      </w:pPr>
      <w:r>
        <w:rPr>
          <w:color w:val="4A4A4A"/>
          <w:sz w:val="18"/>
        </w:rPr>
        <w:t>MME | Notícias - Nenhuma publicação encontrada na janela temporal.</w:t>
      </w:r>
    </w:p>
    <w:p>
      <w:pPr>
        <w:pStyle w:val="ListBullet"/>
      </w:pPr>
      <w:r>
        <w:rPr>
          <w:color w:val="4A4A4A"/>
          <w:sz w:val="18"/>
        </w:rPr>
        <w:t>ONS | Notícias - A fonte explicitamente indica 'Nenhum item encontrado' para o período.</w:t>
      </w:r>
    </w:p>
    <w:p>
      <w:pPr>
        <w:pStyle w:val="ListBullet"/>
      </w:pPr>
      <w:r>
        <w:rPr>
          <w:color w:val="4A4A4A"/>
          <w:sz w:val="18"/>
        </w:rPr>
        <w:t>Secretaria de Prêmios e Apostas | Notícias - A fonte explicitamente indica 'Nenhum resultado foi encontrado'.</w:t>
      </w:r>
    </w:p>
    <w:p>
      <w:pPr>
        <w:pStyle w:val="ListBullet"/>
      </w:pPr>
      <w:r>
        <w:rPr>
          <w:color w:val="4A4A4A"/>
          <w:sz w:val="18"/>
        </w:rPr>
        <w:t>Ministério da Agricultura | Notícias - Nenhuma publicação encontrada na janela temporal.</w:t>
      </w:r>
    </w:p>
    <w:p>
      <w:pPr>
        <w:pStyle w:val="ListBullet"/>
      </w:pPr>
      <w:r>
        <w:rPr>
          <w:color w:val="4A4A4A"/>
          <w:sz w:val="18"/>
        </w:rPr>
        <w:t>COAF | Notícias - Nenhuma publicação encontrada na janela temporal.</w:t>
      </w:r>
    </w:p>
    <w:p>
      <w:r>
        <w:rPr>
          <w:b/>
          <w:color w:val="D68910"/>
          <w:sz w:val="20"/>
        </w:rPr>
        <w:t>Fontes sem resultado relevante:</w:t>
      </w:r>
    </w:p>
    <w:p>
      <w:pPr>
        <w:pStyle w:val="ListBullet"/>
      </w:pPr>
      <w:r>
        <w:rPr>
          <w:color w:val="4A4A4A"/>
          <w:sz w:val="18"/>
        </w:rPr>
        <w:t>Receita Federal | Normas - A página contém apenas filtros de busca e não exibe resultados de normas diretamente.</w:t>
      </w:r>
    </w:p>
    <w:p>
      <w:r>
        <w:rPr>
          <w:b/>
          <w:color w:val="C0392B"/>
          <w:sz w:val="20"/>
        </w:rPr>
        <w:t>Fontes com erro tecnico:</w:t>
      </w:r>
    </w:p>
    <w:p>
      <w:pPr>
        <w:pStyle w:val="ListBullet"/>
      </w:pPr>
      <w:r>
        <w:rPr>
          <w:color w:val="4A4A4A"/>
          <w:sz w:val="18"/>
        </w:rPr>
        <w:t>CGU | Notícias - Conteúdo restrito, requer autenticação para visualização.</w:t>
      </w:r>
    </w:p>
    <w:p>
      <w:pPr>
        <w:pStyle w:val="ListBullet"/>
      </w:pPr>
      <w:r>
        <w:rPr>
          <w:color w:val="4A4A4A"/>
          <w:sz w:val="18"/>
        </w:rPr>
        <w:t>Ministério do Meio Ambiente | Notícias - Conteúdo restrito, requer autenticação para visualização.</w:t>
      </w:r>
    </w:p>
    <w:p>
      <w:pPr>
        <w:pStyle w:val="ListBullet"/>
      </w:pPr>
      <w:r>
        <w:rPr>
          <w:color w:val="4A4A4A"/>
          <w:sz w:val="18"/>
        </w:rPr>
        <w:t>SENACON | Notícias - Conteúdo restrito, requer autenticação para visualização.</w:t>
      </w:r>
    </w:p>
    <w:p/>
    <w:p>
      <w:pPr>
        <w:spacing w:before="0" w:after="40"/>
        <w:pBdr>
          <w:bottom w:val="single" w:sz="8" w:space="1" w:color="888888"/>
        </w:pBdr>
      </w:pPr>
    </w:p>
    <w:p>
      <w:pPr>
        <w:spacing w:before="120"/>
        <w:jc w:val="center"/>
      </w:pPr>
      <w:r>
        <w:rPr>
          <w:i/>
          <w:color w:val="888888"/>
          <w:sz w:val="16"/>
        </w:rPr>
        <w:t>Rascunho gerado automaticamente para validacao interna.</w:t>
      </w:r>
    </w:p>
    <w:p>
      <w:pPr>
        <w:jc w:val="center"/>
      </w:pPr>
      <w:r>
        <w:rPr>
          <w:i/>
          <w:color w:val="888888"/>
          <w:sz w:val="16"/>
        </w:rPr>
        <w:t>Curadoria por IA + revisao humana recomendada antes da distribuicao.</w:t>
      </w:r>
    </w:p>
    <w:p>
      <w:pPr>
        <w:jc w:val="center"/>
      </w:pPr>
      <w:r>
        <w:rPr>
          <w:color w:val="888888"/>
          <w:sz w:val="16"/>
        </w:rPr>
        <w:t>Janela analisada: 2026-07-07T00:00 ate 2026-07-08T09:22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bcb.gov.br/estabilidadefinanceira/exibenormativo?tipo=Comunicado&amp;numero=45517" TargetMode="External"/><Relationship Id="rId10" Type="http://schemas.openxmlformats.org/officeDocument/2006/relationships/hyperlink" Target="https://www.bcb.gov.br/estabilidadefinanceira/exibenormativo?tipo=Comunicado&amp;numero=45516" TargetMode="External"/><Relationship Id="rId11" Type="http://schemas.openxmlformats.org/officeDocument/2006/relationships/hyperlink" Target="https://www.bcb.gov.br/estabilidadefinanceira/exibenormativo?tipo=Comunicado&amp;numero=45515" TargetMode="External"/><Relationship Id="rId12" Type="http://schemas.openxmlformats.org/officeDocument/2006/relationships/hyperlink" Target="https://www.bcb.gov.br/estabilidadefinanceira/exibenormativo?tipo=Comunicado&amp;numero=45514" TargetMode="External"/><Relationship Id="rId13" Type="http://schemas.openxmlformats.org/officeDocument/2006/relationships/hyperlink" Target="https://www.bcb.gov.br/estabilidadefinanceira/exibenormativo?tipo=Comunicado&amp;numero=45511" TargetMode="External"/><Relationship Id="rId14" Type="http://schemas.openxmlformats.org/officeDocument/2006/relationships/hyperlink" Target="http://www.planalto.gov.br/ccivil_03/_ato2023-2026/2026/lei/l15461.htm" TargetMode="External"/><Relationship Id="rId15" Type="http://schemas.openxmlformats.org/officeDocument/2006/relationships/hyperlink" Target="http://www.planalto.gov.br/ccivil_03/_ato2023-2026/2026/lei/l15460.htm" TargetMode="External"/><Relationship Id="rId16" Type="http://schemas.openxmlformats.org/officeDocument/2006/relationships/hyperlink" Target="http://www.planalto.gov.br/ccivil_03/_ato2023-2026/2026/lei/l15459.htm" TargetMode="External"/><Relationship Id="rId17" Type="http://schemas.openxmlformats.org/officeDocument/2006/relationships/hyperlink" Target="http://www.planalto.gov.br/ccivil_03/_ato2023-2026/2026/decreto/d13060.htm" TargetMode="External"/><Relationship Id="rId18" Type="http://schemas.openxmlformats.org/officeDocument/2006/relationships/hyperlink" Target="http://www.planalto.gov.br/ccivil_03/_ato2023-2026/2026/decreto/d13059.htm" TargetMode="External"/><Relationship Id="rId19" Type="http://schemas.openxmlformats.org/officeDocument/2006/relationships/hyperlink" Target="http://www.planalto.gov.br/ccivil_03/_ato2023-2026/2026/decreto/d13058.htm" TargetMode="External"/><Relationship Id="rId20" Type="http://schemas.openxmlformats.org/officeDocument/2006/relationships/hyperlink" Target="http://www.planalto.gov.br/ccivil_03/_ato2023-2026/2026/decreto/d13057.htm" TargetMode="External"/><Relationship Id="rId21" Type="http://schemas.openxmlformats.org/officeDocument/2006/relationships/hyperlink" Target="https://www.bcb.gov.br/estabilidadefinanceira/exibenormativo?tipo=Comunicado&amp;numero=45513" TargetMode="External"/><Relationship Id="rId22" Type="http://schemas.openxmlformats.org/officeDocument/2006/relationships/hyperlink" Target="https://www.bcb.gov.br/estabilidadefinanceira/exibenormativo?tipo=Comunicado&amp;numero=45512" TargetMode="External"/><Relationship Id="rId23" Type="http://schemas.openxmlformats.org/officeDocument/2006/relationships/hyperlink" Target="https://www.gov.br/cvm/pt-br/assuntos/noticias/2026/ate-14-7-participe-da-pesquisa-do-tcu-sobre-termo-de-compromisso" TargetMode="External"/><Relationship Id="rId24" Type="http://schemas.openxmlformats.org/officeDocument/2006/relationships/hyperlink" Target="https://www.gov.br/cvm/pt-br/assuntos/noticias/2026/colegiado-da-cvm-aprova-acordo-de-cooperacao-com-anbima" TargetMode="External"/><Relationship Id="rId25" Type="http://schemas.openxmlformats.org/officeDocument/2006/relationships/hyperlink" Target="https://www.b3.com.br/data/files/6D/25/3F/02/74E3F910D4FBC3F9AC094EA8/OC%20042-2026-VNC%20POSTERGACAO%20FUNCIONALIDADE%20DE%20SINCRONIZACAO%20DOS%20LEILOES%20DE%20PREABERTURA_PT.pdf" TargetMode="External"/><Relationship Id="rId26" Type="http://schemas.openxmlformats.org/officeDocument/2006/relationships/hyperlink" Target="https://www.b3.com.br/data/files/A8/45/AC/2B/34D3F910D4FBC3F9AC094EA8/OC%20036-2026-VPC%20SOLUCOES%20DE%20GRANDES%20LOTES_PT.pdf" TargetMode="External"/><Relationship Id="rId27" Type="http://schemas.openxmlformats.org/officeDocument/2006/relationships/hyperlink" Target="https://www.b3.com.br/data/files/FD/20/34/93/BCC3F910D4FBC3F9AC094EA8/OC%20035-2026-VPC_LANCAMENTO%20DO%20%C3%8DNDICE%20B3%20BANCOS_PT.pdf" TargetMode="External"/><Relationship Id="rId28" Type="http://schemas.openxmlformats.org/officeDocument/2006/relationships/hyperlink" Target="https://www.b3.com.br/data/files/6B/15/88/E9/73D3F910D4FBC3F9AC094EA8/CE%20005-2026-VPE%20ATUALIZACAO%20NO%20CATALOGO%20DE%20MENSAGENS%20E%20ARQUIVOS%20PARA%20LIQUIDACAO%20FINANCEIRA%20DE%20OPCOES%20DE%20ACOES%20BDRS%20E%20ETFS_PT.pdf" TargetMode="External"/><Relationship Id="rId29" Type="http://schemas.openxmlformats.org/officeDocument/2006/relationships/hyperlink" Target="https://www.ccee.org.br/-/ct-pmo-pld-abre-consulta-externa-sobre-aprimoramento-dos-modelos-do-setor-eletrico" TargetMode="External"/><Relationship Id="rId30" Type="http://schemas.openxmlformats.org/officeDocument/2006/relationships/hyperlink" Target="https://www.ccee.org.br/-/encontro-ccee-evolucao-das-operacoes-e-abertura-do-mercado-sao-destaques-dos-paineis-da-manha" TargetMode="External"/><Relationship Id="rId31" Type="http://schemas.openxmlformats.org/officeDocument/2006/relationships/hyperlink" Target="https://www.gov.br/anp/pt-br/canais_atendimento/imprensa/noticias-comunicados/aviso-nao-havera-expediente-nem-protocolo-no-escritorio-anp-sp-no-dia-9-de-julho" TargetMode="External"/><Relationship Id="rId32" Type="http://schemas.openxmlformats.org/officeDocument/2006/relationships/hyperlink" Target="https://www.gov.br/anp/pt-br/canais_atendimento/imprensa/noticias-comunicados/anp-e-petrobras-assinam-acordo-para-adequacao-de-335-pocos-maritimos-as-regras-de-seguranca-operacional" TargetMode="External"/><Relationship Id="rId33" Type="http://schemas.openxmlformats.org/officeDocument/2006/relationships/hyperlink" Target="https://www.gov.br/aneel/pt-br/assuntos/noticias/2026-defeso-eleitoral/aneel-aprova-abertura-de-consulta-publica-sobre-o-edital-dos-leiloes-de-energia-existente-a-1-a-2-e-a-3" TargetMode="External"/><Relationship Id="rId34" Type="http://schemas.openxmlformats.org/officeDocument/2006/relationships/hyperlink" Target="https://www.gov.br/anm/pt-br/assuntos/noticias/recolhimento-da-cfem-tem-nova-plataforma-digital" TargetMode="External"/><Relationship Id="rId35" Type="http://schemas.openxmlformats.org/officeDocument/2006/relationships/hyperlink" Target="https://www.epe.gov.br/pt/imprensa/noticias/em-parceria-com-a-epe-curso-de-mercados-de-energia-para-futuros-lideres-tera-nova-turma-em-agosto" TargetMode="External"/><Relationship Id="rId36" Type="http://schemas.openxmlformats.org/officeDocument/2006/relationships/hyperlink" Target="https://www.epe.gov.br/pt/imprensa/noticias/epe-atualiza-ferramentas-interativas-do-balanco-energetico-nacional-ben-2026" TargetMode="External"/><Relationship Id="rId37" Type="http://schemas.openxmlformats.org/officeDocument/2006/relationships/hyperlink" Target="https://www.gov.br/fazenda/pt-br/assuntos/noticias/2026/julho/workshop-debate-governanca-dos-gastos-tributarios" TargetMode="External"/><Relationship Id="rId38" Type="http://schemas.openxmlformats.org/officeDocument/2006/relationships/hyperlink" Target="https://www.gov.br/fazenda/pt-br/assuntos/noticias/2026/julho/consulta-sobre-a-restituicao-automatica-cashback-pode-ser-feita-a-partir-desta-quarta-8-7-no-site-da-receita" TargetMode="External"/><Relationship Id="rId39" Type="http://schemas.openxmlformats.org/officeDocument/2006/relationships/hyperlink" Target="https://www.gov.br/anpd/pt-br/assuntos/noticias/anpd-e-pnud-selecionam-consultores-para-realizacao-de-estudos-sobre-ia-protecao-de-dados-e-publicidade-digital-voltada-a-criancas-e-adolescentes" TargetMode="External"/><Relationship Id="rId40" Type="http://schemas.openxmlformats.org/officeDocument/2006/relationships/hyperlink" Target="https://www.gov.br/inpi/pt-br/central-de-conteudo/noticias/sistema-de-peticionamento-de-programa-de-computador-volta-a-funcionar" TargetMode="External"/><Relationship Id="rId41" Type="http://schemas.openxmlformats.org/officeDocument/2006/relationships/hyperlink" Target="https://www.gov.br/inpi/pt-br/central-de-conteudo/noticias/sistema-de-restituicao-de-taxas-esta-disponivel" TargetMode="External"/><Relationship Id="rId42" Type="http://schemas.openxmlformats.org/officeDocument/2006/relationships/hyperlink" Target="https://www.gov.br/inpi/pt-br/central-de-conteudo/noticias/tomada-publica-de-subsidios-sobre-indicacoes-geograficas-argentinas-esta-aberta" TargetMode="External"/><Relationship Id="rId43" Type="http://schemas.openxmlformats.org/officeDocument/2006/relationships/hyperlink" Target="https://www.gov.br/inpi/pt-br/central-de-conteudo/noticias/consulta-publica-sobre-marcas-de-posicao-recebe-contribuicoes-ate-24-7" TargetMode="External"/><Relationship Id="rId44" Type="http://schemas.openxmlformats.org/officeDocument/2006/relationships/hyperlink" Target="https://www.gov.br/inpi/pt-br/central-de-conteudo/noticias/inpi-realiza-selecao-com-duas-vagas-para-atuar-na-area-de-promocao-e-eventos" TargetMode="External"/><Relationship Id="rId45" Type="http://schemas.openxmlformats.org/officeDocument/2006/relationships/hyperlink" Target="https://www.gov.br/inpi/pt-br/central-de-conteudo/noticias/inpi-seleciona-bolsista-na-area-de-direito-da-propriedade-intelectual" TargetMode="External"/><Relationship Id="rId46" Type="http://schemas.openxmlformats.org/officeDocument/2006/relationships/hyperlink" Target="https://www.gov.br/inpi/pt-br/central-de-conteudo/noticias/inpi-publica-atualizacao-da-agenda-regulatoria-2026-202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