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4D2E"/>
          </w:tcPr>
          <w:p>
            <w:pPr>
              <w:spacing w:before="600" w:after="120"/>
            </w:pPr>
            <w:r>
              <w:rPr>
                <w:b w:val="0"/>
                <w:color w:val="FFFFFF"/>
                <w:sz w:val="88"/>
              </w:rPr>
              <w:t>Boletim</w:t>
            </w:r>
          </w:p>
          <w:p>
            <w:pPr>
              <w:spacing w:after="120"/>
            </w:pPr>
            <w:r>
              <w:rPr>
                <w:b/>
                <w:color w:val="A8D8B9"/>
                <w:sz w:val="22"/>
              </w:rPr>
              <w:t>AMBIENTAL E ESG</w:t>
            </w:r>
          </w:p>
          <w:p>
            <w:pPr>
              <w:spacing w:after="400"/>
            </w:pPr>
            <w:r>
              <w:rPr>
                <w:color w:val="FFFFFF"/>
                <w:sz w:val="28"/>
              </w:rPr>
              <w:t>10 de julho de 2026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b w:val="0"/>
                <w:color w:val="1A4D2E"/>
                <w:sz w:val="56"/>
              </w:rPr>
              <w:t>9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b w:val="0"/>
                <w:color w:val="C0392B"/>
                <w:sz w:val="56"/>
              </w:rPr>
              <w:t>2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b w:val="0"/>
                <w:color w:val="D68910"/>
                <w:sz w:val="56"/>
              </w:rPr>
              <w:t>5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b w:val="0"/>
                <w:color w:val="7F8C8D"/>
                <w:sz w:val="56"/>
              </w:rPr>
              <w:t>2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rPr>
                <w:b/>
                <w:color w:val="888888"/>
                <w:sz w:val="18"/>
              </w:rPr>
              <w:t>TOTAL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b/>
                <w:color w:val="888888"/>
                <w:sz w:val="18"/>
              </w:rPr>
              <w:t>ALTA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b/>
                <w:color w:val="888888"/>
                <w:sz w:val="18"/>
              </w:rPr>
              <w:t>MEDIA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b/>
                <w:color w:val="888888"/>
                <w:sz w:val="18"/>
              </w:rPr>
              <w:t>BAIXA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EF5E7"/>
          </w:tcPr>
          <w:p>
            <w:pPr>
              <w:spacing w:before="160" w:after="160"/>
            </w:pPr>
            <w:r>
              <w:rPr>
                <w:b/>
                <w:color w:val="D68910"/>
                <w:sz w:val="20"/>
              </w:rPr>
              <w:t xml:space="preserve">Nota: </w:t>
            </w:r>
            <w:r>
              <w:rPr>
                <w:color w:val="4A4A4A"/>
                <w:sz w:val="20"/>
              </w:rPr>
              <w:t>Este boletim tera as seguintes fontes adicionais quando a integracao por e-mail estiver ativa: RC Ambiental.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4D2E"/>
          </w:tcPr>
          <w:p>
            <w:pPr>
              <w:spacing w:before="120" w:after="40"/>
            </w:pPr>
            <w:r>
              <w:rPr>
                <w:b w:val="0"/>
                <w:color w:val="FFFFFF"/>
                <w:sz w:val="32"/>
              </w:rPr>
              <w:t>Destaques do dia</w:t>
            </w:r>
          </w:p>
          <w:p>
            <w:pPr>
              <w:spacing w:after="120"/>
            </w:pPr>
            <w:r>
              <w:rPr>
                <w:color w:val="A8D8B9"/>
                <w:sz w:val="18"/>
              </w:rPr>
              <w:t>Selecionados por alta relevancia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0F7F2"/>
          </w:tcPr>
          <w:p>
            <w:pPr>
              <w:spacing w:before="120" w:after="40"/>
            </w:pPr>
            <w:r>
              <w:rPr>
                <w:b/>
                <w:color w:val="1A4D2E"/>
                <w:sz w:val="16"/>
              </w:rPr>
              <w:t>MME | NOTÍCIAS</w:t>
            </w:r>
          </w:p>
          <w:p>
            <w:pPr>
              <w:spacing w:after="40"/>
            </w:pPr>
            <w:hyperlink r:id="rId9">
              <w:r>
                <w:rPr>
                  <w:color w:val="1A1A1A"/>
                  <w:u w:val="single"/>
                  <w:b/>
                </w:rPr>
                <w:t>Resolução do CMSE estabelece novas diretrizes para despacho de geração térmica</w:t>
              </w:r>
            </w:hyperlink>
          </w:p>
          <w:p>
            <w:pPr>
              <w:spacing w:after="120"/>
            </w:pPr>
            <w:r>
              <w:rPr>
                <w:color w:val="4A4A4A"/>
                <w:sz w:val="18"/>
              </w:rPr>
              <w:t>Resolução do Comitê de Monitoramento do Setor Elétrico (CMSE) publicada no DOU estabelece novas diretrizes para despacho de geração térmica.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0F7F2"/>
          </w:tcPr>
          <w:p>
            <w:pPr>
              <w:spacing w:before="120" w:after="40"/>
            </w:pPr>
            <w:r>
              <w:rPr>
                <w:b/>
                <w:color w:val="1A4D2E"/>
                <w:sz w:val="16"/>
              </w:rPr>
              <w:t>EPE | NOTÍCIAS</w:t>
            </w:r>
          </w:p>
          <w:p>
            <w:pPr>
              <w:spacing w:after="40"/>
            </w:pPr>
            <w:hyperlink r:id="rId10">
              <w:r>
                <w:rPr>
                  <w:color w:val="1A1A1A"/>
                  <w:u w:val="single"/>
                  <w:b/>
                </w:rPr>
                <w:t>EPE prevê expansões do Sistema Interligado Nacional no PET/PELP do 1º semestre de 2026</w:t>
              </w:r>
            </w:hyperlink>
          </w:p>
          <w:p>
            <w:pPr>
              <w:spacing w:after="120"/>
            </w:pPr>
            <w:r>
              <w:rPr>
                <w:color w:val="4A4A4A"/>
                <w:sz w:val="18"/>
              </w:rPr>
              <w:t>O PET/PELP apresenta estatísticas referentes à expansão planejada, contextualizando os principais destaques dos estados, com informações sobre as próximas obras a serem licitadas e seus investimentos e benefícios, bem como proporciona uma visão geral sobre os estudos de planejamento em andamento, a serem contemplados nas próximas edições do documento.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4D2E"/>
          </w:tcPr>
          <w:p>
            <w:pPr>
              <w:spacing w:before="120" w:after="40"/>
            </w:pPr>
            <w:r>
              <w:rPr>
                <w:b w:val="0"/>
                <w:color w:val="FFFFFF"/>
                <w:sz w:val="32"/>
              </w:rPr>
              <w:t>Energia e Recursos</w:t>
            </w:r>
          </w:p>
        </w:tc>
      </w:tr>
    </w:tbl>
    <w:p>
      <w:pPr>
        <w:spacing w:before="240" w:after="80"/>
      </w:pPr>
      <w:r>
        <w:rPr>
          <w:b/>
          <w:color w:val="1A4D2E"/>
          <w:sz w:val="20"/>
        </w:rPr>
        <w:t>ANP | NOTÍCIAS</w:t>
      </w:r>
    </w:p>
    <w:p>
      <w:pPr>
        <w:spacing w:before="0" w:after="40"/>
        <w:pBdr>
          <w:bottom w:val="single" w:sz="8" w:space="1" w:color="1A4D2E"/>
        </w:pBdr>
      </w:pPr>
    </w:p>
    <w:p>
      <w:pPr>
        <w:spacing w:before="160" w:after="40"/>
      </w:pPr>
      <w:r>
        <w:rPr>
          <w:b/>
          <w:color w:val="1A1A1A"/>
          <w:sz w:val="22"/>
        </w:rPr>
        <w:t xml:space="preserve">Inscrições para Jornada Empreendedora PRH-ANP 2026 podem ser feitas até 17 de julho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Inscrições abertas para a Jornada Empreendedora do PRH-ANP 2026, com prazo até 17 de julho.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2026-07-09   </w:t>
      </w:r>
      <w:hyperlink r:id="rId11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Notícia sobre evento de capacitação, de interesse geral mas com baixo impacto regulatório direto.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ANP estará presente na Rio Innovation Week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A Agência Nacional do Petróleo, Gás Natural e Biocombustíveis (ANP) participará da Rio Innovation Week, realizando dois seminários.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2026-07-09   </w:t>
      </w:r>
      <w:hyperlink r:id="rId12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Notícia sobre participação em evento, de caráter institucional.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ANP publica cartilha com orientações para postos de combustíveis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A ANP atualizou e publicou uma cartilha com orientações para postos de combustíveis, detalhando procedimentos da legislação vigente.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2026-07-09   </w:t>
      </w:r>
      <w:hyperlink r:id="rId13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Publicação de orientações regulatórias para o setor de combustíveis, impactando operadores.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ANP realiza 2ª edição do workshop Net Zero ANP, sobre hidrogênio de bai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A ANP realiza a segunda edição do workshop Net Zero ANP, focado em hidrogênio de baixo carbono.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data nao identificada   </w:t>
      </w:r>
      <w:hyperlink r:id="rId14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Workshop sobre tema estratégico (hidrogênio de baixo carbono) para o setor de energia. Data não clara, incluído por padrão.</w:t>
      </w:r>
    </w:p>
    <w:p>
      <w:pPr>
        <w:spacing w:before="240" w:after="80"/>
      </w:pPr>
      <w:r>
        <w:rPr>
          <w:b/>
          <w:color w:val="1A4D2E"/>
          <w:sz w:val="20"/>
        </w:rPr>
        <w:t>MME | NOTÍCIAS</w:t>
      </w:r>
    </w:p>
    <w:p>
      <w:pPr>
        <w:spacing w:before="0" w:after="40"/>
        <w:pBdr>
          <w:bottom w:val="single" w:sz="8" w:space="1" w:color="1A4D2E"/>
        </w:pBdr>
      </w:pPr>
    </w:p>
    <w:p>
      <w:pPr>
        <w:spacing w:before="160" w:after="40"/>
      </w:pPr>
      <w:r>
        <w:rPr>
          <w:b/>
          <w:color w:val="1A1A1A"/>
          <w:sz w:val="22"/>
        </w:rPr>
        <w:t xml:space="preserve">Resolução do CMSE estabelece novas diretrizes para despacho de geração térmica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Resolução do Comitê de Monitoramento do Setor Elétrico (CMSE) publicada no DOU estabelece novas diretrizes para despacho de geração térmica.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2026-07-09   </w:t>
      </w:r>
      <w:hyperlink r:id="rId9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Nova resolução com diretrizes para o despacho de geração térmica, impactando o setor elétrico.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MME abre consulta pública sobre Plano de Ação Nacional para a Mineração Artesanal e em Pequena Escala de Ouro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O Ministério de Minas e Energia (MME) abriu consulta pública para o Plano de Ação Nacional para a Mineração Artesanal e em Pequena Escala de Ouro.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2026-07-09   </w:t>
      </w:r>
      <w:hyperlink r:id="rId15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Abertura de consulta pública sobre plano de ação para mineração, relevante para o setor.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EPE e MME publicam Caderno de Requisitos de Energia e Potência do PDE 2032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A EPE e o MME publicam o Caderno de Requisitos de Energia e Potência do Plano Decenal de Expansão de Energia (PDE) 2032.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data nao identificada   </w:t>
      </w:r>
      <w:hyperlink r:id="rId16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Publicação de caderno técnico sobre planejamento energético, relevante para o setor. Data não clara, incluído por padrão.</w:t>
      </w:r>
    </w:p>
    <w:p>
      <w:pPr>
        <w:spacing w:before="240" w:after="80"/>
      </w:pPr>
      <w:r>
        <w:rPr>
          <w:b/>
          <w:color w:val="1A4D2E"/>
          <w:sz w:val="20"/>
        </w:rPr>
        <w:t>EPE | NOTÍCIAS</w:t>
      </w:r>
    </w:p>
    <w:p>
      <w:pPr>
        <w:spacing w:before="0" w:after="40"/>
        <w:pBdr>
          <w:bottom w:val="single" w:sz="8" w:space="1" w:color="1A4D2E"/>
        </w:pBdr>
      </w:pPr>
    </w:p>
    <w:p>
      <w:pPr>
        <w:spacing w:before="160" w:after="40"/>
      </w:pPr>
      <w:r>
        <w:rPr>
          <w:b/>
          <w:color w:val="1A1A1A"/>
          <w:sz w:val="22"/>
        </w:rPr>
        <w:t xml:space="preserve">EPE prevê expansões do Sistema Interligado Nacional no PET/PELP do 1º semestre de 2026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O PET/PELP apresenta estatísticas referentes à expansão planejada, contextualizando os principais destaques dos estados, com informações sobre as próximas obras a serem licitadas e seus investimentos e benefícios, bem como proporciona uma visão geral sobre os estudos de planejamento em andamento, a serem contemplados nas próximas edições do documento.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2026-07-09   </w:t>
      </w:r>
      <w:hyperlink r:id="rId10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Previsões de expansão do Sistema Interligado Nacional, com impacto no planejamento e investimentos do setor elétrico.</w:t>
      </w:r>
    </w:p>
    <w:p>
      <w:pPr>
        <w:spacing w:before="240" w:after="80"/>
      </w:pPr>
      <w:r>
        <w:rPr>
          <w:b/>
          <w:color w:val="1A4D2E"/>
          <w:sz w:val="20"/>
        </w:rPr>
        <w:t>ANM | NOTÍCIAS</w:t>
      </w:r>
    </w:p>
    <w:p>
      <w:pPr>
        <w:spacing w:before="0" w:after="40"/>
        <w:pBdr>
          <w:bottom w:val="single" w:sz="8" w:space="1" w:color="1A4D2E"/>
        </w:pBdr>
      </w:pPr>
    </w:p>
    <w:p>
      <w:pPr>
        <w:spacing w:before="160" w:after="40"/>
      </w:pPr>
      <w:r>
        <w:rPr>
          <w:b/>
          <w:color w:val="1A1A1A"/>
          <w:sz w:val="22"/>
        </w:rPr>
        <w:t xml:space="preserve">Royalties da mineração injetam mais de R$ 477 milhões em estados e municípios produtores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Royalties da mineração injetaram mais de R$ 477 milhões em estados e municípios produtores.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data nao identificada   </w:t>
      </w:r>
      <w:hyperlink r:id="rId17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Notícia sobre o impacto financeiro dos royalties da mineração, relevante para o setor e entes federativos. Data não clara, incluído por padrão.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</w:tcPr>
          <w:p>
            <w:pPr>
              <w:spacing w:before="120" w:after="40"/>
            </w:pPr>
            <w:r>
              <w:rPr>
                <w:b w:val="0"/>
                <w:color w:val="1A4D2E"/>
                <w:sz w:val="32"/>
              </w:rPr>
              <w:t>Transparencia da coleta</w:t>
            </w:r>
          </w:p>
        </w:tc>
      </w:tr>
    </w:tbl>
    <w:p>
      <w:r>
        <w:rPr>
          <w:b/>
          <w:color w:val="1A4D2E"/>
          <w:sz w:val="20"/>
        </w:rPr>
        <w:t>Fontes sem publicacao na janela:</w:t>
      </w:r>
    </w:p>
    <w:p>
      <w:pPr>
        <w:pStyle w:val="ListBullet"/>
      </w:pPr>
      <w:r>
        <w:rPr>
          <w:color w:val="4A4A4A"/>
          <w:sz w:val="18"/>
        </w:rPr>
        <w:t>CCEE | Noticias - Nenhum resultado encontrado na janela temporal.</w:t>
      </w:r>
    </w:p>
    <w:p>
      <w:pPr>
        <w:pStyle w:val="ListBullet"/>
      </w:pPr>
      <w:r>
        <w:rPr>
          <w:color w:val="4A4A4A"/>
          <w:sz w:val="18"/>
        </w:rPr>
        <w:t>Ministério da Fazenda | Notícias - Nenhum resultado encontrado na janela temporal.</w:t>
      </w:r>
    </w:p>
    <w:p>
      <w:pPr>
        <w:pStyle w:val="ListBullet"/>
      </w:pPr>
      <w:r>
        <w:rPr>
          <w:color w:val="4A4A4A"/>
          <w:sz w:val="18"/>
        </w:rPr>
        <w:t>ANPD | Notícias - Nenhum resultado encontrado na janela temporal.</w:t>
      </w:r>
    </w:p>
    <w:p>
      <w:pPr>
        <w:pStyle w:val="ListBullet"/>
      </w:pPr>
      <w:r>
        <w:rPr>
          <w:color w:val="4A4A4A"/>
          <w:sz w:val="18"/>
        </w:rPr>
        <w:t>CVM | Notícias - Nenhum resultado encontrado na janela temporal.</w:t>
      </w:r>
    </w:p>
    <w:p>
      <w:pPr>
        <w:pStyle w:val="ListBullet"/>
      </w:pPr>
      <w:r>
        <w:rPr>
          <w:color w:val="4A4A4A"/>
          <w:sz w:val="18"/>
        </w:rPr>
        <w:t>B3 | Ofícios e Comunicados - Nenhum resultado encontrado na janela temporal.</w:t>
      </w:r>
    </w:p>
    <w:p>
      <w:pPr>
        <w:pStyle w:val="ListBullet"/>
      </w:pPr>
      <w:r>
        <w:rPr>
          <w:color w:val="4A4A4A"/>
          <w:sz w:val="18"/>
        </w:rPr>
        <w:t>ONS | Notícias - Nenhum item encontrado na fonte.</w:t>
      </w:r>
    </w:p>
    <w:p>
      <w:pPr>
        <w:pStyle w:val="ListBullet"/>
      </w:pPr>
      <w:r>
        <w:rPr>
          <w:color w:val="4A4A4A"/>
          <w:sz w:val="18"/>
        </w:rPr>
        <w:t>ANEEL | Últimas Notícias - Nenhum resultado encontrado na janela temporal.</w:t>
      </w:r>
    </w:p>
    <w:p>
      <w:pPr>
        <w:pStyle w:val="ListBullet"/>
      </w:pPr>
      <w:r>
        <w:rPr>
          <w:color w:val="4A4A4A"/>
          <w:sz w:val="18"/>
        </w:rPr>
        <w:t>Secretaria de Prêmios e Apostas | Notícias - Nenhum resultado encontrado na fonte.</w:t>
      </w:r>
    </w:p>
    <w:p>
      <w:pPr>
        <w:pStyle w:val="ListBullet"/>
      </w:pPr>
      <w:r>
        <w:rPr>
          <w:color w:val="4A4A4A"/>
          <w:sz w:val="18"/>
        </w:rPr>
        <w:t>INPI | Notícias - Nenhum resultado encontrado na janela temporal.</w:t>
      </w:r>
    </w:p>
    <w:p>
      <w:pPr>
        <w:pStyle w:val="ListBullet"/>
      </w:pPr>
      <w:r>
        <w:rPr>
          <w:color w:val="4A4A4A"/>
          <w:sz w:val="18"/>
        </w:rPr>
        <w:t>Ministério da Agricultura | Notícias - Nenhum resultado encontrado na janela temporal.</w:t>
      </w:r>
    </w:p>
    <w:p>
      <w:r>
        <w:rPr>
          <w:b/>
          <w:color w:val="D68910"/>
          <w:sz w:val="20"/>
        </w:rPr>
        <w:t>Fontes sem resultado relevante:</w:t>
      </w:r>
    </w:p>
    <w:p>
      <w:pPr>
        <w:pStyle w:val="ListBullet"/>
      </w:pPr>
      <w:r>
        <w:rPr>
          <w:color w:val="4A4A4A"/>
          <w:sz w:val="18"/>
        </w:rPr>
        <w:t>Destaques do D.O.U. - Página de busca, não lista publicações diretamente.</w:t>
      </w:r>
    </w:p>
    <w:p>
      <w:pPr>
        <w:pStyle w:val="ListBullet"/>
      </w:pPr>
      <w:r>
        <w:rPr>
          <w:color w:val="4A4A4A"/>
          <w:sz w:val="18"/>
        </w:rPr>
        <w:t>Receita Federal | Normas - Página de busca, não lista publicações diretamente.</w:t>
      </w:r>
    </w:p>
    <w:p>
      <w:pPr>
        <w:pStyle w:val="ListBullet"/>
      </w:pPr>
      <w:r>
        <w:rPr>
          <w:color w:val="4A4A4A"/>
          <w:sz w:val="18"/>
        </w:rPr>
        <w:t>CGU | Notícias - Conteúdo restrito, requer autenticação.</w:t>
      </w:r>
    </w:p>
    <w:p>
      <w:pPr>
        <w:pStyle w:val="ListBullet"/>
      </w:pPr>
      <w:r>
        <w:rPr>
          <w:color w:val="4A4A4A"/>
          <w:sz w:val="18"/>
        </w:rPr>
        <w:t>COAF | Notícias - Conteúdo não carregado ('Carregando') ou não disponível.</w:t>
      </w:r>
    </w:p>
    <w:p>
      <w:pPr>
        <w:pStyle w:val="ListBullet"/>
      </w:pPr>
      <w:r>
        <w:rPr>
          <w:color w:val="4A4A4A"/>
          <w:sz w:val="18"/>
        </w:rPr>
        <w:t>Ministério do Meio Ambiente | Notícias - Conteúdo restrito, requer autenticação.</w:t>
      </w:r>
    </w:p>
    <w:p>
      <w:pPr>
        <w:pStyle w:val="ListBullet"/>
      </w:pPr>
      <w:r>
        <w:rPr>
          <w:color w:val="4A4A4A"/>
          <w:sz w:val="18"/>
        </w:rPr>
        <w:t>SENACON | Notícias - Conteúdo restrito, requer autenticação.</w:t>
      </w:r>
    </w:p>
    <w:p>
      <w:r>
        <w:rPr>
          <w:b/>
          <w:color w:val="C0392B"/>
          <w:sz w:val="20"/>
        </w:rPr>
        <w:t>Fontes com erro tecnico:</w:t>
      </w:r>
    </w:p>
    <w:p>
      <w:pPr>
        <w:pStyle w:val="ListBullet"/>
      </w:pPr>
      <w:r>
        <w:rPr>
          <w:color w:val="4A4A4A"/>
          <w:sz w:val="18"/>
        </w:rPr>
        <w:t>Planalto | Resenha Diaria - Internal Server Error: Failed to scrape. All scraping engines failed to retrieve content from this URL. Engines tried: [index, fire-engine;chrome-cdp, fire-engine(retry);chrome-cdp, fire-engine;tlscli</w:t>
      </w:r>
    </w:p>
    <w:p/>
    <w:p>
      <w:pPr>
        <w:spacing w:before="0" w:after="40"/>
        <w:pBdr>
          <w:bottom w:val="single" w:sz="8" w:space="1" w:color="888888"/>
        </w:pBdr>
      </w:pPr>
    </w:p>
    <w:p>
      <w:pPr>
        <w:spacing w:before="120"/>
        <w:jc w:val="center"/>
      </w:pPr>
      <w:r>
        <w:rPr>
          <w:i/>
          <w:color w:val="888888"/>
          <w:sz w:val="16"/>
        </w:rPr>
        <w:t>Rascunho gerado automaticamente para validacao interna.</w:t>
      </w:r>
    </w:p>
    <w:p>
      <w:pPr>
        <w:jc w:val="center"/>
      </w:pPr>
      <w:r>
        <w:rPr>
          <w:i/>
          <w:color w:val="888888"/>
          <w:sz w:val="16"/>
        </w:rPr>
        <w:t>Curadoria por IA + revisao humana recomendada antes da distribuicao.</w:t>
      </w:r>
    </w:p>
    <w:p>
      <w:pPr>
        <w:jc w:val="center"/>
      </w:pPr>
      <w:r>
        <w:rPr>
          <w:color w:val="888888"/>
          <w:sz w:val="16"/>
        </w:rPr>
        <w:t>Janela analisada: 2026-07-09T00:00 ate 2026-07-10T10:13</w:t>
      </w:r>
    </w:p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gov.br/mme/pt-br/assuntos/noticias/resolucao-do-cmse-estabelece-novas-diretrizes-para-despacho-de-geracao-termica" TargetMode="External"/><Relationship Id="rId10" Type="http://schemas.openxmlformats.org/officeDocument/2006/relationships/hyperlink" Target="https://www.epe.gov.br/pt/imprensa/noticias/epe-preve-expansoes-do-sistema-interligado-nacional-no-pet-pelp-do-1-semestre-de-2026" TargetMode="External"/><Relationship Id="rId11" Type="http://schemas.openxmlformats.org/officeDocument/2006/relationships/hyperlink" Target="https://www.gov.br/anp/pt-br/canais_atendimento/imprensa/noticias-comunicados/inscricoes-para-jornada-empreendedora-prh-anp-2026-podem-ser-feitas-ate-17-de-julho" TargetMode="External"/><Relationship Id="rId12" Type="http://schemas.openxmlformats.org/officeDocument/2006/relationships/hyperlink" Target="https://www.gov.br/anp/pt-br/canais_atendimento/imprensa/noticias-comunicados/anp-estara-presente-na-rio-innovation-week" TargetMode="External"/><Relationship Id="rId13" Type="http://schemas.openxmlformats.org/officeDocument/2006/relationships/hyperlink" Target="https://www.gov.br/anp/pt-br/canais_atendimento/imprensa/noticias-comunicados/anp-publica-cartilha-com-orientacoes-para-postos-de-combustiveis" TargetMode="External"/><Relationship Id="rId14" Type="http://schemas.openxmlformats.org/officeDocument/2006/relationships/hyperlink" Target="https://www.gov.br/anp/pt-br/canais_atendimento/imprensa/noticias-comunicados/anp-realiza-2a-edicao-do-workshop-net-zero-anp-sobre-hidrogenio-de-bai" TargetMode="External"/><Relationship Id="rId15" Type="http://schemas.openxmlformats.org/officeDocument/2006/relationships/hyperlink" Target="https://www.gov.br/mme/pt-br/assuntos/noticias/mme-abre-consulta-publica-sobre-plano-de-acao-nacional-para-a-mineracao-artesanal-e-em-pequena-escala-de-ouro" TargetMode="External"/><Relationship Id="rId16" Type="http://schemas.openxmlformats.org/officeDocument/2006/relationships/hyperlink" Target="https://www.gov.br/mme/pt-br/assuntos/noticias/epe-e-mme-publicam-caderno-de-requisitos-de-energia-e-potencia-do-pde-2032" TargetMode="External"/><Relationship Id="rId17" Type="http://schemas.openxmlformats.org/officeDocument/2006/relationships/hyperlink" Target="https://www.gov.br/anm/pt-br/assuntos/noticias/royalties-da-mineracao-injetam-mais-de-r-477-milhoes-em-estados-e-municipios-produtores/materia-imagm.png/@@images/1189bdeb-4d5a-4252-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