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CONTENCIOSO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10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Tributário.com.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Comunicado n° 45.535, 10/7/2026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"R" e a Taxa Referencial (TR) relativos a 9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45.534,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45.533,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condições de oferta pública para a realização de operações de swap para fins de rolagem do vencimento de 03/08/2026.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761,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orientações sobre medidas reforçadas para instituições financeiras em operações com países com deficiências nas recomendações do Gafi.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45.538,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2026-07-10T09:42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de interessados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45.537,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2026-07-10T09:39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de interessados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45.536,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fins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2026-07-10T09:34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relevante para o setor regulado.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45.535, 10/7/2026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9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de referência importantes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45.534,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2026-07-09T18:31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Estabelece condições para operações financeiras, com impacto direto em instituições do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45.533,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condições de oferta pública para a realização de operações de swap para fins de rolagem do vencimento de 03/08/2026.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Define condições para operações de swap, impactando o mercado de câmbio e derivativos.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761,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orientações sobre medidas reforçadas para instituições financeiras em operações com países com deficiências nas recomendações do Gafi.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2026-07-09T16:33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Instrução normativa com impacto regulatório direto sobre compliance e prevenção à lavagem de dinheiro para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760,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versão 9.0 do Manual de Experiência do Cliente no Open Finance.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2026-07-09T13:46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manual técnico do Open Finance, com impacto operacional para as instituições.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versão 8.0 do Manual de Escopo de Dados e Serviços do Open Finance.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2026-07-09T13:26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manual técnico do Open Finance, com impacto operacional para as instituições.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45.532,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o resultado de leilões de swap.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2026-07-09T11:44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sobre o resultado de leilões de swap,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45.531,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2026-07-09T11:30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leilão de swap cambial,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45.530,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2026-07-09T11:30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leilão de swap cambial,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 com interesse em participar do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2026-07-09T10:21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 de interessado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45.528,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2026-07-09T09:36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relevante para o setor regulado.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CCEE | Noticias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Fazenda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ANPD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CVM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fonte.</w:t>
      </w:r>
    </w:p>
    <w:p>
      <w:pPr>
        <w:pStyle w:val="ListBullet"/>
      </w:pPr>
      <w:r>
        <w:rPr>
          <w:color w:val="4A4A4A"/>
          <w:sz w:val="18"/>
        </w:rPr>
        <w:t>ANEEL | Últimas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encontrado na fonte.</w:t>
      </w:r>
    </w:p>
    <w:p>
      <w:pPr>
        <w:pStyle w:val="ListBullet"/>
      </w:pPr>
      <w:r>
        <w:rPr>
          <w:color w:val="4A4A4A"/>
          <w:sz w:val="18"/>
        </w:rPr>
        <w:t>INPI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 resultado encontrado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Receita Federal | Normas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COAF | Notícias - Conteúdo não carregado ('Carregando') ou não disponível.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Planalto | Resenha Diaria - Internal Server Error: Failed to scrape. All scraping engines failed to retrieve content from this URL. Engines tried: [index, fire-engine;chrome-cdp, fire-engine(retry);chrome-cdp, fire-engine;tlscli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2026-07-09T00:00 ate 2026-07-10T10:13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cb.gov.br/estabilidadefinanceira/exibenormativo?tipo=Comunicado&amp;numero=45535" TargetMode="External"/><Relationship Id="rId10" Type="http://schemas.openxmlformats.org/officeDocument/2006/relationships/hyperlink" Target="https://www.bcb.gov.br/estabilidadefinanceira/exibenormativo?tipo=Comunicado&amp;numero=45534" TargetMode="External"/><Relationship Id="rId11" Type="http://schemas.openxmlformats.org/officeDocument/2006/relationships/hyperlink" Target="https://www.bcb.gov.br/estabilidadefinanceira/exibenormativo?tipo=Comunicado&amp;numero=45533" TargetMode="External"/><Relationship Id="rId12" Type="http://schemas.openxmlformats.org/officeDocument/2006/relationships/hyperlink" Target="https://www.bcb.gov.br/estabilidadefinanceira/exibenormativo?tipo=Instru%C3%A7%C3%A3o%20Normativa%20BCB&amp;numero=761" TargetMode="External"/><Relationship Id="rId13" Type="http://schemas.openxmlformats.org/officeDocument/2006/relationships/hyperlink" Target="https://www.bcb.gov.br/estabilidadefinanceira/exibenormativo?tipo=Comunicado&amp;numero=45538" TargetMode="External"/><Relationship Id="rId14" Type="http://schemas.openxmlformats.org/officeDocument/2006/relationships/hyperlink" Target="https://www.bcb.gov.br/estabilidadefinanceira/exibenormativo?tipo=Comunicado&amp;numero=45537" TargetMode="External"/><Relationship Id="rId15" Type="http://schemas.openxmlformats.org/officeDocument/2006/relationships/hyperlink" Target="https://www.bcb.gov.br/estabilidadefinanceira/exibenormativo?tipo=Comunicado&amp;numero=45536" TargetMode="External"/><Relationship Id="rId16" Type="http://schemas.openxmlformats.org/officeDocument/2006/relationships/hyperlink" Target="https://www.bcb.gov.br/estabilidadefinanceira/exibenormativo?tipo=Instru%C3%A7%C3%A3o%20Normativa%20BCB&amp;numero=760" TargetMode="External"/><Relationship Id="rId17" Type="http://schemas.openxmlformats.org/officeDocument/2006/relationships/hyperlink" Target="https://www.bcb.gov.br/estabilidadefinanceira/exibenormativo?tipo=Instru%C3%A7%C3%A3o%20Normativa%20BCB&amp;numero=759" TargetMode="External"/><Relationship Id="rId18" Type="http://schemas.openxmlformats.org/officeDocument/2006/relationships/hyperlink" Target="https://www.bcb.gov.br/estabilidadefinanceira/exibenormativo?tipo=Comunicado&amp;numero=45532" TargetMode="External"/><Relationship Id="rId19" Type="http://schemas.openxmlformats.org/officeDocument/2006/relationships/hyperlink" Target="https://www.bcb.gov.br/estabilidadefinanceira/exibenormativo?tipo=Comunicado&amp;numero=45531" TargetMode="External"/><Relationship Id="rId20" Type="http://schemas.openxmlformats.org/officeDocument/2006/relationships/hyperlink" Target="https://www.bcb.gov.br/estabilidadefinanceira/exibenormativo?tipo=Comunicado&amp;numero=45530" TargetMode="External"/><Relationship Id="rId21" Type="http://schemas.openxmlformats.org/officeDocument/2006/relationships/hyperlink" Target="https://www.bcb.gov.br/estabilidadefinanceira/exibenormativo?tipo=Comunicado&amp;numero=45529" TargetMode="External"/><Relationship Id="rId22" Type="http://schemas.openxmlformats.org/officeDocument/2006/relationships/hyperlink" Target="https://www.bcb.gov.br/estabilidadefinanceira/exibenormativo?tipo=Comunicado&amp;numero=455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