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600" w:after="120"/>
            </w:pPr>
            <w:r>
              <w:rPr>
                <w:b w:val="0"/>
                <w:color w:val="FFFFFF"/>
                <w:sz w:val="88"/>
              </w:rPr>
              <w:t>Boletim</w:t>
            </w:r>
          </w:p>
          <w:p>
            <w:pPr>
              <w:spacing w:after="120"/>
            </w:pPr>
            <w:r>
              <w:rPr>
                <w:b/>
                <w:color w:val="A8D8B9"/>
                <w:sz w:val="22"/>
              </w:rPr>
              <w:t>TRIBUTARIO</w:t>
            </w:r>
          </w:p>
          <w:p>
            <w:pPr>
              <w:spacing w:after="400"/>
            </w:pPr>
            <w:r>
              <w:rPr>
                <w:color w:val="FFFFFF"/>
                <w:sz w:val="28"/>
              </w:rPr>
              <w:t>10 de julho de 2026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 w:val="0"/>
                <w:color w:val="1A4D2E"/>
                <w:sz w:val="56"/>
              </w:rPr>
              <w:t>14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 w:val="0"/>
                <w:color w:val="C0392B"/>
                <w:sz w:val="56"/>
              </w:rPr>
              <w:t>4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 w:val="0"/>
                <w:color w:val="D68910"/>
                <w:sz w:val="56"/>
              </w:rPr>
              <w:t>10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 w:val="0"/>
                <w:color w:val="7F8C8D"/>
                <w:sz w:val="56"/>
              </w:rPr>
              <w:t>0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rPr>
                <w:b/>
                <w:color w:val="888888"/>
                <w:sz w:val="18"/>
              </w:rPr>
              <w:t>TOTAL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  <w:color w:val="888888"/>
                <w:sz w:val="18"/>
              </w:rPr>
              <w:t>ALTA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  <w:color w:val="888888"/>
                <w:sz w:val="18"/>
              </w:rPr>
              <w:t>MEDIA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  <w:color w:val="888888"/>
                <w:sz w:val="18"/>
              </w:rPr>
              <w:t>BAIXA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EF5E7"/>
          </w:tcPr>
          <w:p>
            <w:pPr>
              <w:spacing w:before="160" w:after="160"/>
            </w:pPr>
            <w:r>
              <w:rPr>
                <w:b/>
                <w:color w:val="D68910"/>
                <w:sz w:val="20"/>
              </w:rPr>
              <w:t xml:space="preserve">Nota: </w:t>
            </w:r>
            <w:r>
              <w:rPr>
                <w:color w:val="4A4A4A"/>
                <w:sz w:val="20"/>
              </w:rPr>
              <w:t>Este boletim tera as seguintes fontes adicionais quando a integracao por e-mail estiver ativa: Tributário.com.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120" w:after="40"/>
            </w:pPr>
            <w:r>
              <w:rPr>
                <w:b w:val="0"/>
                <w:color w:val="FFFFFF"/>
                <w:sz w:val="32"/>
              </w:rPr>
              <w:t>Destaques do dia</w:t>
            </w:r>
          </w:p>
          <w:p>
            <w:pPr>
              <w:spacing w:after="120"/>
            </w:pPr>
            <w:r>
              <w:rPr>
                <w:color w:val="A8D8B9"/>
                <w:sz w:val="18"/>
              </w:rPr>
              <w:t>Selecionados por alta relevancia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0F7F2"/>
          </w:tcPr>
          <w:p>
            <w:pPr>
              <w:spacing w:before="120" w:after="40"/>
            </w:pPr>
            <w:r>
              <w:rPr>
                <w:b/>
                <w:color w:val="1A4D2E"/>
                <w:sz w:val="16"/>
              </w:rPr>
              <w:t>BANCO CENTRAL | NORMAS</w:t>
            </w:r>
          </w:p>
          <w:p>
            <w:pPr>
              <w:spacing w:after="40"/>
            </w:pPr>
            <w:hyperlink r:id="rId9">
              <w:r>
                <w:rPr>
                  <w:color w:val="1A1A1A"/>
                  <w:u w:val="single"/>
                  <w:b/>
                </w:rPr>
                <w:t>Comunicado n° 45.535, 10/7/2026</w:t>
              </w:r>
            </w:hyperlink>
          </w:p>
          <w:p>
            <w:pPr>
              <w:spacing w:after="120"/>
            </w:pPr>
            <w:r>
              <w:rPr>
                <w:color w:val="4A4A4A"/>
                <w:sz w:val="18"/>
              </w:rPr>
              <w:t>Divulga a Taxa Básica Financeira (TBF), o Redutor "R" e a Taxa Referencial (TR) relativos a 9 de julho de 2026.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0F7F2"/>
          </w:tcPr>
          <w:p>
            <w:pPr>
              <w:spacing w:before="120" w:after="40"/>
            </w:pPr>
            <w:r>
              <w:rPr>
                <w:b/>
                <w:color w:val="1A4D2E"/>
                <w:sz w:val="16"/>
              </w:rPr>
              <w:t>BANCO CENTRAL | NORMAS</w:t>
            </w:r>
          </w:p>
          <w:p>
            <w:pPr>
              <w:spacing w:after="40"/>
            </w:pPr>
            <w:hyperlink r:id="rId10">
              <w:r>
                <w:rPr>
                  <w:color w:val="1A1A1A"/>
                  <w:u w:val="single"/>
                  <w:b/>
                </w:rPr>
                <w:t>Comunicado n° 45.534, 9/7/2026</w:t>
              </w:r>
            </w:hyperlink>
          </w:p>
          <w:p>
            <w:pPr>
              <w:spacing w:after="120"/>
            </w:pPr>
            <w:r>
              <w:rPr>
                <w:color w:val="4A4A4A"/>
                <w:sz w:val="18"/>
              </w:rPr>
              <w:t>Divulga condições para a realização de operações compromissadas com instituições financeiras participantes do módulo Oferta Pública (Ofpub).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0F7F2"/>
          </w:tcPr>
          <w:p>
            <w:pPr>
              <w:spacing w:before="120" w:after="40"/>
            </w:pPr>
            <w:r>
              <w:rPr>
                <w:b/>
                <w:color w:val="1A4D2E"/>
                <w:sz w:val="16"/>
              </w:rPr>
              <w:t>BANCO CENTRAL | NORMAS</w:t>
            </w:r>
          </w:p>
          <w:p>
            <w:pPr>
              <w:spacing w:after="40"/>
            </w:pPr>
            <w:hyperlink r:id="rId11">
              <w:r>
                <w:rPr>
                  <w:color w:val="1A1A1A"/>
                  <w:u w:val="single"/>
                  <w:b/>
                </w:rPr>
                <w:t>Comunicado n° 45.533, 9/7/2026</w:t>
              </w:r>
            </w:hyperlink>
          </w:p>
          <w:p>
            <w:pPr>
              <w:spacing w:after="120"/>
            </w:pPr>
            <w:r>
              <w:rPr>
                <w:color w:val="4A4A4A"/>
                <w:sz w:val="18"/>
              </w:rPr>
              <w:t>Divulga as condições de oferta pública para a realização de operações de swap para fins de rolagem do vencimento de 03/08/2026.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0F7F2"/>
          </w:tcPr>
          <w:p>
            <w:pPr>
              <w:spacing w:before="120" w:after="40"/>
            </w:pPr>
            <w:r>
              <w:rPr>
                <w:b/>
                <w:color w:val="1A4D2E"/>
                <w:sz w:val="16"/>
              </w:rPr>
              <w:t>BANCO CENTRAL | NORMAS</w:t>
            </w:r>
          </w:p>
          <w:p>
            <w:pPr>
              <w:spacing w:after="40"/>
            </w:pPr>
            <w:hyperlink r:id="rId12">
              <w:r>
                <w:rPr>
                  <w:color w:val="1A1A1A"/>
                  <w:u w:val="single"/>
                  <w:b/>
                </w:rPr>
                <w:t>Instrução Normativa BCB n° 761, 9/7/2026</w:t>
              </w:r>
            </w:hyperlink>
          </w:p>
          <w:p>
            <w:pPr>
              <w:spacing w:after="120"/>
            </w:pPr>
            <w:r>
              <w:rPr>
                <w:color w:val="4A4A4A"/>
                <w:sz w:val="18"/>
              </w:rPr>
              <w:t>Divulga orientações sobre medidas reforçadas para instituições financeiras em operações com países com deficiências nas recomendações do Gafi.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120" w:after="40"/>
            </w:pPr>
            <w:r>
              <w:rPr>
                <w:b w:val="0"/>
                <w:color w:val="FFFFFF"/>
                <w:sz w:val="32"/>
              </w:rPr>
              <w:t>Financeiro e Mercado de Capitais</w:t>
            </w:r>
          </w:p>
        </w:tc>
      </w:tr>
    </w:tbl>
    <w:p>
      <w:pPr>
        <w:spacing w:before="240" w:after="80"/>
      </w:pPr>
      <w:r>
        <w:rPr>
          <w:b/>
          <w:color w:val="1A4D2E"/>
          <w:sz w:val="20"/>
        </w:rPr>
        <w:t>BANCO CENTRAL | NORMAS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Comunicado n° 45.538, 10/7/2026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Divulga nome de pessoas com interesse em exercer o controle de Instituição de Pagamento.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2026-07-10T09:42   </w:t>
      </w:r>
      <w:hyperlink r:id="rId13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Divulgação de nomes de interessados em controle de Instituição de Pagamento, relevante para o mercado financeiro.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Comunicado n° 45.537, 10/7/2026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Divulga nome de pessoas com interesse em exercer o controle de Instituição de Pagamento.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2026-07-10T09:39   </w:t>
      </w:r>
      <w:hyperlink r:id="rId14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Divulgação de nomes de interessados em controle de Instituição de Pagamento, relevante para o mercado financeiro.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Comunicado n° 45.536, 10/7/2026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Divulga nomes de pessoas eleitas ou nomeadas para cargos de administração em instituições autorizadas a funcionar, para fins de objeções.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2026-07-10T09:34   </w:t>
      </w:r>
      <w:hyperlink r:id="rId15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Divulgação de nomes para cargos de administração em instituições financeiras, relevante para o setor regulado.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Comunicado n° 45.535, 10/7/2026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Divulga a Taxa Básica Financeira (TBF), o Redutor "R" e a Taxa Referencial (TR) relativos a 9 de julho de 2026.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2026-07-10T09:06   </w:t>
      </w:r>
      <w:hyperlink r:id="rId9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Divulgação de taxas de referência importantes para o mercado financeiro.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Comunicado n° 45.534, 9/7/2026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Divulga condições para a realização de operações compromissadas com instituições financeiras participantes do módulo Oferta Pública (Ofpub).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2026-07-09T18:31   </w:t>
      </w:r>
      <w:hyperlink r:id="rId10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Estabelece condições para operações financeiras, com impacto direto em instituições do mercado.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Comunicado n° 45.533, 9/7/2026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Divulga as condições de oferta pública para a realização de operações de swap para fins de rolagem do vencimento de 03/08/2026.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2026-07-09T18:30   </w:t>
      </w:r>
      <w:hyperlink r:id="rId11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Define condições para operações de swap, impactando o mercado de câmbio e derivativos.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Instrução Normativa BCB n° 761, 9/7/2026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Divulga orientações sobre medidas reforçadas para instituições financeiras em operações com países com deficiências nas recomendações do Gafi.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2026-07-09T16:33   </w:t>
      </w:r>
      <w:hyperlink r:id="rId12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Instrução normativa com impacto regulatório direto sobre compliance e prevenção à lavagem de dinheiro para instituições financeiras.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Instrução Normativa BCB n° 760, 9/7/2026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Divulga a versão 9.0 do Manual de Experiência do Cliente no Open Finance.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2026-07-09T13:46   </w:t>
      </w:r>
      <w:hyperlink r:id="rId16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Atualização de manual técnico do Open Finance, com impacto operacional para as instituições.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Instrução Normativa BCB n° 759, 9/7/2026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Divulga a versão 8.0 do Manual de Escopo de Dados e Serviços do Open Finance.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2026-07-09T13:26   </w:t>
      </w:r>
      <w:hyperlink r:id="rId17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Atualização de manual técnico do Open Finance, com impacto operacional para as instituições.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Comunicado n° 45.532, 9/7/2026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Divulga o resultado de leilões de swap.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2026-07-09T11:44   </w:t>
      </w:r>
      <w:hyperlink r:id="rId18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Informação sobre o resultado de leilões de swap, relevante para o mercado financeiro.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Comunicado n° 45.531, 9/7/2026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Divulga a realização de leilão de Swap Cambial Tradicional para fins de rolagem.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2026-07-09T11:30   </w:t>
      </w:r>
      <w:hyperlink r:id="rId19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Anúncio de leilão de swap cambial, relevante para o mercado financeiro.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Comunicado n° 45.530, 9/7/2026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Divulga a realização de leilão de Swap Cambial Tradicional para fins de rolagem.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2026-07-09T11:30   </w:t>
      </w:r>
      <w:hyperlink r:id="rId20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Anúncio de leilão de swap cambial, relevante para o mercado financeiro.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Comunicado n° 45.529, 9/7/2026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Divulga nome de pessoa com interesse em participar do controle de Instituição de Pagamento.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2026-07-09T10:21   </w:t>
      </w:r>
      <w:hyperlink r:id="rId21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Divulgação de nome de interessado em controle de Instituição de Pagamento, relevante para o mercado financeiro.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Comunicado n° 45.528, 9/7/2026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Divulga, para fins de recebimento de eventuais objeções, nomes de pessoas eleitas ou nomeadas para ocupar cargos de administração em instituições autorizadas a funcionar.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2026-07-09T09:36   </w:t>
      </w:r>
      <w:hyperlink r:id="rId22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Divulgação de nomes para cargos de administração em instituições financeiras, relevante para o setor regulado.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</w:tcPr>
          <w:p>
            <w:pPr>
              <w:spacing w:before="120" w:after="40"/>
            </w:pPr>
            <w:r>
              <w:rPr>
                <w:b w:val="0"/>
                <w:color w:val="1A4D2E"/>
                <w:sz w:val="32"/>
              </w:rPr>
              <w:t>Transparencia da coleta</w:t>
            </w:r>
          </w:p>
        </w:tc>
      </w:tr>
    </w:tbl>
    <w:p>
      <w:r>
        <w:rPr>
          <w:b/>
          <w:color w:val="1A4D2E"/>
          <w:sz w:val="20"/>
        </w:rPr>
        <w:t>Fontes sem publicacao na janela:</w:t>
      </w:r>
    </w:p>
    <w:p>
      <w:pPr>
        <w:pStyle w:val="ListBullet"/>
      </w:pPr>
      <w:r>
        <w:rPr>
          <w:color w:val="4A4A4A"/>
          <w:sz w:val="18"/>
        </w:rPr>
        <w:t>CCEE | Noticias - Nenhum resultado encontrado na janela temporal.</w:t>
      </w:r>
    </w:p>
    <w:p>
      <w:pPr>
        <w:pStyle w:val="ListBullet"/>
      </w:pPr>
      <w:r>
        <w:rPr>
          <w:color w:val="4A4A4A"/>
          <w:sz w:val="18"/>
        </w:rPr>
        <w:t>Ministério da Fazenda | Notícias - Nenhum resultado encontrado na janela temporal.</w:t>
      </w:r>
    </w:p>
    <w:p>
      <w:pPr>
        <w:pStyle w:val="ListBullet"/>
      </w:pPr>
      <w:r>
        <w:rPr>
          <w:color w:val="4A4A4A"/>
          <w:sz w:val="18"/>
        </w:rPr>
        <w:t>ANPD | Notícias - Nenhum resultado encontrado na janela temporal.</w:t>
      </w:r>
    </w:p>
    <w:p>
      <w:pPr>
        <w:pStyle w:val="ListBullet"/>
      </w:pPr>
      <w:r>
        <w:rPr>
          <w:color w:val="4A4A4A"/>
          <w:sz w:val="18"/>
        </w:rPr>
        <w:t>CVM | Notícias - Nenhum resultado encontrado na janela temporal.</w:t>
      </w:r>
    </w:p>
    <w:p>
      <w:pPr>
        <w:pStyle w:val="ListBullet"/>
      </w:pPr>
      <w:r>
        <w:rPr>
          <w:color w:val="4A4A4A"/>
          <w:sz w:val="18"/>
        </w:rPr>
        <w:t>B3 | Ofícios e Comunicados - Nenhum resultado encontrado na janela temporal.</w:t>
      </w:r>
    </w:p>
    <w:p>
      <w:pPr>
        <w:pStyle w:val="ListBullet"/>
      </w:pPr>
      <w:r>
        <w:rPr>
          <w:color w:val="4A4A4A"/>
          <w:sz w:val="18"/>
        </w:rPr>
        <w:t>ONS | Notícias - Nenhum item encontrado na fonte.</w:t>
      </w:r>
    </w:p>
    <w:p>
      <w:pPr>
        <w:pStyle w:val="ListBullet"/>
      </w:pPr>
      <w:r>
        <w:rPr>
          <w:color w:val="4A4A4A"/>
          <w:sz w:val="18"/>
        </w:rPr>
        <w:t>ANEEL | Últimas Notícias - Nenhum resultado encontrado na janela temporal.</w:t>
      </w:r>
    </w:p>
    <w:p>
      <w:pPr>
        <w:pStyle w:val="ListBullet"/>
      </w:pPr>
      <w:r>
        <w:rPr>
          <w:color w:val="4A4A4A"/>
          <w:sz w:val="18"/>
        </w:rPr>
        <w:t>Secretaria de Prêmios e Apostas | Notícias - Nenhum resultado encontrado na fonte.</w:t>
      </w:r>
    </w:p>
    <w:p>
      <w:pPr>
        <w:pStyle w:val="ListBullet"/>
      </w:pPr>
      <w:r>
        <w:rPr>
          <w:color w:val="4A4A4A"/>
          <w:sz w:val="18"/>
        </w:rPr>
        <w:t>INPI | Notícias - Nenhum resultado encontrado na janela temporal.</w:t>
      </w:r>
    </w:p>
    <w:p>
      <w:pPr>
        <w:pStyle w:val="ListBullet"/>
      </w:pPr>
      <w:r>
        <w:rPr>
          <w:color w:val="4A4A4A"/>
          <w:sz w:val="18"/>
        </w:rPr>
        <w:t>Ministério da Agricultura | Notícias - Nenhum resultado encontrado na janela temporal.</w:t>
      </w:r>
    </w:p>
    <w:p>
      <w:r>
        <w:rPr>
          <w:b/>
          <w:color w:val="D68910"/>
          <w:sz w:val="20"/>
        </w:rPr>
        <w:t>Fontes sem resultado relevante:</w:t>
      </w:r>
    </w:p>
    <w:p>
      <w:pPr>
        <w:pStyle w:val="ListBullet"/>
      </w:pPr>
      <w:r>
        <w:rPr>
          <w:color w:val="4A4A4A"/>
          <w:sz w:val="18"/>
        </w:rPr>
        <w:t>Destaques do D.O.U. - Página de busca, não lista publicações diretamente.</w:t>
      </w:r>
    </w:p>
    <w:p>
      <w:pPr>
        <w:pStyle w:val="ListBullet"/>
      </w:pPr>
      <w:r>
        <w:rPr>
          <w:color w:val="4A4A4A"/>
          <w:sz w:val="18"/>
        </w:rPr>
        <w:t>Receita Federal | Normas - Página de busca, não lista publicações diretamente.</w:t>
      </w:r>
    </w:p>
    <w:p>
      <w:pPr>
        <w:pStyle w:val="ListBullet"/>
      </w:pPr>
      <w:r>
        <w:rPr>
          <w:color w:val="4A4A4A"/>
          <w:sz w:val="18"/>
        </w:rPr>
        <w:t>CGU | Notícias - Conteúdo restrito, requer autenticação.</w:t>
      </w:r>
    </w:p>
    <w:p>
      <w:pPr>
        <w:pStyle w:val="ListBullet"/>
      </w:pPr>
      <w:r>
        <w:rPr>
          <w:color w:val="4A4A4A"/>
          <w:sz w:val="18"/>
        </w:rPr>
        <w:t>COAF | Notícias - Conteúdo não carregado ('Carregando') ou não disponível.</w:t>
      </w:r>
    </w:p>
    <w:p>
      <w:pPr>
        <w:pStyle w:val="ListBullet"/>
      </w:pPr>
      <w:r>
        <w:rPr>
          <w:color w:val="4A4A4A"/>
          <w:sz w:val="18"/>
        </w:rPr>
        <w:t>Ministério do Meio Ambiente | Notícias - Conteúdo restrito, requer autenticação.</w:t>
      </w:r>
    </w:p>
    <w:p>
      <w:pPr>
        <w:pStyle w:val="ListBullet"/>
      </w:pPr>
      <w:r>
        <w:rPr>
          <w:color w:val="4A4A4A"/>
          <w:sz w:val="18"/>
        </w:rPr>
        <w:t>SENACON | Notícias - Conteúdo restrito, requer autenticação.</w:t>
      </w:r>
    </w:p>
    <w:p>
      <w:r>
        <w:rPr>
          <w:b/>
          <w:color w:val="C0392B"/>
          <w:sz w:val="20"/>
        </w:rPr>
        <w:t>Fontes com erro tecnico:</w:t>
      </w:r>
    </w:p>
    <w:p>
      <w:pPr>
        <w:pStyle w:val="ListBullet"/>
      </w:pPr>
      <w:r>
        <w:rPr>
          <w:color w:val="4A4A4A"/>
          <w:sz w:val="18"/>
        </w:rPr>
        <w:t>Planalto | Resenha Diaria - Internal Server Error: Failed to scrape. All scraping engines failed to retrieve content from this URL. Engines tried: [index, fire-engine;chrome-cdp, fire-engine(retry);chrome-cdp, fire-engine;tlscli</w:t>
      </w:r>
    </w:p>
    <w:p/>
    <w:p>
      <w:pPr>
        <w:spacing w:before="0" w:after="40"/>
        <w:pBdr>
          <w:bottom w:val="single" w:sz="8" w:space="1" w:color="888888"/>
        </w:pBdr>
      </w:pPr>
    </w:p>
    <w:p>
      <w:pPr>
        <w:spacing w:before="120"/>
        <w:jc w:val="center"/>
      </w:pPr>
      <w:r>
        <w:rPr>
          <w:i/>
          <w:color w:val="888888"/>
          <w:sz w:val="16"/>
        </w:rPr>
        <w:t>Rascunho gerado automaticamente para validacao interna.</w:t>
      </w:r>
    </w:p>
    <w:p>
      <w:pPr>
        <w:jc w:val="center"/>
      </w:pPr>
      <w:r>
        <w:rPr>
          <w:i/>
          <w:color w:val="888888"/>
          <w:sz w:val="16"/>
        </w:rPr>
        <w:t>Curadoria por IA + revisao humana recomendada antes da distribuicao.</w:t>
      </w:r>
    </w:p>
    <w:p>
      <w:pPr>
        <w:jc w:val="center"/>
      </w:pPr>
      <w:r>
        <w:rPr>
          <w:color w:val="888888"/>
          <w:sz w:val="16"/>
        </w:rPr>
        <w:t>Janela analisada: 2026-07-09T00:00 ate 2026-07-10T10:13</w:t>
      </w:r>
    </w:p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bcb.gov.br/estabilidadefinanceira/exibenormativo?tipo=Comunicado&amp;numero=45535" TargetMode="External"/><Relationship Id="rId10" Type="http://schemas.openxmlformats.org/officeDocument/2006/relationships/hyperlink" Target="https://www.bcb.gov.br/estabilidadefinanceira/exibenormativo?tipo=Comunicado&amp;numero=45534" TargetMode="External"/><Relationship Id="rId11" Type="http://schemas.openxmlformats.org/officeDocument/2006/relationships/hyperlink" Target="https://www.bcb.gov.br/estabilidadefinanceira/exibenormativo?tipo=Comunicado&amp;numero=45533" TargetMode="External"/><Relationship Id="rId12" Type="http://schemas.openxmlformats.org/officeDocument/2006/relationships/hyperlink" Target="https://www.bcb.gov.br/estabilidadefinanceira/exibenormativo?tipo=Instru%C3%A7%C3%A3o%20Normativa%20BCB&amp;numero=761" TargetMode="External"/><Relationship Id="rId13" Type="http://schemas.openxmlformats.org/officeDocument/2006/relationships/hyperlink" Target="https://www.bcb.gov.br/estabilidadefinanceira/exibenormativo?tipo=Comunicado&amp;numero=45538" TargetMode="External"/><Relationship Id="rId14" Type="http://schemas.openxmlformats.org/officeDocument/2006/relationships/hyperlink" Target="https://www.bcb.gov.br/estabilidadefinanceira/exibenormativo?tipo=Comunicado&amp;numero=45537" TargetMode="External"/><Relationship Id="rId15" Type="http://schemas.openxmlformats.org/officeDocument/2006/relationships/hyperlink" Target="https://www.bcb.gov.br/estabilidadefinanceira/exibenormativo?tipo=Comunicado&amp;numero=45536" TargetMode="External"/><Relationship Id="rId16" Type="http://schemas.openxmlformats.org/officeDocument/2006/relationships/hyperlink" Target="https://www.bcb.gov.br/estabilidadefinanceira/exibenormativo?tipo=Instru%C3%A7%C3%A3o%20Normativa%20BCB&amp;numero=760" TargetMode="External"/><Relationship Id="rId17" Type="http://schemas.openxmlformats.org/officeDocument/2006/relationships/hyperlink" Target="https://www.bcb.gov.br/estabilidadefinanceira/exibenormativo?tipo=Instru%C3%A7%C3%A3o%20Normativa%20BCB&amp;numero=759" TargetMode="External"/><Relationship Id="rId18" Type="http://schemas.openxmlformats.org/officeDocument/2006/relationships/hyperlink" Target="https://www.bcb.gov.br/estabilidadefinanceira/exibenormativo?tipo=Comunicado&amp;numero=45532" TargetMode="External"/><Relationship Id="rId19" Type="http://schemas.openxmlformats.org/officeDocument/2006/relationships/hyperlink" Target="https://www.bcb.gov.br/estabilidadefinanceira/exibenormativo?tipo=Comunicado&amp;numero=45531" TargetMode="External"/><Relationship Id="rId20" Type="http://schemas.openxmlformats.org/officeDocument/2006/relationships/hyperlink" Target="https://www.bcb.gov.br/estabilidadefinanceira/exibenormativo?tipo=Comunicado&amp;numero=45530" TargetMode="External"/><Relationship Id="rId21" Type="http://schemas.openxmlformats.org/officeDocument/2006/relationships/hyperlink" Target="https://www.bcb.gov.br/estabilidadefinanceira/exibenormativo?tipo=Comunicado&amp;numero=45529" TargetMode="External"/><Relationship Id="rId22" Type="http://schemas.openxmlformats.org/officeDocument/2006/relationships/hyperlink" Target="https://www.bcb.gov.br/estabilidadefinanceira/exibenormativo?tipo=Comunicado&amp;numero=4552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