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Guia Didático do Pipeline Chicago Payments</w:t>
      </w:r>
    </w:p>
    <w:p>
      <w:pPr>
        <w:jc w:val="center"/>
      </w:pPr>
      <w:r>
        <w:rPr>
          <w:i/>
        </w:rPr>
        <w:t>Da API ao BigQuery com Cloud Run, Cloud Storage, Raw externa e Silver incremental</w:t>
      </w:r>
    </w:p>
    <w:p/>
    <w:p>
      <w:pPr>
        <w:spacing w:after="120" w:line="269" w:lineRule="auto"/>
      </w:pPr>
      <w:r>
        <w:t>Este documento explica a arquitetura atual do projeto Chicago Payments, o motivo de cada camada e o caminho percorrido por uma informação desde a API pública até a tabela Silver. O objetivo é permitir que você execute, valide e evolua o pipeline entendendo cada decisão técnica.</w:t>
      </w:r>
    </w:p>
    <w:p>
      <w:pPr>
        <w:pStyle w:val="Heading1"/>
        <w:spacing w:before="240" w:after="100"/>
      </w:pPr>
      <w:r>
        <w:rPr>
          <w:color w:val="000000"/>
        </w:rPr>
        <w:t>1 Visão geral da solução</w:t>
      </w:r>
    </w:p>
    <w:p>
      <w:pPr>
        <w:spacing w:after="120" w:line="269" w:lineRule="auto"/>
      </w:pPr>
      <w:r>
        <w:t>O projeto coleta os pagamentos publicados pela cidade de Chicago, salva uma cópia bruta no Cloud Storage e usa o BigQuery para preparar uma tabela analítica atualizável. A estratégia é ELT: primeiro extrair e carregar o dado bruto; depois transformar no BigQuery.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c>
          <w:tcPr>
            <w:tcW w:type="dxa" w:w="1584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2232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5760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Extração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Python no Cloud Run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Consulta a API Socrata e pagina os pagamentos.</w:t>
            </w:r>
          </w:p>
        </w:tc>
      </w:tr>
      <w:tr>
        <w:tc>
          <w:tcPr>
            <w:tcW w:type="dxa" w:w="1584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Bronze</w:t>
            </w:r>
          </w:p>
        </w:tc>
        <w:tc>
          <w:tcPr>
            <w:tcW w:type="dxa" w:w="2232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Cloud Storage</w:t>
            </w:r>
          </w:p>
        </w:tc>
        <w:tc>
          <w:tcPr>
            <w:tcW w:type="dxa" w:w="5760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Guarda um Parquet bruto por execução diária.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Raw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BigQuery External Table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Lê os Parquets diretamente no bucket, sem duplicá-los.</w:t>
            </w:r>
          </w:p>
        </w:tc>
      </w:tr>
      <w:tr>
        <w:tc>
          <w:tcPr>
            <w:tcW w:type="dxa" w:w="1584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Silver</w:t>
            </w:r>
          </w:p>
        </w:tc>
        <w:tc>
          <w:tcPr>
            <w:tcW w:type="dxa" w:w="2232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BigQuery</w:t>
            </w:r>
          </w:p>
        </w:tc>
        <w:tc>
          <w:tcPr>
            <w:tcW w:type="dxa" w:w="5760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Padroniza tipos e mantém a versão atual dos pagamentos.</w:t>
            </w:r>
          </w:p>
        </w:tc>
      </w:tr>
      <w:tr>
        <w:tc>
          <w:tcPr>
            <w:tcW w:type="dxa" w:w="158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Orquestração</w:t>
            </w:r>
          </w:p>
        </w:tc>
        <w:tc>
          <w:tcPr>
            <w:tcW w:type="dxa" w:w="2232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Cloud Scheduler</w:t>
            </w:r>
          </w:p>
        </w:tc>
        <w:tc>
          <w:tcPr>
            <w:tcW w:type="dxa" w:w="576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Dispara a ingestão e, depois, a atualização Silver.</w:t>
            </w:r>
          </w:p>
        </w:tc>
      </w:tr>
    </w:tbl>
    <w:p/>
    <w:p>
      <w:pPr>
        <w:pStyle w:val="Heading1"/>
        <w:spacing w:before="240" w:after="100"/>
      </w:pPr>
      <w:r>
        <w:rPr>
          <w:color w:val="000000"/>
        </w:rPr>
        <w:t>2 Fluxo completo de dados</w:t>
      </w:r>
    </w:p>
    <w:p>
      <w:pPr>
        <w:spacing w:after="160" w:before="60"/>
        <w:ind w:left="317" w:right="317"/>
        <w:shd w:fill="F1F3F5"/>
      </w:pPr>
      <w:r>
        <w:rPr>
          <w:rFonts w:ascii="Consolas" w:hAnsi="Consolas"/>
          <w:sz w:val="16"/>
        </w:rPr>
        <w:t>API Chicago Payments → Cloud Run → GCS Bronze → Raw external → MERGE → Silver.payments</w:t>
      </w:r>
    </w:p>
    <w:p>
      <w:pPr>
        <w:spacing w:after="120" w:line="269" w:lineRule="auto"/>
      </w:pPr>
      <w:r>
        <w:t>A API é a origem. O Cloud Run executa o Python. O arquivo Parquet entra na Bronze. A tabela externa Raw disponibiliza o arquivo para SQL. Por fim, um MERGE compara a fotografia mais recente com a Silver e muda somente o que for necessário.</w:t>
      </w:r>
    </w:p>
    <w:p>
      <w:pPr>
        <w:pStyle w:val="Heading1"/>
        <w:spacing w:before="240" w:after="100"/>
      </w:pPr>
      <w:r>
        <w:rPr>
          <w:color w:val="000000"/>
        </w:rPr>
        <w:t>3 Extração na API Chicago</w:t>
      </w:r>
    </w:p>
    <w:p>
      <w:pPr>
        <w:spacing w:after="120" w:line="269" w:lineRule="auto"/>
      </w:pPr>
      <w:r>
        <w:t>A função extract_payments no arquivo src/Extract.py realiza a leitura. Ela usa paginação de 5.000 linhas para evitar tentar carregar toda a API em uma única resposta. Cada página recebida vira um DataFrame Polars; ao final, os lotes são concatenados.</w:t>
      </w:r>
    </w:p>
    <w:p>
      <w:pPr>
        <w:spacing w:after="160" w:before="60"/>
        <w:ind w:left="317" w:right="317"/>
        <w:shd w:fill="F1F3F5"/>
      </w:pPr>
      <w:r>
        <w:rPr>
          <w:rFonts w:ascii="Consolas" w:hAnsi="Consolas"/>
          <w:sz w:val="16"/>
        </w:rPr>
        <w:t>SELECT *, :id AS source_row_id</w:t>
        <w:br/>
        <w:t>ORDER BY :id</w:t>
      </w:r>
    </w:p>
    <w:p>
      <w:pPr>
        <w:spacing w:after="120" w:line="269" w:lineRule="auto"/>
      </w:pPr>
      <w:r>
        <w:t>A coluna source_row_id é o identificador técnico retornado pela plataforma Socrata. Ela não substitui uma regra de negócio, mas é a melhor candidata para permitir que o pipeline reconheça a mesma linha em execuções diferentes. Antes de depender dela em produção, valide sua estabilidade em cargas de dias distintos.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83"/>
        <w:gridCol w:w="5083"/>
      </w:tblGrid>
      <w:tr>
        <w:tc>
          <w:tcPr>
            <w:tcW w:type="dxa" w:w="2304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200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Função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PAGE_SIZE = 5000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Quantidade de registros solicitada a cada página.</w:t>
            </w:r>
          </w:p>
        </w:tc>
      </w:tr>
      <w:tr>
        <w:tc>
          <w:tcPr>
            <w:tcW w:type="dxa" w:w="2304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page_number</w:t>
            </w:r>
          </w:p>
        </w:tc>
        <w:tc>
          <w:tcPr>
            <w:tcW w:type="dxa" w:w="7200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Indica qual página da API está sendo buscada.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batches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Lista temporária de DataFrames de cada página.</w:t>
            </w:r>
          </w:p>
        </w:tc>
      </w:tr>
      <w:tr>
        <w:tc>
          <w:tcPr>
            <w:tcW w:type="dxa" w:w="2304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strict=False</w:t>
            </w:r>
          </w:p>
        </w:tc>
        <w:tc>
          <w:tcPr>
            <w:tcW w:type="dxa" w:w="7200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Permite que Polars aceite tipos mistos enviados pela API.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source_row_id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Chave técnica usada na comparação com a Silver.</w:t>
            </w:r>
          </w:p>
        </w:tc>
      </w:tr>
    </w:tbl>
    <w:p/>
    <w:p>
      <w:pPr>
        <w:pStyle w:val="Heading1"/>
        <w:spacing w:before="240" w:after="100"/>
      </w:pPr>
      <w:r>
        <w:rPr>
          <w:color w:val="000000"/>
        </w:rPr>
        <w:t>4 Execução no Cloud Run</w:t>
      </w:r>
    </w:p>
    <w:p>
      <w:pPr>
        <w:spacing w:after="120" w:line="269" w:lineRule="auto"/>
      </w:pPr>
      <w:r>
        <w:t>O arquivo main.py concentra a orquestração da ingestão. A função HTTP ingest_payments recebe a chamada do Cloud Scheduler, chama run_ingestion, extrai os dados, cria um Parquet temporário e faz o upload para o bucket.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c>
          <w:tcPr>
            <w:tcW w:type="dxa" w:w="1944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Função</w:t>
            </w:r>
          </w:p>
        </w:tc>
        <w:tc>
          <w:tcPr>
            <w:tcW w:type="dxa" w:w="3816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O que faz</w:t>
            </w:r>
          </w:p>
        </w:tc>
        <w:tc>
          <w:tcPr>
            <w:tcW w:type="dxa" w:w="3744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ingest_payments</w:t>
            </w:r>
          </w:p>
        </w:tc>
        <w:tc>
          <w:tcPr>
            <w:tcW w:type="dxa" w:w="381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Ponto de entrada HTTP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Retorna sucesso ou erro para quem chamou.</w:t>
            </w:r>
          </w:p>
        </w:tc>
      </w:tr>
      <w:tr>
        <w:tc>
          <w:tcPr>
            <w:tcW w:type="dxa" w:w="1944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run_ingestion</w:t>
            </w:r>
          </w:p>
        </w:tc>
        <w:tc>
          <w:tcPr>
            <w:tcW w:type="dxa" w:w="3816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Coordena extração e carga</w:t>
            </w:r>
          </w:p>
        </w:tc>
        <w:tc>
          <w:tcPr>
            <w:tcW w:type="dxa" w:w="3744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Informa quantidade de linhas e local do arquivo.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extract_payments</w:t>
            </w:r>
          </w:p>
        </w:tc>
        <w:tc>
          <w:tcPr>
            <w:tcW w:type="dxa" w:w="381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Lê a API em páginas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DataFrame Polars com pagamentos.</w:t>
            </w:r>
          </w:p>
        </w:tc>
      </w:tr>
      <w:tr>
        <w:tc>
          <w:tcPr>
            <w:tcW w:type="dxa" w:w="1944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save_raw_payments</w:t>
            </w:r>
          </w:p>
        </w:tc>
        <w:tc>
          <w:tcPr>
            <w:tcW w:type="dxa" w:w="3816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Grava Parquet local temporário</w:t>
            </w:r>
          </w:p>
        </w:tc>
        <w:tc>
          <w:tcPr>
            <w:tcW w:type="dxa" w:w="3744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Arquivo pronto para upload.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upload_raw_to_gcs</w:t>
            </w:r>
          </w:p>
        </w:tc>
        <w:tc>
          <w:tcPr>
            <w:tcW w:type="dxa" w:w="381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Envia para Cloud Storage</w:t>
            </w:r>
          </w:p>
        </w:tc>
        <w:tc>
          <w:tcPr>
            <w:tcW w:type="dxa" w:w="374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Objeto armazenado na Bronze.</w:t>
            </w:r>
          </w:p>
        </w:tc>
      </w:tr>
    </w:tbl>
    <w:p/>
    <w:p>
      <w:pPr>
        <w:spacing w:after="120" w:line="269" w:lineRule="auto"/>
      </w:pPr>
      <w:r>
        <w:t>No Cloud Run, não se deve guardar credenciais no código. A variável SOCRATA_APP_TOKEN vem de Secret Manager e o acesso ao bucket é concedido à Service Account da aplicação. O ambiente do Cloud Run fornece identidade automaticamente.</w:t>
      </w:r>
    </w:p>
    <w:p>
      <w:pPr>
        <w:pStyle w:val="Heading1"/>
        <w:spacing w:before="240" w:after="100"/>
      </w:pPr>
      <w:r>
        <w:rPr>
          <w:color w:val="000000"/>
        </w:rPr>
        <w:t>5 Camada Bronze no Cloud Storage</w:t>
      </w:r>
    </w:p>
    <w:p>
      <w:pPr>
        <w:spacing w:after="120" w:line="269" w:lineRule="auto"/>
      </w:pPr>
      <w:r>
        <w:t>A Bronze preserva a carga bruta para auditoria, reprocessamento e rastreabilidade. O formato Parquet é adequado porque é compacto, preserva tipos e é eficiente para leitura analítica.</w:t>
      </w:r>
    </w:p>
    <w:p>
      <w:pPr>
        <w:spacing w:after="160" w:before="60"/>
        <w:ind w:left="317" w:right="317"/>
        <w:shd w:fill="F1F3F5"/>
      </w:pPr>
      <w:r>
        <w:rPr>
          <w:rFonts w:ascii="Consolas" w:hAnsi="Consolas"/>
          <w:sz w:val="16"/>
        </w:rPr>
        <w:t>gs://chicago-portal/raw/payment_YYYY-MM-DD.parquet</w:t>
      </w:r>
    </w:p>
    <w:p>
      <w:pPr>
        <w:spacing w:after="120" w:line="269" w:lineRule="auto"/>
      </w:pPr>
      <w:r>
        <w:t>O nome com data permite localizar a carga de cada dia. Como a data está no padrão ano mês dia, o arquivo mais recente também pode ser identificado pelo maior nome de arquivo. Evite sobrescrever arquivos históricos quando o objetivo for auditoria; para múltiplas execuções no mesmo dia, evolua depois para incluir horário ou identificador de execução.</w:t>
      </w:r>
    </w:p>
    <w:p>
      <w:pPr>
        <w:pStyle w:val="Heading1"/>
        <w:spacing w:before="240" w:after="100"/>
      </w:pPr>
      <w:r>
        <w:rPr>
          <w:color w:val="000000"/>
        </w:rPr>
        <w:t>6 Raw como tabela externa</w:t>
      </w:r>
    </w:p>
    <w:p>
      <w:pPr>
        <w:spacing w:after="120" w:line="269" w:lineRule="auto"/>
      </w:pPr>
      <w:r>
        <w:t>A Raw não é outra cópia dos dados. A tabela payments_external é uma external table: ela aponta para os Parquets do bucket e permite consultá-los usando SQL. O BigQuery lê os arquivos sob demanda.</w:t>
      </w:r>
    </w:p>
    <w:p>
      <w:pPr>
        <w:spacing w:after="160" w:before="60"/>
        <w:ind w:left="317" w:right="317"/>
        <w:shd w:fill="F1F3F5"/>
      </w:pPr>
      <w:r>
        <w:rPr>
          <w:rFonts w:ascii="Consolas" w:hAnsi="Consolas"/>
          <w:sz w:val="16"/>
        </w:rPr>
        <w:t>CREATE OR REPLACE EXTERNAL TABLE Raw.payments_external</w:t>
        <w:br/>
        <w:t>OPTIONS (format = 'PARQUET', uris = ['gs://chicago-portal/raw/payment_*.parquet']);</w:t>
      </w:r>
    </w:p>
    <w:p>
      <w:pPr>
        <w:spacing w:after="120" w:line="269" w:lineRule="auto"/>
      </w:pPr>
      <w:r>
        <w:t>Esse comando é executado apenas na criação da tabela ou quando o esquema do Parquet muda, por exemplo, ao adicionar source_row_id. Ele não deve ser sua rotina diária. Arquivos novos que seguem o padrão já ficam visíveis automaticamente.</w:t>
      </w:r>
    </w:p>
    <w:p>
      <w:pPr>
        <w:spacing w:after="120" w:line="269" w:lineRule="auto"/>
      </w:pPr>
      <w:r>
        <w:t>A pseudocoluna _FILE_NAME informa qual objeto do bucket originou cada linha. Ela permite selecionar apenas a fotografia mais recente e evita processar todos os arquivos históricos na atualização diária.</w:t>
      </w:r>
    </w:p>
    <w:p>
      <w:pPr>
        <w:pStyle w:val="Heading1"/>
        <w:spacing w:before="240" w:after="100"/>
      </w:pPr>
      <w:r>
        <w:rPr>
          <w:color w:val="000000"/>
        </w:rPr>
        <w:t>7 Criação inicial da Silver</w:t>
      </w:r>
    </w:p>
    <w:p>
      <w:pPr>
        <w:spacing w:after="120" w:line="269" w:lineRule="auto"/>
      </w:pPr>
      <w:r>
        <w:t>Silver.payments é a tabela final tratada desta etapa. Na primeira vez, ela foi criada com CREATE OR REPLACE TABLE a partir da carga atual. Essa ação inicial é correta porque ainda não havia tabela para atualizar.</w:t>
      </w:r>
    </w:p>
    <w:p>
      <w:pPr>
        <w:spacing w:after="120" w:line="269" w:lineRule="auto"/>
      </w:pPr>
      <w:r>
        <w:t>Depois de criada, ela não deve ser recriada diariamente. Recriá-la apagaria o valor original de created_at e eliminaria o benefício da carga incremental.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83"/>
        <w:gridCol w:w="5083"/>
      </w:tblGrid>
      <w:tr>
        <w:tc>
          <w:tcPr>
            <w:tcW w:type="dxa" w:w="2232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7272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Papel na Silver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source_row_id</w:t>
            </w:r>
          </w:p>
        </w:tc>
        <w:tc>
          <w:tcPr>
            <w:tcW w:type="dxa" w:w="7272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Identifica tecnicamente a linha e permite a comparação.</w:t>
            </w:r>
          </w:p>
        </w:tc>
      </w:tr>
      <w:tr>
        <w:tc>
          <w:tcPr>
            <w:tcW w:type="dxa" w:w="2232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amount</w:t>
            </w:r>
          </w:p>
        </w:tc>
        <w:tc>
          <w:tcPr>
            <w:tcW w:type="dxa" w:w="7272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Valor convertido para NUMERIC.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check_date</w:t>
            </w:r>
          </w:p>
        </w:tc>
        <w:tc>
          <w:tcPr>
            <w:tcW w:type="dxa" w:w="7272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Data convertida para DATE.</w:t>
            </w:r>
          </w:p>
        </w:tc>
      </w:tr>
      <w:tr>
        <w:tc>
          <w:tcPr>
            <w:tcW w:type="dxa" w:w="2232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record_hash</w:t>
            </w:r>
          </w:p>
        </w:tc>
        <w:tc>
          <w:tcPr>
            <w:tcW w:type="dxa" w:w="7272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Assinatura dos campos de negócio para detectar alterações.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7272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Momento em que o registro entrou na Silver.</w:t>
            </w:r>
          </w:p>
        </w:tc>
      </w:tr>
      <w:tr>
        <w:tc>
          <w:tcPr>
            <w:tcW w:type="dxa" w:w="2232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updated_at</w:t>
            </w:r>
          </w:p>
        </w:tc>
        <w:tc>
          <w:tcPr>
            <w:tcW w:type="dxa" w:w="7272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Momento da última alteração identificada.</w:t>
            </w:r>
          </w:p>
        </w:tc>
      </w:tr>
      <w:tr>
        <w:tc>
          <w:tcPr>
            <w:tcW w:type="dxa" w:w="2232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is_active</w:t>
            </w:r>
          </w:p>
        </w:tc>
        <w:tc>
          <w:tcPr>
            <w:tcW w:type="dxa" w:w="7272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Preparação para exclusão lógica futura.</w:t>
            </w:r>
          </w:p>
        </w:tc>
      </w:tr>
    </w:tbl>
    <w:p/>
    <w:p>
      <w:pPr>
        <w:pStyle w:val="Heading1"/>
        <w:spacing w:before="240" w:after="100"/>
      </w:pPr>
      <w:r>
        <w:rPr>
          <w:color w:val="000000"/>
        </w:rPr>
        <w:t>8 Atualização incremental com MERGE</w:t>
      </w:r>
    </w:p>
    <w:p>
      <w:pPr>
        <w:spacing w:after="120" w:line="269" w:lineRule="auto"/>
      </w:pPr>
      <w:r>
        <w:t>O MERGE é a consulta diária principal. Ela lê o Parquet mais recente pela Raw externa, aplica tratamentos temporariamente e compara cada source_row_id com a Silver. Não cria outra tabela física.</w:t>
      </w:r>
    </w:p>
    <w:p>
      <w:pPr>
        <w:pStyle w:val="Heading2"/>
        <w:spacing w:before="160" w:after="100"/>
      </w:pPr>
      <w:r>
        <w:rPr>
          <w:color w:val="000000"/>
        </w:rPr>
        <w:t>8 1 Identificar o arquivo novo</w:t>
      </w:r>
    </w:p>
    <w:p>
      <w:pPr>
        <w:spacing w:after="160" w:before="60"/>
        <w:ind w:left="317" w:right="317"/>
        <w:shd w:fill="F1F3F5"/>
      </w:pPr>
      <w:r>
        <w:rPr>
          <w:rFonts w:ascii="Consolas" w:hAnsi="Consolas"/>
          <w:sz w:val="16"/>
        </w:rPr>
        <w:t>WITH latest_raw_file AS (</w:t>
        <w:br/>
        <w:t xml:space="preserve">  SELECT MAX(_FILE_NAME) AS file_name</w:t>
        <w:br/>
        <w:t xml:space="preserve">  FROM Raw.payments_external</w:t>
        <w:br/>
        <w:t>)</w:t>
      </w:r>
    </w:p>
    <w:p>
      <w:pPr>
        <w:spacing w:after="120" w:line="269" w:lineRule="auto"/>
      </w:pPr>
      <w:r>
        <w:t>MAX(_FILE_NAME) encontra o arquivo com a data mais recente. Como o padrão de nome usa YYYY-MM-DD, a ordem alfabética coincide com a ordem cronológica.</w:t>
      </w:r>
    </w:p>
    <w:p>
      <w:pPr>
        <w:pStyle w:val="Heading2"/>
        <w:spacing w:before="160" w:after="100"/>
      </w:pPr>
      <w:r>
        <w:rPr>
          <w:color w:val="000000"/>
        </w:rPr>
        <w:t>8 2 Tratar os campos</w:t>
      </w:r>
    </w:p>
    <w:p>
      <w:pPr>
        <w:spacing w:after="160" w:before="60"/>
        <w:ind w:left="317" w:right="317"/>
        <w:shd w:fill="F1F3F5"/>
      </w:pPr>
      <w:r>
        <w:rPr>
          <w:rFonts w:ascii="Consolas" w:hAnsi="Consolas"/>
          <w:sz w:val="16"/>
        </w:rPr>
        <w:t>SAFE_CAST(REGEXP_REPLACE(amount, r'[$,]', '') AS NUMERIC)</w:t>
        <w:br/>
        <w:t>COALESCE(SAFE_CAST(check_date AS DATE), SAFE.PARSE_DATE('%m/%d/%Y', check_date))</w:t>
      </w:r>
    </w:p>
    <w:p>
      <w:pPr>
        <w:spacing w:after="120" w:line="269" w:lineRule="auto"/>
      </w:pPr>
      <w:r>
        <w:t>O valor monetário chega como texto e pode conter cifrão ou vírgula. A expressão limpa esses símbolos e converte para NUMERIC. A data também chega como texto; a consulta tenta formatos comuns sem quebrar a execução caso um valor esteja inválido. SAFE_CAST e SAFE.PARSE_DATE retornam NULL em vez de falhar a consulta inteira.</w:t>
      </w:r>
    </w:p>
    <w:p>
      <w:pPr>
        <w:pStyle w:val="Heading2"/>
        <w:spacing w:before="160" w:after="100"/>
      </w:pPr>
      <w:r>
        <w:rPr>
          <w:color w:val="000000"/>
        </w:rPr>
        <w:t>8 3 Detectar mudança</w:t>
      </w:r>
    </w:p>
    <w:p>
      <w:pPr>
        <w:spacing w:after="160" w:before="60"/>
        <w:ind w:left="317" w:right="317"/>
        <w:shd w:fill="F1F3F5"/>
      </w:pPr>
      <w:r>
        <w:rPr>
          <w:rFonts w:ascii="Consolas" w:hAnsi="Consolas"/>
          <w:sz w:val="16"/>
        </w:rPr>
        <w:t>record_hash = SHA256 dos campos de negócio</w:t>
      </w:r>
    </w:p>
    <w:p>
      <w:pPr>
        <w:spacing w:after="120" w:line="269" w:lineRule="auto"/>
      </w:pPr>
      <w:r>
        <w:t>O hash é uma assinatura do conteúdo da linha. Se valor, data, contrato, departamento ou fornecedor mudar, o hash muda. Assim, a consulta atualiza somente registros realmente alterados, sem comparar todas as colunas manualmente.</w:t>
      </w:r>
    </w:p>
    <w:p>
      <w:pPr>
        <w:pStyle w:val="Heading2"/>
        <w:spacing w:before="160" w:after="100"/>
      </w:pPr>
      <w:r>
        <w:rPr>
          <w:color w:val="000000"/>
        </w:rPr>
        <w:t>8 4 Decidir a ação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c>
          <w:tcPr>
            <w:tcW w:type="dxa" w:w="2880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Situação encontrada</w:t>
            </w:r>
          </w:p>
        </w:tc>
        <w:tc>
          <w:tcPr>
            <w:tcW w:type="dxa" w:w="3024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Ação do MERGE</w:t>
            </w:r>
          </w:p>
        </w:tc>
        <w:tc>
          <w:tcPr>
            <w:tcW w:type="dxa" w:w="3600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Efeito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ID não existe na Silver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WHEN NOT MATCHED INSERT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Inclui a linha e preenche created_at e updated_at.</w:t>
            </w:r>
          </w:p>
        </w:tc>
      </w:tr>
      <w:tr>
        <w:tc>
          <w:tcPr>
            <w:tcW w:type="dxa" w:w="2880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ID existe e hash mudou</w:t>
            </w:r>
          </w:p>
        </w:tc>
        <w:tc>
          <w:tcPr>
            <w:tcW w:type="dxa" w:w="3024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WHEN MATCHED UPDATE</w:t>
            </w:r>
          </w:p>
        </w:tc>
        <w:tc>
          <w:tcPr>
            <w:tcW w:type="dxa" w:w="3600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Atualiza dados, hash e updated_at.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ID existe e hash é igual</w:t>
            </w:r>
          </w:p>
        </w:tc>
        <w:tc>
          <w:tcPr>
            <w:tcW w:type="dxa" w:w="3024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Nenhuma alteração</w:t>
            </w:r>
          </w:p>
        </w:tc>
        <w:tc>
          <w:tcPr>
            <w:tcW w:type="dxa" w:w="360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Evita escrita desnecessária.</w:t>
            </w:r>
          </w:p>
        </w:tc>
      </w:tr>
      <w:tr>
        <w:tc>
          <w:tcPr>
            <w:tcW w:type="dxa" w:w="2880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ID existe e estava inativo</w:t>
            </w:r>
          </w:p>
        </w:tc>
        <w:tc>
          <w:tcPr>
            <w:tcW w:type="dxa" w:w="3024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UPDATE is_active</w:t>
            </w:r>
          </w:p>
        </w:tc>
        <w:tc>
          <w:tcPr>
            <w:tcW w:type="dxa" w:w="3600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Reativa a linha.</w:t>
            </w:r>
          </w:p>
        </w:tc>
      </w:tr>
    </w:tbl>
    <w:p/>
    <w:p>
      <w:pPr>
        <w:pStyle w:val="Heading1"/>
        <w:spacing w:before="240" w:after="100"/>
      </w:pPr>
      <w:r>
        <w:rPr>
          <w:color w:val="000000"/>
        </w:rPr>
        <w:t>9 Programação diária</w:t>
      </w:r>
    </w:p>
    <w:p>
      <w:pPr>
        <w:spacing w:after="120" w:line="269" w:lineRule="auto"/>
      </w:pPr>
      <w:r>
        <w:t>Nesta primeira versão, use dois agendamentos com intervalo entre eles. O primeiro chama a aplicação. O segundo executa a consulta MERGE no BigQuery. O intervalo reduz o risco de o SQL começar antes de o Parquet chegar ao bucket.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c>
          <w:tcPr>
            <w:tcW w:type="dxa" w:w="1728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Horário exemplo</w:t>
            </w:r>
          </w:p>
        </w:tc>
        <w:tc>
          <w:tcPr>
            <w:tcW w:type="dxa" w:w="3888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Ação</w:t>
            </w:r>
          </w:p>
        </w:tc>
        <w:tc>
          <w:tcPr>
            <w:tcW w:type="dxa" w:w="3888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Por que</w:t>
            </w:r>
          </w:p>
        </w:tc>
      </w:tr>
      <w:tr>
        <w:tc>
          <w:tcPr>
            <w:tcW w:type="dxa" w:w="172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06:00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Cloud Scheduler chama o Cloud Run</w:t>
            </w:r>
          </w:p>
        </w:tc>
        <w:tc>
          <w:tcPr>
            <w:tcW w:type="dxa" w:w="3888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Gera a nova carga Bronze.</w:t>
            </w:r>
          </w:p>
        </w:tc>
      </w:tr>
      <w:tr>
        <w:tc>
          <w:tcPr>
            <w:tcW w:type="dxa" w:w="1728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06:30</w:t>
            </w:r>
          </w:p>
        </w:tc>
        <w:tc>
          <w:tcPr>
            <w:tcW w:type="dxa" w:w="3888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BigQuery Scheduled Query executa MERGE</w:t>
            </w:r>
          </w:p>
        </w:tc>
        <w:tc>
          <w:tcPr>
            <w:tcW w:type="dxa" w:w="3888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Atualiza Silver usando o arquivo já enviado.</w:t>
            </w:r>
          </w:p>
        </w:tc>
      </w:tr>
    </w:tbl>
    <w:p/>
    <w:p>
      <w:pPr>
        <w:spacing w:after="120" w:line="269" w:lineRule="auto"/>
      </w:pPr>
      <w:r>
        <w:t>Para maior confiabilidade no futuro, substitua a dependência de horário por um fluxo orquestrado: Cloud Workflows, Airflow ou Composer espera o término bem sucedido da ingestão e só então dispara a transformação.</w:t>
      </w:r>
    </w:p>
    <w:p>
      <w:pPr>
        <w:pStyle w:val="Heading1"/>
        <w:spacing w:before="240" w:after="100"/>
      </w:pPr>
      <w:r>
        <w:rPr>
          <w:color w:val="000000"/>
        </w:rPr>
        <w:t>10 Validações que devem acompanhar cada execução</w:t>
      </w:r>
    </w:p>
    <w:p>
      <w:pPr>
        <w:pStyle w:val="ListBullet"/>
        <w:spacing w:after="60"/>
      </w:pPr>
      <w:r>
        <w:t>Validar se source_row_id está preenchido e é único no arquivo novo.</w:t>
      </w:r>
    </w:p>
    <w:p>
      <w:pPr>
        <w:pStyle w:val="ListBullet"/>
        <w:spacing w:after="60"/>
      </w:pPr>
      <w:r>
        <w:t>Comparar a quantidade de linhas da Bronze com a quantidade esperada da API.</w:t>
      </w:r>
    </w:p>
    <w:p>
      <w:pPr>
        <w:pStyle w:val="ListBullet"/>
        <w:spacing w:after="60"/>
      </w:pPr>
      <w:r>
        <w:t>Contar valores inválidos após casts de amount e check_date.</w:t>
      </w:r>
    </w:p>
    <w:p>
      <w:pPr>
        <w:pStyle w:val="ListBullet"/>
        <w:spacing w:after="60"/>
      </w:pPr>
      <w:r>
        <w:t>Registrar linhas inseridas e atualizadas pela execução do MERGE.</w:t>
      </w:r>
    </w:p>
    <w:p>
      <w:pPr>
        <w:pStyle w:val="ListBullet"/>
        <w:spacing w:after="60"/>
      </w:pPr>
      <w:r>
        <w:t>Monitorar falhas e tempo de execução pelo Cloud Logging.</w:t>
      </w:r>
    </w:p>
    <w:p>
      <w:pPr>
        <w:spacing w:after="120" w:line="269" w:lineRule="auto"/>
      </w:pPr>
      <w:r>
        <w:t>A primeira regra de qualidade é evitar que uma carga parcial seja tratada como fotografia completa. Só implemente desativação de registros ausentes depois de validar que cada execução da API retorna a base completa.</w:t>
      </w:r>
    </w:p>
    <w:p>
      <w:pPr>
        <w:pStyle w:val="Heading1"/>
        <w:spacing w:before="240" w:after="100"/>
      </w:pPr>
      <w:r>
        <w:rPr>
          <w:color w:val="000000"/>
        </w:rPr>
        <w:t>11 Próximas evoluções recomendadas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c>
          <w:tcPr>
            <w:tcW w:type="dxa" w:w="2520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Evolução</w:t>
            </w:r>
          </w:p>
        </w:tc>
        <w:tc>
          <w:tcPr>
            <w:tcW w:type="dxa" w:w="3096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Quando adotar</w:t>
            </w:r>
          </w:p>
        </w:tc>
        <w:tc>
          <w:tcPr>
            <w:tcW w:type="dxa" w:w="3816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Benefício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Particionamento no bucket</w:t>
            </w:r>
          </w:p>
        </w:tc>
        <w:tc>
          <w:tcPr>
            <w:tcW w:type="dxa" w:w="309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Quando houver muitos arquivos</w:t>
            </w:r>
          </w:p>
        </w:tc>
        <w:tc>
          <w:tcPr>
            <w:tcW w:type="dxa" w:w="381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Reduz leituras e melhora organização.</w:t>
            </w:r>
          </w:p>
        </w:tc>
      </w:tr>
      <w:tr>
        <w:tc>
          <w:tcPr>
            <w:tcW w:type="dxa" w:w="2520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Tabela Silver particionada</w:t>
            </w:r>
          </w:p>
        </w:tc>
        <w:tc>
          <w:tcPr>
            <w:tcW w:type="dxa" w:w="3096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Quando o volume crescer</w:t>
            </w:r>
          </w:p>
        </w:tc>
        <w:tc>
          <w:tcPr>
            <w:tcW w:type="dxa" w:w="3816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Reduz custo de consultas analíticas.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dbt</w:t>
            </w:r>
          </w:p>
        </w:tc>
        <w:tc>
          <w:tcPr>
            <w:tcW w:type="dxa" w:w="309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Ao criar Gold e regras SQL maiores</w:t>
            </w:r>
          </w:p>
        </w:tc>
        <w:tc>
          <w:tcPr>
            <w:tcW w:type="dxa" w:w="381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Versiona modelos, testes e documentação.</w:t>
            </w:r>
          </w:p>
        </w:tc>
      </w:tr>
      <w:tr>
        <w:tc>
          <w:tcPr>
            <w:tcW w:type="dxa" w:w="2520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Exclusão lógica</w:t>
            </w:r>
          </w:p>
        </w:tc>
        <w:tc>
          <w:tcPr>
            <w:tcW w:type="dxa" w:w="3096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Após validar snapshot completo</w:t>
            </w:r>
          </w:p>
        </w:tc>
        <w:tc>
          <w:tcPr>
            <w:tcW w:type="dxa" w:w="3816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Marca registros removidos sem apagar histórico.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Workflows ou Airflow</w:t>
            </w:r>
          </w:p>
        </w:tc>
        <w:tc>
          <w:tcPr>
            <w:tcW w:type="dxa" w:w="309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Quando houver dependências complexas</w:t>
            </w:r>
          </w:p>
        </w:tc>
        <w:tc>
          <w:tcPr>
            <w:tcW w:type="dxa" w:w="3816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Orquestra etapas conforme sucesso real.</w:t>
            </w:r>
          </w:p>
        </w:tc>
      </w:tr>
    </w:tbl>
    <w:p/>
    <w:p>
      <w:pPr>
        <w:pStyle w:val="Heading1"/>
        <w:spacing w:before="240" w:after="100"/>
      </w:pPr>
      <w:r>
        <w:rPr>
          <w:color w:val="000000"/>
        </w:rPr>
        <w:t>12 Checklist operacional</w:t>
      </w:r>
    </w:p>
    <w:p>
      <w:pPr>
        <w:pStyle w:val="ListBullet"/>
        <w:spacing w:after="60"/>
      </w:pPr>
      <w:r>
        <w:t>[ ] A API responde e a aplicação possui o token configurado em segredo.</w:t>
      </w:r>
    </w:p>
    <w:p>
      <w:pPr>
        <w:pStyle w:val="ListBullet"/>
        <w:spacing w:after="60"/>
      </w:pPr>
      <w:r>
        <w:t>[ ] O Cloud Run tem permissão para gravar no bucket.</w:t>
      </w:r>
    </w:p>
    <w:p>
      <w:pPr>
        <w:pStyle w:val="ListBullet"/>
        <w:spacing w:after="60"/>
      </w:pPr>
      <w:r>
        <w:t>[ ] O novo Parquet contém source_row_id.</w:t>
      </w:r>
    </w:p>
    <w:p>
      <w:pPr>
        <w:pStyle w:val="ListBullet"/>
        <w:spacing w:after="60"/>
      </w:pPr>
      <w:r>
        <w:t>[ ] A tabela externa aponta para o padrão correto de arquivos.</w:t>
      </w:r>
    </w:p>
    <w:p>
      <w:pPr>
        <w:pStyle w:val="ListBullet"/>
        <w:spacing w:after="60"/>
      </w:pPr>
      <w:r>
        <w:t>[ ] A consulta agendada está em us-central1.</w:t>
      </w:r>
    </w:p>
    <w:p>
      <w:pPr>
        <w:pStyle w:val="ListBullet"/>
        <w:spacing w:after="60"/>
      </w:pPr>
      <w:r>
        <w:t>[ ] O MERGE está agendado depois da ingestão.</w:t>
      </w:r>
    </w:p>
    <w:p>
      <w:pPr>
        <w:pStyle w:val="ListBullet"/>
        <w:spacing w:after="60"/>
      </w:pPr>
      <w:r>
        <w:t>[ ] A Silver não é recriada diariamente.</w:t>
      </w:r>
    </w:p>
    <w:p>
      <w:pPr>
        <w:pStyle w:val="ListBullet"/>
        <w:spacing w:after="60"/>
      </w:pPr>
      <w:r>
        <w:t>[ ] Logs e validações são revisados após as primeiras execuções.</w:t>
      </w:r>
    </w:p>
    <w:p>
      <w:r>
        <w:br w:type="page"/>
      </w:r>
    </w:p>
    <w:p>
      <w:pPr>
        <w:pStyle w:val="Heading1"/>
        <w:spacing w:before="240" w:after="100"/>
      </w:pPr>
      <w:r>
        <w:rPr>
          <w:color w:val="000000"/>
        </w:rPr>
        <w:t>13 Aula detalhada sobre o MERGE incremental</w:t>
      </w:r>
    </w:p>
    <w:p>
      <w:pPr>
        <w:spacing w:line="269" w:lineRule="auto" w:after="120"/>
      </w:pPr>
      <w:r>
        <w:t>Esta seção explica o script de atualização incremental como se estivéssemos acompanhando uma execução linha por linha. A ideia central é simples: a Bronze recebe uma fotografia recente da API; o SQL compara essa fotografia com a Silver e altera somente aquilo que for necessário.</w:t>
      </w:r>
    </w:p>
    <w:p>
      <w:pPr>
        <w:spacing w:before="60" w:after="160"/>
        <w:ind w:left="317" w:right="317"/>
        <w:shd w:fill="F1F3F5"/>
      </w:pPr>
      <w:r>
        <w:rPr>
          <w:rFonts w:ascii="Consolas" w:hAnsi="Consolas"/>
          <w:sz w:val="16"/>
        </w:rPr>
        <w:t>Bronze arquivo novo → Raw externa → delta temporária → validação → MERGE → auditoria</w:t>
      </w:r>
    </w:p>
    <w:p>
      <w:pPr>
        <w:spacing w:line="269" w:lineRule="auto" w:after="120"/>
      </w:pPr>
      <w:r>
        <w:t>A tabela Raw não é duplicada no BigQuery. Ela é externa e lê o Parquet diretamente no bucket. A tabela delta existe somente durante a consulta agendada. Quando a execução termina, delta desaparece; Silver e payments_load_audit permanecem.</w:t>
      </w:r>
    </w:p>
    <w:p>
      <w:pPr>
        <w:pStyle w:val="Heading2"/>
        <w:spacing w:before="160" w:after="100"/>
      </w:pPr>
      <w:r>
        <w:rPr>
          <w:color w:val="000000"/>
        </w:rPr>
        <w:t>13 1 O que cada tabela representa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Objeto</w:t>
            </w:r>
          </w:p>
        </w:tc>
        <w:tc>
          <w:tcPr>
            <w:tcW w:type="dxa" w:w="3389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Duração</w:t>
            </w:r>
          </w:p>
        </w:tc>
        <w:tc>
          <w:tcPr>
            <w:tcW w:type="dxa" w:w="3389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Papel</w:t>
            </w:r>
          </w:p>
        </w:tc>
      </w:tr>
      <w:tr>
        <w:tc>
          <w:tcPr>
            <w:tcW w:type="dxa" w:w="338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Parquet Bronze</w:t>
            </w:r>
          </w:p>
        </w:tc>
        <w:tc>
          <w:tcPr>
            <w:tcW w:type="dxa" w:w="338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Histórico no bucket</w:t>
            </w:r>
          </w:p>
        </w:tc>
        <w:tc>
          <w:tcPr>
            <w:tcW w:type="dxa" w:w="338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Cópia bruta obtida da API em uma execução.</w:t>
            </w:r>
          </w:p>
        </w:tc>
      </w:tr>
      <w:tr>
        <w:tc>
          <w:tcPr>
            <w:tcW w:type="dxa" w:w="3389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Raw payments external</w:t>
            </w:r>
          </w:p>
        </w:tc>
        <w:tc>
          <w:tcPr>
            <w:tcW w:type="dxa" w:w="3389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Permanente</w:t>
            </w:r>
          </w:p>
        </w:tc>
        <w:tc>
          <w:tcPr>
            <w:tcW w:type="dxa" w:w="3389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Ponte SQL que lê todos os Parquets compatíveis.</w:t>
            </w:r>
          </w:p>
        </w:tc>
      </w:tr>
      <w:tr>
        <w:tc>
          <w:tcPr>
            <w:tcW w:type="dxa" w:w="338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delta</w:t>
            </w:r>
          </w:p>
        </w:tc>
        <w:tc>
          <w:tcPr>
            <w:tcW w:type="dxa" w:w="338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Somente na execução</w:t>
            </w:r>
          </w:p>
        </w:tc>
        <w:tc>
          <w:tcPr>
            <w:tcW w:type="dxa" w:w="338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Fotografia tratada e classificada antes do MERGE.</w:t>
            </w:r>
          </w:p>
        </w:tc>
      </w:tr>
      <w:tr>
        <w:tc>
          <w:tcPr>
            <w:tcW w:type="dxa" w:w="3389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Silver payments</w:t>
            </w:r>
          </w:p>
        </w:tc>
        <w:tc>
          <w:tcPr>
            <w:tcW w:type="dxa" w:w="3389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Permanente</w:t>
            </w:r>
          </w:p>
        </w:tc>
        <w:tc>
          <w:tcPr>
            <w:tcW w:type="dxa" w:w="3389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Estado atual tratado de cada pagamento.</w:t>
            </w:r>
          </w:p>
        </w:tc>
      </w:tr>
      <w:tr>
        <w:tc>
          <w:tcPr>
            <w:tcW w:type="dxa" w:w="338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payments load audit</w:t>
            </w:r>
          </w:p>
        </w:tc>
        <w:tc>
          <w:tcPr>
            <w:tcW w:type="dxa" w:w="338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Permanente</w:t>
            </w:r>
          </w:p>
        </w:tc>
        <w:tc>
          <w:tcPr>
            <w:tcW w:type="dxa" w:w="338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Resumo de cada execução bem sucedida.</w:t>
            </w:r>
          </w:p>
        </w:tc>
      </w:tr>
    </w:tbl>
    <w:p/>
    <w:p>
      <w:pPr>
        <w:pStyle w:val="Heading2"/>
        <w:spacing w:before="160" w:after="100"/>
      </w:pPr>
      <w:r>
        <w:rPr>
          <w:color w:val="000000"/>
        </w:rPr>
        <w:t>13 2 Por que existem source row id e record hash</w:t>
      </w:r>
    </w:p>
    <w:p>
      <w:pPr>
        <w:spacing w:line="269" w:lineRule="auto" w:after="120"/>
      </w:pPr>
      <w:r>
        <w:t>Essas duas colunas parecem parecidas, mas resolvem perguntas diferentes. Elas não são redundantes.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3389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Pergunta que responde</w:t>
            </w:r>
          </w:p>
        </w:tc>
        <w:tc>
          <w:tcPr>
            <w:tcW w:type="dxa" w:w="3389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Exemplo</w:t>
            </w:r>
          </w:p>
        </w:tc>
      </w:tr>
      <w:tr>
        <w:tc>
          <w:tcPr>
            <w:tcW w:type="dxa" w:w="338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source_row_id</w:t>
            </w:r>
          </w:p>
        </w:tc>
        <w:tc>
          <w:tcPr>
            <w:tcW w:type="dxa" w:w="338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Qual pagamento é este?</w:t>
            </w:r>
          </w:p>
        </w:tc>
        <w:tc>
          <w:tcPr>
            <w:tcW w:type="dxa" w:w="338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 mesma linha da API continua com o mesmo identificador técnico.</w:t>
            </w:r>
          </w:p>
        </w:tc>
      </w:tr>
      <w:tr>
        <w:tc>
          <w:tcPr>
            <w:tcW w:type="dxa" w:w="3389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record_hash</w:t>
            </w:r>
          </w:p>
        </w:tc>
        <w:tc>
          <w:tcPr>
            <w:tcW w:type="dxa" w:w="3389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 conteúdo deste pagamento mudou?</w:t>
            </w:r>
          </w:p>
        </w:tc>
        <w:tc>
          <w:tcPr>
            <w:tcW w:type="dxa" w:w="3389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 mesmo ID agora possui outro valor ou fornecedor.</w:t>
            </w:r>
          </w:p>
        </w:tc>
      </w:tr>
    </w:tbl>
    <w:p/>
    <w:p>
      <w:pPr>
        <w:spacing w:line="269" w:lineRule="auto" w:after="120"/>
      </w:pPr>
      <w:r>
        <w:t>O source_row_id é usado para localizar a linha correspondente na Silver. Porém, ele não informa se o valor da linha mudou. O record_hash é uma assinatura calculada a partir dos campos de negócio. Quando qualquer um desses campos muda, a assinatura também muda.</w:t>
      </w:r>
    </w:p>
    <w:p>
      <w:pPr>
        <w:spacing w:before="60" w:after="160"/>
        <w:ind w:left="317" w:right="317"/>
        <w:shd w:fill="F1F3F5"/>
      </w:pPr>
      <w:r>
        <w:rPr>
          <w:rFonts w:ascii="Consolas" w:hAnsi="Consolas"/>
          <w:sz w:val="16"/>
        </w:rPr>
        <w:t>ON target.source_row_id = source.source_row_id</w:t>
        <w:br/>
        <w:br/>
        <w:t>WHEN MATCHED AND target.record_hash != source.record_hash</w:t>
        <w:br/>
        <w:t>THEN UPDATE</w:t>
      </w:r>
    </w:p>
    <w:p>
      <w:pPr>
        <w:spacing w:line="269" w:lineRule="auto" w:after="120"/>
      </w:pPr>
      <w:r>
        <w:t>Sem o hash, seria necessário comparar cada campo individualmente no WHEN MATCHED. Outra alternativa seria atualizar todas as linhas encontradas todos os dias, mas isso faria updated_at mudar mesmo quando o pagamento não sofreu alteração. O hash deixa a regra mais curta e preserva o significado de atualização incremental.</w:t>
      </w:r>
    </w:p>
    <w:p>
      <w:pPr>
        <w:pStyle w:val="Heading2"/>
        <w:spacing w:before="160" w:after="100"/>
      </w:pPr>
      <w:r>
        <w:rPr>
          <w:color w:val="000000"/>
        </w:rPr>
        <w:t>13 3 Bloco latest raw file</w:t>
      </w:r>
    </w:p>
    <w:p>
      <w:pPr>
        <w:spacing w:before="60" w:after="160"/>
        <w:ind w:left="317" w:right="317"/>
        <w:shd w:fill="F1F3F5"/>
      </w:pPr>
      <w:r>
        <w:rPr>
          <w:rFonts w:ascii="Consolas" w:hAnsi="Consolas"/>
          <w:sz w:val="16"/>
        </w:rPr>
        <w:t>WITH latest_raw_file AS (</w:t>
        <w:br/>
        <w:t xml:space="preserve">  SELECT MAX(_FILE_NAME) AS file_name</w:t>
        <w:br/>
        <w:t xml:space="preserve">  FROM Raw.payments_external</w:t>
        <w:br/>
        <w:t>)</w:t>
      </w:r>
    </w:p>
    <w:p>
      <w:pPr>
        <w:spacing w:line="269" w:lineRule="auto" w:after="120"/>
      </w:pPr>
      <w:r>
        <w:t>A Raw externa aponta para vários arquivos do bucket. A pseudocoluna _FILE_NAME informa de qual arquivo veio cada registro. Como o nome contém a data no padrão payment_YYYY-MM-DD.parquet, o maior nome corresponde ao arquivo mais recente. O resultado deste bloco possui apenas uma informação: o caminho da carga que será processada hoje.</w:t>
      </w:r>
    </w:p>
    <w:p>
      <w:pPr>
        <w:spacing w:line="269" w:lineRule="auto" w:after="120"/>
      </w:pPr>
      <w:r>
        <w:t>Sem esse filtro, o MERGE leria toda a história da Bronze. Isso aumentaria custo, misturaria fotografias de dias diferentes e poderia fazer a mesma linha aparecer mais de uma vez como fonte do MERGE.</w:t>
      </w:r>
    </w:p>
    <w:p>
      <w:pPr>
        <w:pStyle w:val="Heading2"/>
        <w:spacing w:before="160" w:after="100"/>
      </w:pPr>
      <w:r>
        <w:rPr>
          <w:color w:val="000000"/>
        </w:rPr>
        <w:t>13 4 Bloco payments typed</w:t>
      </w:r>
    </w:p>
    <w:p>
      <w:pPr>
        <w:spacing w:line="269" w:lineRule="auto" w:after="120"/>
      </w:pPr>
      <w:r>
        <w:t>Este bloco seleciona somente o arquivo recente e transforma o que chegou como texto em dados confiáveis para análise. O nome typed significa que os campos recebem tipos adequados.</w:t>
      </w:r>
    </w:p>
    <w:p>
      <w:pPr>
        <w:spacing w:before="60" w:after="160"/>
        <w:ind w:left="317" w:right="317"/>
        <w:shd w:fill="F1F3F5"/>
      </w:pPr>
      <w:r>
        <w:rPr>
          <w:rFonts w:ascii="Consolas" w:hAnsi="Consolas"/>
          <w:sz w:val="16"/>
        </w:rPr>
        <w:t>SAFE_CAST(REGEXP_REPLACE(amount, r'[$,]', '') AS NUMERIC)</w:t>
      </w:r>
    </w:p>
    <w:p>
      <w:pPr>
        <w:spacing w:line="269" w:lineRule="auto" w:after="120"/>
      </w:pPr>
      <w:r>
        <w:t>Amount pode chegar com cifrão e vírgula. REGEXP_REPLACE remove esses símbolos. SAFE_CAST tenta converter o resultado para NUMERIC. Se houver texto inválido, retorna NULL em vez de interromper toda a carga.</w:t>
      </w:r>
    </w:p>
    <w:p>
      <w:pPr>
        <w:spacing w:before="60" w:after="160"/>
        <w:ind w:left="317" w:right="317"/>
        <w:shd w:fill="F1F3F5"/>
      </w:pPr>
      <w:r>
        <w:rPr>
          <w:rFonts w:ascii="Consolas" w:hAnsi="Consolas"/>
          <w:sz w:val="16"/>
        </w:rPr>
        <w:t>COALESCE(</w:t>
        <w:br/>
        <w:t xml:space="preserve">  SAFE_CAST(check_date AS DATE),</w:t>
        <w:br/>
        <w:t xml:space="preserve">  SAFE.PARSE_DATE('%m/%d/%Y', check_date)</w:t>
        <w:br/>
        <w:t>)</w:t>
      </w:r>
    </w:p>
    <w:p>
      <w:pPr>
        <w:spacing w:line="269" w:lineRule="auto" w:after="120"/>
      </w:pPr>
      <w:r>
        <w:t>A data pode vir em mais de um formato. Primeiro o SQL tenta a conversão direta. Se ela falhar, tenta o padrão mês dia ano. COALESCE devolve a primeira tentativa válida. Dessa forma, um registro com data ruim é identificado como NULL, mas não derruba a execução.</w:t>
      </w:r>
    </w:p>
    <w:p>
      <w:pPr>
        <w:spacing w:line="269" w:lineRule="auto" w:after="120"/>
      </w:pPr>
      <w:r>
        <w:t>NULLIF(TRIM(campo), '') remove espaços e transforma texto vazio em NULL. Isso evita tratar uma sequência vazia como informação válida.</w:t>
      </w:r>
    </w:p>
    <w:p>
      <w:pPr>
        <w:pStyle w:val="Heading2"/>
        <w:spacing w:before="160" w:after="100"/>
      </w:pPr>
      <w:r>
        <w:rPr>
          <w:color w:val="000000"/>
        </w:rPr>
        <w:t>13 5 Cálculo do record hash</w:t>
      </w:r>
    </w:p>
    <w:p>
      <w:pPr>
        <w:spacing w:before="60" w:after="160"/>
        <w:ind w:left="317" w:right="317"/>
        <w:shd w:fill="F1F3F5"/>
      </w:pPr>
      <w:r>
        <w:rPr>
          <w:rFonts w:ascii="Consolas" w:hAnsi="Consolas"/>
          <w:sz w:val="16"/>
        </w:rPr>
        <w:t>TO_HEX(SHA256(TO_JSON_STRING(STRUCT(</w:t>
        <w:br/>
        <w:t xml:space="preserve">  voucher_number, amount, check_date,</w:t>
        <w:br/>
        <w:t xml:space="preserve">  contract_number, department_name, vendor_name</w:t>
        <w:br/>
        <w:t>)))) AS record_hash</w:t>
      </w:r>
    </w:p>
    <w:p>
      <w:pPr>
        <w:spacing w:line="269" w:lineRule="auto" w:after="120"/>
      </w:pPr>
      <w:r>
        <w:t>O STRUCT agrupa os campos que definem o conteúdo do pagamento. TO_JSON_STRING cria uma representação consistente desse conjunto. SHA256 gera uma assinatura e TO_HEX a transforma em texto legível. O hash não é usado para recuperar os dados; ele é usado apenas para comparação.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Situação</w:t>
            </w:r>
          </w:p>
        </w:tc>
        <w:tc>
          <w:tcPr>
            <w:tcW w:type="dxa" w:w="2541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source row id</w:t>
            </w:r>
          </w:p>
        </w:tc>
        <w:tc>
          <w:tcPr>
            <w:tcW w:type="dxa" w:w="2541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record hash</w:t>
            </w:r>
          </w:p>
        </w:tc>
        <w:tc>
          <w:tcPr>
            <w:tcW w:type="dxa" w:w="2541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Conclusão</w:t>
            </w:r>
          </w:p>
        </w:tc>
      </w:tr>
      <w:tr>
        <w:tc>
          <w:tcPr>
            <w:tcW w:type="dxa" w:w="254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Pagamento igual ao de ontem</w:t>
            </w:r>
          </w:p>
        </w:tc>
        <w:tc>
          <w:tcPr>
            <w:tcW w:type="dxa" w:w="254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Igual</w:t>
            </w:r>
          </w:p>
        </w:tc>
        <w:tc>
          <w:tcPr>
            <w:tcW w:type="dxa" w:w="254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Igual</w:t>
            </w:r>
          </w:p>
        </w:tc>
        <w:tc>
          <w:tcPr>
            <w:tcW w:type="dxa" w:w="254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Não atualiza.</w:t>
            </w:r>
          </w:p>
        </w:tc>
      </w:tr>
      <w:tr>
        <w:tc>
          <w:tcPr>
            <w:tcW w:type="dxa" w:w="2541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Valor do pagamento alterado</w:t>
            </w:r>
          </w:p>
        </w:tc>
        <w:tc>
          <w:tcPr>
            <w:tcW w:type="dxa" w:w="2541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Igual</w:t>
            </w:r>
          </w:p>
        </w:tc>
        <w:tc>
          <w:tcPr>
            <w:tcW w:type="dxa" w:w="2541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Diferente</w:t>
            </w:r>
          </w:p>
        </w:tc>
        <w:tc>
          <w:tcPr>
            <w:tcW w:type="dxa" w:w="2541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Atualiza.</w:t>
            </w:r>
          </w:p>
        </w:tc>
      </w:tr>
      <w:tr>
        <w:tc>
          <w:tcPr>
            <w:tcW w:type="dxa" w:w="254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Novo pagamento</w:t>
            </w:r>
          </w:p>
        </w:tc>
        <w:tc>
          <w:tcPr>
            <w:tcW w:type="dxa" w:w="254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Novo</w:t>
            </w:r>
          </w:p>
        </w:tc>
        <w:tc>
          <w:tcPr>
            <w:tcW w:type="dxa" w:w="254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Novo</w:t>
            </w:r>
          </w:p>
        </w:tc>
        <w:tc>
          <w:tcPr>
            <w:tcW w:type="dxa" w:w="2541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Insere.</w:t>
            </w:r>
          </w:p>
        </w:tc>
      </w:tr>
    </w:tbl>
    <w:p/>
    <w:p>
      <w:pPr>
        <w:pStyle w:val="Heading2"/>
        <w:spacing w:before="160" w:after="100"/>
      </w:pPr>
      <w:r>
        <w:rPr>
          <w:color w:val="000000"/>
        </w:rPr>
        <w:t>13 6 A tabela temporária delta</w:t>
      </w:r>
    </w:p>
    <w:p>
      <w:pPr>
        <w:spacing w:line="269" w:lineRule="auto" w:after="120"/>
      </w:pPr>
      <w:r>
        <w:t>CREATE TEMP TABLE delta AS materializa o resultado da comparação somente para esta execução. Ela facilita duas necessidades: validar a qualidade da origem antes de escrever na Silver e registrar uma auditoria que diferencia inserções, atualizações e linhas iguais.</w:t>
      </w:r>
    </w:p>
    <w:p>
      <w:pPr>
        <w:spacing w:before="60" w:after="160"/>
        <w:ind w:left="317" w:right="317"/>
        <w:shd w:fill="F1F3F5"/>
      </w:pPr>
      <w:r>
        <w:rPr>
          <w:rFonts w:ascii="Consolas" w:hAnsi="Consolas"/>
          <w:sz w:val="16"/>
        </w:rPr>
        <w:t>CASE</w:t>
        <w:br/>
        <w:t xml:space="preserve">  WHEN target.source_row_id IS NULL THEN 'INSERT'</w:t>
        <w:br/>
        <w:t xml:space="preserve">  WHEN target.record_hash != source.record_hash THEN 'UPDATE'</w:t>
        <w:br/>
        <w:t xml:space="preserve">  ELSE 'UNCHANGED'</w:t>
        <w:br/>
        <w:t>END AS change_type</w:t>
      </w:r>
    </w:p>
    <w:p>
      <w:pPr>
        <w:spacing w:line="269" w:lineRule="auto" w:after="120"/>
      </w:pPr>
      <w:r>
        <w:t>O LEFT JOIN procura cada linha da nova carga na Silver existente. Se não encontra um ID correspondente, a linha é nova. Se encontra o ID mas o hash mudou, existe uma alteração. Se encontra ID e hash iguais, a linha já está atualizada e não precisa ser escrita novamente.</w:t>
      </w:r>
    </w:p>
    <w:p>
      <w:pPr>
        <w:spacing w:line="269" w:lineRule="auto" w:after="120"/>
      </w:pPr>
      <w:r>
        <w:t>Delta não é uma camada de dados nova. Ela não substitui Bronze, Raw ou Silver. É uma mesa de trabalho temporária que desaparece no fim do script.</w:t>
      </w:r>
    </w:p>
    <w:p>
      <w:pPr>
        <w:pStyle w:val="Heading2"/>
        <w:spacing w:before="160" w:after="100"/>
      </w:pPr>
      <w:r>
        <w:rPr>
          <w:color w:val="000000"/>
        </w:rPr>
        <w:t>13 7 A validação ASSERT</w:t>
      </w:r>
    </w:p>
    <w:p>
      <w:pPr>
        <w:spacing w:before="60" w:after="160"/>
        <w:ind w:left="317" w:right="317"/>
        <w:shd w:fill="F1F3F5"/>
      </w:pPr>
      <w:r>
        <w:rPr>
          <w:rFonts w:ascii="Consolas" w:hAnsi="Consolas"/>
          <w:sz w:val="16"/>
        </w:rPr>
        <w:t>ASSERT (</w:t>
        <w:br/>
        <w:t xml:space="preserve">  SELECT COUNT(*) = COUNT(DISTINCT source_row_id)</w:t>
        <w:br/>
        <w:t xml:space="preserve">     AND COUNTIF(source_row_id IS NULL) = 0</w:t>
        <w:br/>
        <w:t xml:space="preserve">  FROM delta</w:t>
        <w:br/>
        <w:t>) AS 'A carga possui source_row_id nulo ou duplicado.';</w:t>
      </w:r>
    </w:p>
    <w:p>
      <w:pPr>
        <w:spacing w:line="269" w:lineRule="auto" w:after="120"/>
      </w:pPr>
      <w:r>
        <w:t>ASSERT funciona como um portão de segurança. Antes do MERGE, ele verifica se cada linha possui uma chave e se nenhuma chave aparece duas vezes. Caso a validação falhe, o script para e a Silver não é alterada.</w:t>
      </w:r>
    </w:p>
    <w:p>
      <w:pPr>
        <w:spacing w:line="269" w:lineRule="auto" w:after="120"/>
      </w:pPr>
      <w:r>
        <w:t>Esse bloqueio evita uma situação perigosa: várias linhas da origem tentarem atualizar a mesma linha da Silver. Também transforma um problema de qualidade em falha visível, em vez de esconder o erro no resultado final.</w:t>
      </w:r>
    </w:p>
    <w:p>
      <w:pPr>
        <w:pStyle w:val="Heading2"/>
        <w:spacing w:before="160" w:after="100"/>
      </w:pPr>
      <w:r>
        <w:rPr>
          <w:color w:val="000000"/>
        </w:rPr>
        <w:t>13 8 O MERGE em detalhes</w:t>
      </w:r>
    </w:p>
    <w:p>
      <w:pPr>
        <w:spacing w:line="269" w:lineRule="auto" w:after="120"/>
      </w:pPr>
      <w:r>
        <w:t>MERGE une INSERT e UPDATE em um único comando. Target é a Silver existente. Source são os campos de delta, sem a coluna change_type, porque ela serve somente à auditoria.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Regra</w:t>
            </w:r>
          </w:p>
        </w:tc>
        <w:tc>
          <w:tcPr>
            <w:tcW w:type="dxa" w:w="3389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Condição</w:t>
            </w:r>
          </w:p>
        </w:tc>
        <w:tc>
          <w:tcPr>
            <w:tcW w:type="dxa" w:w="3389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Ação</w:t>
            </w:r>
          </w:p>
        </w:tc>
      </w:tr>
      <w:tr>
        <w:tc>
          <w:tcPr>
            <w:tcW w:type="dxa" w:w="338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Registro alterado</w:t>
            </w:r>
          </w:p>
        </w:tc>
        <w:tc>
          <w:tcPr>
            <w:tcW w:type="dxa" w:w="338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ID igual e hash diferente</w:t>
            </w:r>
          </w:p>
        </w:tc>
        <w:tc>
          <w:tcPr>
            <w:tcW w:type="dxa" w:w="338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UPDATE dos campos, hash, updated_at e is_active.</w:t>
            </w:r>
          </w:p>
        </w:tc>
      </w:tr>
      <w:tr>
        <w:tc>
          <w:tcPr>
            <w:tcW w:type="dxa" w:w="3389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Registro reativado</w:t>
            </w:r>
          </w:p>
        </w:tc>
        <w:tc>
          <w:tcPr>
            <w:tcW w:type="dxa" w:w="3389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ID igual e is_active falso</w:t>
            </w:r>
          </w:p>
        </w:tc>
        <w:tc>
          <w:tcPr>
            <w:tcW w:type="dxa" w:w="3389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Muda is_active para verdadeiro.</w:t>
            </w:r>
          </w:p>
        </w:tc>
      </w:tr>
      <w:tr>
        <w:tc>
          <w:tcPr>
            <w:tcW w:type="dxa" w:w="338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Registro novo</w:t>
            </w:r>
          </w:p>
        </w:tc>
        <w:tc>
          <w:tcPr>
            <w:tcW w:type="dxa" w:w="338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ID não encontrado</w:t>
            </w:r>
          </w:p>
        </w:tc>
        <w:tc>
          <w:tcPr>
            <w:tcW w:type="dxa" w:w="338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INSERT com created_at e updated_at.</w:t>
            </w:r>
          </w:p>
        </w:tc>
      </w:tr>
      <w:tr>
        <w:tc>
          <w:tcPr>
            <w:tcW w:type="dxa" w:w="3389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Registro igual</w:t>
            </w:r>
          </w:p>
        </w:tc>
        <w:tc>
          <w:tcPr>
            <w:tcW w:type="dxa" w:w="3389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ID e hash iguais</w:t>
            </w:r>
          </w:p>
        </w:tc>
        <w:tc>
          <w:tcPr>
            <w:tcW w:type="dxa" w:w="3389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Nenhuma escrita é feita.</w:t>
            </w:r>
          </w:p>
        </w:tc>
      </w:tr>
    </w:tbl>
    <w:p/>
    <w:p>
      <w:pPr>
        <w:spacing w:line="269" w:lineRule="auto" w:after="120"/>
      </w:pPr>
      <w:r>
        <w:t>A ordem das regras importa. Primeiro o SQL avalia se houve mudança de conteúdo. Depois verifica a reativação. Por fim, insere aquilo que não encontrou. Linhas iguais não correspondem a nenhuma ação e permanecem intactas.</w:t>
      </w:r>
    </w:p>
    <w:p>
      <w:pPr>
        <w:spacing w:line="269" w:lineRule="auto" w:after="120"/>
      </w:pPr>
      <w:r>
        <w:t>created_at só recebe valor no INSERT. updated_at recebe valor no INSERT e nos UPDATEs. Essa diferença permite saber quando o pagamento entrou na Silver e quando foi modificado pela última vez.</w:t>
      </w:r>
    </w:p>
    <w:p>
      <w:pPr>
        <w:pStyle w:val="Heading2"/>
        <w:spacing w:before="160" w:after="100"/>
      </w:pPr>
      <w:r>
        <w:rPr>
          <w:color w:val="000000"/>
        </w:rPr>
        <w:t>13 9 Auditoria após o MERGE</w:t>
      </w:r>
    </w:p>
    <w:p>
      <w:pPr>
        <w:spacing w:line="269" w:lineRule="auto" w:after="120"/>
      </w:pPr>
      <w:r>
        <w:t>O INSERT na tabela payments_load_audit acontece depois do MERGE. Isso garante que o resumo só é gravado quando a alteração da Silver foi concluída com sucesso.</w:t>
      </w:r>
    </w:p>
    <w:p>
      <w:pPr>
        <w:spacing w:before="60" w:after="160"/>
        <w:ind w:left="317" w:right="317"/>
        <w:shd w:fill="F1F3F5"/>
      </w:pPr>
      <w:r>
        <w:rPr>
          <w:rFonts w:ascii="Consolas" w:hAnsi="Consolas"/>
          <w:sz w:val="16"/>
        </w:rPr>
        <w:t>COUNTIF(change_type = 'INSERT')</w:t>
        <w:br/>
        <w:t>COUNTIF(change_type = 'UPDATE')</w:t>
        <w:br/>
        <w:t>COUNTIF(change_type = 'UNCHANGED')</w:t>
      </w:r>
    </w:p>
    <w:p>
      <w:pPr>
        <w:spacing w:line="269" w:lineRule="auto" w:after="120"/>
      </w:pPr>
      <w:r>
        <w:t>A auditoria não muda pagamentos; ela apenas guarda números da execução. Amanhã, ela permitirá responder sem dedução: qual arquivo foi processado, quantas linhas chegaram, quantas chaves eram distintas, quantas linhas foram inseridas, atualizadas ou mantidas.</w:t>
      </w:r>
    </w:p>
    <w:p>
      <w:pPr>
        <w:pStyle w:val="Heading2"/>
        <w:spacing w:before="160" w:after="100"/>
      </w:pPr>
      <w:r>
        <w:rPr>
          <w:color w:val="000000"/>
        </w:rPr>
        <w:t>13 10 Leitura de um resultado real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Campo da auditoria</w:t>
            </w:r>
          </w:p>
        </w:tc>
        <w:tc>
          <w:tcPr>
            <w:tcW w:type="dxa" w:w="3389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Exemplo</w:t>
            </w:r>
          </w:p>
        </w:tc>
        <w:tc>
          <w:tcPr>
            <w:tcW w:type="dxa" w:w="3389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Como interpretar</w:t>
            </w:r>
          </w:p>
        </w:tc>
      </w:tr>
      <w:tr>
        <w:tc>
          <w:tcPr>
            <w:tcW w:type="dxa" w:w="338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source_rows</w:t>
            </w:r>
          </w:p>
        </w:tc>
        <w:tc>
          <w:tcPr>
            <w:tcW w:type="dxa" w:w="338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466010</w:t>
            </w:r>
          </w:p>
        </w:tc>
        <w:tc>
          <w:tcPr>
            <w:tcW w:type="dxa" w:w="338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Quantidade de linhas no arquivo diário.</w:t>
            </w:r>
          </w:p>
        </w:tc>
      </w:tr>
      <w:tr>
        <w:tc>
          <w:tcPr>
            <w:tcW w:type="dxa" w:w="3389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distinct_source_ids</w:t>
            </w:r>
          </w:p>
        </w:tc>
        <w:tc>
          <w:tcPr>
            <w:tcW w:type="dxa" w:w="3389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466010</w:t>
            </w:r>
          </w:p>
        </w:tc>
        <w:tc>
          <w:tcPr>
            <w:tcW w:type="dxa" w:w="3389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Todas as linhas têm chave técnica única.</w:t>
            </w:r>
          </w:p>
        </w:tc>
      </w:tr>
      <w:tr>
        <w:tc>
          <w:tcPr>
            <w:tcW w:type="dxa" w:w="338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inserted_rows</w:t>
            </w:r>
          </w:p>
        </w:tc>
        <w:tc>
          <w:tcPr>
            <w:tcW w:type="dxa" w:w="338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338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Vinte e cinco pagamentos não existiam na Silver.</w:t>
            </w:r>
          </w:p>
        </w:tc>
      </w:tr>
      <w:tr>
        <w:tc>
          <w:tcPr>
            <w:tcW w:type="dxa" w:w="3389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updated_rows</w:t>
            </w:r>
          </w:p>
        </w:tc>
        <w:tc>
          <w:tcPr>
            <w:tcW w:type="dxa" w:w="3389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389"/>
            <w:shd w:fill="F4F7FA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Sete pagamentos já existentes mudaram.</w:t>
            </w:r>
          </w:p>
        </w:tc>
      </w:tr>
      <w:tr>
        <w:tc>
          <w:tcPr>
            <w:tcW w:type="dxa" w:w="338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unchanged_rows</w:t>
            </w:r>
          </w:p>
        </w:tc>
        <w:tc>
          <w:tcPr>
            <w:tcW w:type="dxa" w:w="338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465978</w:t>
            </w:r>
          </w:p>
        </w:tc>
        <w:tc>
          <w:tcPr>
            <w:tcW w:type="dxa" w:w="338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Linhas que não precisaram de escrita.</w:t>
            </w:r>
          </w:p>
        </w:tc>
      </w:tr>
    </w:tbl>
    <w:p/>
    <w:p>
      <w:pPr>
        <w:spacing w:line="269" w:lineRule="auto" w:after="120"/>
      </w:pPr>
      <w:r>
        <w:t>Se inserted_rows e updated_rows forem zero, isso não é um erro. Pode significar que a nova fotografia da API estava igual à anterior. Se o ASSERT falhar, investigue a origem antes de tentar rodar novamente.</w:t>
      </w:r>
    </w:p>
    <w:p>
      <w:pPr>
        <w:pStyle w:val="Heading2"/>
        <w:spacing w:before="160" w:after="100"/>
      </w:pPr>
      <w:r>
        <w:rPr>
          <w:color w:val="000000"/>
        </w:rPr>
        <w:t>13 11 Limites e evolução futura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A regra atual remove fisicamente da Silver os registros que não aparecem na fotografia mais recente da fonte. Isso só é seguro porque a extração busca o conjunto completo da API e porque o script valida a qualidade da carga antes do MERGE.</w:t>
      </w:r>
    </w:p>
    <w:p>
      <w:pPr>
        <w:pStyle w:val="ListBullet"/>
        <w:spacing w:after="60"/>
      </w:pPr>
      <w:r>
        <w:t>A regra latest_raw_file depende do padrão de nome com data. Para múltiplas execuções no mesmo dia, inclua horário ou identificador de execução no arquivo.</w:t>
      </w:r>
    </w:p>
    <w:p>
      <w:pPr>
        <w:pStyle w:val="ListBullet"/>
        <w:spacing w:after="60"/>
      </w:pPr>
      <w:r>
        <w:t>Quando houver Gold e várias regras SQL, este mesmo fluxo pode virar modelos incrementais dbt sem mudar o conceito central.</w:t>
      </w:r>
    </w:p>
    <w:p>
      <w:pPr>
        <w:pStyle w:val="ListBullet"/>
        <w:spacing w:after="60"/>
      </w:pPr>
      <w:r>
        <w:t>Em crescimento de volume, particione e clusterize a Silver antes de mudar a tecnologia de processamento.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sz w:val="30"/>
        </w:rPr>
        <w:t>14 Atualização da Silver com exclusão física</w:t>
      </w:r>
    </w:p>
    <w:p>
      <w:r>
        <w:rPr>
          <w:rFonts w:ascii="Arial" w:hAnsi="Arial"/>
          <w:b w:val="0"/>
          <w:sz w:val="20"/>
        </w:rPr>
        <w:t>A Silver passou a representar a fotografia mais recente da API. Além de inserir registros novos e atualizar pagamentos alterados, o processo agora remove registros que existiam anteriormente na Silver, mas não vieram no Parquet mais recente.</w:t>
      </w:r>
    </w:p>
    <w:p>
      <w:pPr>
        <w:pStyle w:val="Heading2"/>
      </w:pPr>
      <w:r>
        <w:rPr>
          <w:rFonts w:ascii="Arial" w:hAnsi="Arial"/>
          <w:b/>
          <w:sz w:val="24"/>
        </w:rPr>
        <w:t>14 1 Por que a quantidade da Silver era maior</w:t>
      </w:r>
    </w:p>
    <w:p>
      <w:r>
        <w:rPr>
          <w:rFonts w:ascii="Arial" w:hAnsi="Arial"/>
          <w:b w:val="0"/>
          <w:sz w:val="20"/>
        </w:rPr>
        <w:t>Antes da regra de exclusão, o MERGE preservava linhas antigas mesmo quando elas desapareciam da fonte. Por isso a Silver tinha 468331 linhas, enquanto a fotografia Raw mais recente tinha 467393. Isso não era uma duplicidade da carga; eram registros históricos que permaneceram na tabela alvo.</w:t>
      </w:r>
    </w:p>
    <w:p>
      <w:pPr>
        <w:pStyle w:val="Heading2"/>
      </w:pPr>
      <w:r>
        <w:rPr>
          <w:rFonts w:ascii="Arial" w:hAnsi="Arial"/>
          <w:b/>
          <w:sz w:val="24"/>
        </w:rPr>
        <w:t>14 2 Regra de exclusão no MERGE</w:t>
      </w:r>
    </w:p>
    <w:p>
      <w:r>
        <w:rPr>
          <w:rFonts w:ascii="Arial" w:hAnsi="Arial"/>
          <w:b w:val="0"/>
          <w:sz w:val="20"/>
        </w:rPr>
        <w:t>A cláusula abaixo compara a tabela alvo com o conjunto source da execução atual. Quando uma chave está na Silver, mas não está no source, o BigQuery apaga a linha.</w:t>
      </w:r>
    </w:p>
    <w:p>
      <w:pPr>
        <w:spacing w:before="60" w:after="120"/>
        <w:ind w:left="360"/>
      </w:pPr>
      <w:r>
        <w:rPr>
          <w:rFonts w:ascii="Courier New" w:hAnsi="Courier New"/>
          <w:sz w:val="17"/>
        </w:rPr>
        <w:t>WHEN NOT MATCHED BY SOURCE THEN</w:t>
        <w:br/>
        <w:t>DELETE;</w:t>
      </w:r>
    </w:p>
    <w:p>
      <w:r>
        <w:rPr>
          <w:rFonts w:ascii="Arial" w:hAnsi="Arial"/>
          <w:b w:val="0"/>
          <w:sz w:val="20"/>
        </w:rPr>
        <w:t>Essa escolha é adequada quando a Silver deve ser um espelho atual da fonte. A Raw continua preservando os arquivos históricos durante o período de retenção do bucket, portanto ainda existe possibilidade de investigação e reprocessamento.</w:t>
      </w:r>
    </w:p>
    <w:p>
      <w:pPr>
        <w:pStyle w:val="Heading2"/>
      </w:pPr>
      <w:r>
        <w:rPr>
          <w:rFonts w:ascii="Arial" w:hAnsi="Arial"/>
          <w:b/>
          <w:sz w:val="24"/>
        </w:rPr>
        <w:t>14 3 Proteções e auditoria</w:t>
      </w:r>
    </w:p>
    <w:p>
      <w:r>
        <w:rPr>
          <w:rFonts w:ascii="Arial" w:hAnsi="Arial"/>
          <w:b w:val="0"/>
          <w:sz w:val="20"/>
        </w:rPr>
        <w:t>Antes do MERGE, a tabela temporária delta valida que source_row_id não tem nulos nem duplicidades. Uma segunda proteção compara o volume da fonte com a Silver anterior. Se a fonte tiver menos de 95 por cento do volume da Silver, o script é interrompido para evitar uma exclusão em massa causada por falha de paginação ou ingestão incompleta.</w:t>
      </w:r>
    </w:p>
    <w:p>
      <w:pPr>
        <w:spacing w:before="60" w:after="120"/>
        <w:ind w:left="360"/>
      </w:pPr>
      <w:r>
        <w:rPr>
          <w:rFonts w:ascii="Courier New" w:hAnsi="Courier New"/>
          <w:sz w:val="17"/>
        </w:rPr>
        <w:t>ASSERT (</w:t>
        <w:br/>
        <w:t xml:space="preserve">  SELECT COUNT(*) FROM delta</w:t>
        <w:br/>
        <w:t>) &gt;= 0.95 * (</w:t>
        <w:br/>
        <w:t xml:space="preserve">  SELECT COUNT(*) FROM `project-ee331d6f-13ea-4843-b3b.Silver.payments`</w:t>
        <w:br/>
        <w:t>) AS 'A fonte atual parece incompleta.';</w:t>
      </w:r>
    </w:p>
    <w:p>
      <w:r>
        <w:rPr>
          <w:rFonts w:ascii="Arial" w:hAnsi="Arial"/>
          <w:b w:val="0"/>
          <w:sz w:val="20"/>
        </w:rPr>
        <w:t>A tabela payments_load_audit registra source_rows, distinct_source_ids, inserted_rows, updated_rows, unchanged_rows e deleted_rows. A coluna deleted_rows foi adicionada para mostrar explicitamente as remoções da execução.</w:t>
      </w:r>
    </w:p>
    <w:p>
      <w:pPr>
        <w:pStyle w:val="Heading1"/>
      </w:pPr>
      <w:r>
        <w:rPr>
          <w:rFonts w:ascii="Arial" w:hAnsi="Arial"/>
          <w:b/>
          <w:sz w:val="30"/>
        </w:rPr>
        <w:t>15 Camada Gold para análise</w:t>
      </w:r>
    </w:p>
    <w:p>
      <w:r>
        <w:rPr>
          <w:rFonts w:ascii="Arial" w:hAnsi="Arial"/>
          <w:b w:val="0"/>
          <w:sz w:val="20"/>
        </w:rPr>
        <w:t>A Gold não é uma cópia adicional da Silver. Ela organiza os pagamentos para análise, relatórios e dashboards. Para o projeto atual, foi adotado um modelo estrela simples com uma tabela fato e três dimensões.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365D"/>
            <w:vAlign w:val="center"/>
          </w:tcPr>
          <w:p>
            <w:r>
              <w:rPr>
                <w:rFonts w:ascii="Arial" w:hAnsi="Arial"/>
                <w:b/>
                <w:sz w:val="18"/>
              </w:rPr>
              <w:t>Tabela</w:t>
            </w:r>
          </w:p>
        </w:tc>
        <w:tc>
          <w:tcPr>
            <w:tcW w:type="dxa" w:w="3389"/>
            <w:shd w:fill="17365D"/>
            <w:vAlign w:val="center"/>
          </w:tcPr>
          <w:p>
            <w:r>
              <w:rPr>
                <w:rFonts w:ascii="Arial" w:hAnsi="Arial"/>
                <w:b/>
                <w:sz w:val="18"/>
              </w:rPr>
              <w:t>Grão</w:t>
            </w:r>
          </w:p>
        </w:tc>
        <w:tc>
          <w:tcPr>
            <w:tcW w:type="dxa" w:w="3389"/>
            <w:shd w:fill="17365D"/>
            <w:vAlign w:val="center"/>
          </w:tcPr>
          <w:p>
            <w:r>
              <w:rPr>
                <w:rFonts w:ascii="Arial" w:hAnsi="Arial"/>
                <w:b/>
                <w:sz w:val="18"/>
              </w:rPr>
              <w:t>Finalidade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Arial" w:hAnsi="Arial"/>
                <w:sz w:val="18"/>
              </w:rPr>
              <w:t>dim_vendor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Arial" w:hAnsi="Arial"/>
                <w:sz w:val="18"/>
              </w:rPr>
              <w:t>Uma linha por fornecedor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Arial" w:hAnsi="Arial"/>
                <w:sz w:val="18"/>
              </w:rPr>
              <w:t>Filtrar e agrupar pagamentos por fornecedor.</w:t>
            </w:r>
          </w:p>
        </w:tc>
      </w:tr>
      <w:tr>
        <w:tc>
          <w:tcPr>
            <w:tcW w:type="dxa" w:w="3389"/>
            <w:vAlign w:val="center"/>
            <w:shd w:fill="EAF2F8"/>
          </w:tcPr>
          <w:p>
            <w:r>
              <w:rPr>
                <w:rFonts w:ascii="Arial" w:hAnsi="Arial"/>
                <w:sz w:val="18"/>
              </w:rPr>
              <w:t>dim_department</w:t>
            </w:r>
          </w:p>
        </w:tc>
        <w:tc>
          <w:tcPr>
            <w:tcW w:type="dxa" w:w="3389"/>
            <w:vAlign w:val="center"/>
            <w:shd w:fill="EAF2F8"/>
          </w:tcPr>
          <w:p>
            <w:r>
              <w:rPr>
                <w:rFonts w:ascii="Arial" w:hAnsi="Arial"/>
                <w:sz w:val="18"/>
              </w:rPr>
              <w:t>Uma linha por departamento</w:t>
            </w:r>
          </w:p>
        </w:tc>
        <w:tc>
          <w:tcPr>
            <w:tcW w:type="dxa" w:w="3389"/>
            <w:vAlign w:val="center"/>
            <w:shd w:fill="EAF2F8"/>
          </w:tcPr>
          <w:p>
            <w:r>
              <w:rPr>
                <w:rFonts w:ascii="Arial" w:hAnsi="Arial"/>
                <w:sz w:val="18"/>
              </w:rPr>
              <w:t>Filtrar e agrupar pagamentos por área responsável.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rFonts w:ascii="Arial" w:hAnsi="Arial"/>
                <w:sz w:val="18"/>
              </w:rPr>
              <w:t>dim_calendar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Arial" w:hAnsi="Arial"/>
                <w:sz w:val="18"/>
              </w:rPr>
              <w:t>Uma linha por data</w:t>
            </w:r>
          </w:p>
        </w:tc>
        <w:tc>
          <w:tcPr>
            <w:tcW w:type="dxa" w:w="3389"/>
            <w:vAlign w:val="center"/>
          </w:tcPr>
          <w:p>
            <w:r>
              <w:rPr>
                <w:rFonts w:ascii="Arial" w:hAnsi="Arial"/>
                <w:sz w:val="18"/>
              </w:rPr>
              <w:t>Permitir análises por dia, mês, trimestre e ano.</w:t>
            </w:r>
          </w:p>
        </w:tc>
      </w:tr>
      <w:tr>
        <w:tc>
          <w:tcPr>
            <w:tcW w:type="dxa" w:w="3389"/>
            <w:vAlign w:val="center"/>
            <w:shd w:fill="EAF2F8"/>
          </w:tcPr>
          <w:p>
            <w:r>
              <w:rPr>
                <w:rFonts w:ascii="Arial" w:hAnsi="Arial"/>
                <w:sz w:val="18"/>
              </w:rPr>
              <w:t>fact_payments</w:t>
            </w:r>
          </w:p>
        </w:tc>
        <w:tc>
          <w:tcPr>
            <w:tcW w:type="dxa" w:w="3389"/>
            <w:vAlign w:val="center"/>
            <w:shd w:fill="EAF2F8"/>
          </w:tcPr>
          <w:p>
            <w:r>
              <w:rPr>
                <w:rFonts w:ascii="Arial" w:hAnsi="Arial"/>
                <w:sz w:val="18"/>
              </w:rPr>
              <w:t>Uma linha por pagamento</w:t>
            </w:r>
          </w:p>
        </w:tc>
        <w:tc>
          <w:tcPr>
            <w:tcW w:type="dxa" w:w="3389"/>
            <w:vAlign w:val="center"/>
            <w:shd w:fill="EAF2F8"/>
          </w:tcPr>
          <w:p>
            <w:r>
              <w:rPr>
                <w:rFonts w:ascii="Arial" w:hAnsi="Arial"/>
                <w:sz w:val="18"/>
              </w:rPr>
              <w:t>Base principal de medidas, contagens e valores pagos.</w:t>
            </w:r>
          </w:p>
        </w:tc>
      </w:tr>
    </w:tbl>
    <w:p>
      <w:pPr>
        <w:pStyle w:val="Heading2"/>
      </w:pPr>
      <w:r>
        <w:rPr>
          <w:rFonts w:ascii="Arial" w:hAnsi="Arial"/>
          <w:b/>
          <w:sz w:val="24"/>
        </w:rPr>
        <w:t>15 1 Chaves das dimensões</w:t>
      </w:r>
    </w:p>
    <w:p>
      <w:r>
        <w:rPr>
          <w:rFonts w:ascii="Arial" w:hAnsi="Arial"/>
          <w:b w:val="0"/>
          <w:sz w:val="20"/>
        </w:rPr>
        <w:t>A API não disponibiliza identificadores próprios para fornecedor e departamento. Por isso, vendor_key e department_key são hashes determinísticos gerados a partir dos nomes normalizados com UPPER e TRIM. A normalização evita que diferenças de maiúsculas, minúsculas ou espaços criem entidades diferentes sem necessidade.</w:t>
      </w:r>
    </w:p>
    <w:p>
      <w:pPr>
        <w:pStyle w:val="Heading2"/>
      </w:pPr>
      <w:r>
        <w:rPr>
          <w:rFonts w:ascii="Arial" w:hAnsi="Arial"/>
          <w:b/>
          <w:sz w:val="24"/>
        </w:rPr>
        <w:t>15 2 Problema de multiplicação de linhas e correção</w:t>
      </w:r>
    </w:p>
    <w:p>
      <w:r>
        <w:rPr>
          <w:rFonts w:ascii="Arial" w:hAnsi="Arial"/>
          <w:b w:val="0"/>
          <w:sz w:val="20"/>
        </w:rPr>
        <w:t>Na primeira criação de dim_vendor, uma mesma vendor_key podia aparecer em mais de uma linha. Ao juntar a fato com essa dimensão, alguns pagamentos foram multiplicados: total_payments foi 470053, enquanto distinct_payments foi 467980. O total pago também ficou inflado.</w:t>
      </w:r>
    </w:p>
    <w:p>
      <w:r>
        <w:rPr>
          <w:rFonts w:ascii="Arial" w:hAnsi="Arial"/>
          <w:b w:val="0"/>
          <w:sz w:val="20"/>
        </w:rPr>
        <w:t>A correção foi normalizar vendor_name antes do DISTINCT. Depois de recriar a dimensão e a fato, total_payments e distinct_payments passaram a ser 467980. A mesma quantidade foi confirmada na Silver ativa, demonstrando que a fato está reconciliada com sua fonte.</w:t>
      </w:r>
    </w:p>
    <w:p>
      <w:pPr>
        <w:pStyle w:val="Heading2"/>
      </w:pPr>
      <w:r>
        <w:rPr>
          <w:rFonts w:ascii="Arial" w:hAnsi="Arial"/>
          <w:b/>
          <w:sz w:val="24"/>
        </w:rPr>
        <w:t>15 3 Gold incremental ou full refresh</w:t>
      </w:r>
    </w:p>
    <w:p>
      <w:r>
        <w:rPr>
          <w:rFonts w:ascii="Arial" w:hAnsi="Arial"/>
          <w:b w:val="0"/>
          <w:sz w:val="20"/>
        </w:rPr>
        <w:t>Para o volume atual, próximo de meio milhão de pagamentos, as tabelas Gold podem ser recriadas diariamente com CREATE OR REPLACE TABLE. A Silver permanece incremental porque é a camada de controle das mudanças. A Gold é derivada da Silver confiável e um full refresh reduz a complexidade operacional.</w:t>
      </w:r>
    </w:p>
    <w:p>
      <w:pPr>
        <w:pStyle w:val="Heading1"/>
      </w:pPr>
      <w:r>
        <w:rPr>
          <w:rFonts w:ascii="Arial" w:hAnsi="Arial"/>
          <w:b/>
          <w:sz w:val="30"/>
        </w:rPr>
        <w:t>16 Execução e orquestração</w:t>
      </w:r>
    </w:p>
    <w:p>
      <w:r>
        <w:rPr>
          <w:rFonts w:ascii="Arial" w:hAnsi="Arial"/>
          <w:b w:val="0"/>
          <w:sz w:val="20"/>
        </w:rPr>
        <w:t>No estágio atual, consultas agendadas podem executar a Silver e, depois, uma única consulta Gold com as tabelas em sequência. Não é necessário um agendamento para cada dimensão. A ordem interna da Gold deve ser dim_vendor, dim_department, dim_calendar e fact_payments.</w:t>
      </w:r>
    </w:p>
    <w:p>
      <w:r>
        <w:rPr>
          <w:rFonts w:ascii="Arial" w:hAnsi="Arial"/>
          <w:b w:val="0"/>
          <w:sz w:val="20"/>
        </w:rPr>
        <w:t>O agendamento por horário é aceitável para aprendizado, mas não prova que a etapa anterior terminou com sucesso. A evolução profissional é usar Cloud Workflows para disparar o Cloud Run, aguardar sucesso, executar a Silver, aguardar sucesso e então atualizar a Gold.</w:t>
      </w:r>
    </w:p>
    <w:p>
      <w:pPr>
        <w:pStyle w:val="Heading1"/>
      </w:pPr>
      <w:r>
        <w:rPr>
          <w:rFonts w:ascii="Arial" w:hAnsi="Arial"/>
          <w:b/>
          <w:sz w:val="30"/>
        </w:rPr>
        <w:t>17 Dashboard editável no Figma</w:t>
      </w:r>
    </w:p>
    <w:p>
      <w:r>
        <w:rPr>
          <w:rFonts w:ascii="Arial" w:hAnsi="Arial"/>
          <w:b w:val="0"/>
          <w:sz w:val="20"/>
        </w:rPr>
        <w:t>Foi criado um arquivo de design editável chamado Chicago Payments Portal Dashboard. Ele contém um frame 16 por 9 com quatro cartões KPI e quatro painéis para gráficos. Os títulos planejados são Total Pago, Pagamentos, Fornecedores, Departamentos, Distribuição de Pagamentos por Período, Top Fornecedores por Valor Pago, Pagamentos por Departamento e Distribuição por Faixa de Valor.</w:t>
      </w:r>
    </w:p>
    <w:p>
      <w:r>
        <w:rPr>
          <w:rFonts w:ascii="Arial" w:hAnsi="Arial"/>
          <w:b w:val="0"/>
          <w:sz w:val="20"/>
        </w:rPr>
        <w:t>O arquivo possui páginas Dashboard, Foundations e Components. Cores, raios, bordas e espaçamentos foram criados como tokens editáveis. Os cartões KPI e painéis de gráfico são componentes reutilizáveis. O ícone cívico é conceitual e não representa o logotipo oficial da prefeitura de Chicago.</w:t>
      </w:r>
    </w:p>
    <w:p>
      <w:r>
        <w:rPr>
          <w:rFonts w:ascii="Arial" w:hAnsi="Arial"/>
          <w:b w:val="0"/>
          <w:sz w:val="20"/>
        </w:rPr>
        <w:t>Link do arquivo: https://www.figma.com/design/FVeHTFRXE66fHo2T0SfzFV</w:t>
      </w:r>
    </w:p>
    <w:p>
      <w:r>
        <w:rPr>
          <w:rFonts w:ascii="Arial" w:hAnsi="Arial"/>
          <w:b w:val="0"/>
          <w:sz w:val="20"/>
        </w:rPr>
        <w:t>Para editar o arquivo, a conta Figma precisa de um assento Full ou Design e permissão Can edit. Um assento View permite abrir o arquivo, mas não modificar os elementos.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Chicago Payments Pipeline | Guia de estudo e operação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