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21" w:rsidRDefault="002C563A" w:rsidP="002C563A">
      <w:pPr>
        <w:pBdr>
          <w:bottom w:val="single" w:sz="12" w:space="1" w:color="auto"/>
        </w:pBdr>
        <w:jc w:val="center"/>
        <w:rPr>
          <w:rFonts w:ascii="Arial" w:hAnsi="Arial" w:cs="Arial"/>
          <w:b/>
          <w:sz w:val="28"/>
          <w:lang w:val="es-ES"/>
        </w:rPr>
      </w:pPr>
      <w:r w:rsidRPr="002C563A">
        <w:rPr>
          <w:rFonts w:ascii="Arial" w:hAnsi="Arial" w:cs="Arial"/>
          <w:b/>
          <w:sz w:val="28"/>
          <w:lang w:val="es-ES"/>
        </w:rPr>
        <w:t>SOCIEDAD: POR ACCIONES SIMPLIFICADA</w:t>
      </w:r>
    </w:p>
    <w:p w:rsidR="002C563A" w:rsidRDefault="002C563A" w:rsidP="002C563A">
      <w:pPr>
        <w:jc w:val="center"/>
        <w:rPr>
          <w:rFonts w:ascii="Arial" w:hAnsi="Arial" w:cs="Arial"/>
          <w:b/>
          <w:sz w:val="28"/>
          <w:lang w:val="es-ES"/>
        </w:rPr>
      </w:pP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r>
        <w:rPr>
          <w:rFonts w:ascii="Arial" w:hAnsi="Arial" w:cs="Arial"/>
          <w:b/>
          <w:sz w:val="28"/>
          <w:lang w:val="es-ES"/>
        </w:rPr>
        <w:softHyphen/>
      </w:r>
    </w:p>
    <w:p w:rsidR="0067792D" w:rsidRPr="0067792D" w:rsidRDefault="0067792D" w:rsidP="002C563A">
      <w:pPr>
        <w:jc w:val="center"/>
        <w:rPr>
          <w:rFonts w:ascii="Arial" w:hAnsi="Arial" w:cs="Arial"/>
          <w:b/>
          <w:sz w:val="24"/>
          <w:lang w:val="es-ES"/>
        </w:rPr>
      </w:pPr>
      <w:r w:rsidRPr="0067792D">
        <w:rPr>
          <w:rFonts w:ascii="Arial" w:hAnsi="Arial" w:cs="Arial"/>
          <w:b/>
          <w:sz w:val="24"/>
          <w:lang w:val="es-ES"/>
        </w:rPr>
        <w:t>Características:</w:t>
      </w:r>
    </w:p>
    <w:p w:rsidR="003E3353" w:rsidRDefault="003E3353" w:rsidP="003E3353">
      <w:pPr>
        <w:spacing w:after="0"/>
      </w:pPr>
      <w:r w:rsidRPr="003E3353">
        <w:rPr>
          <w:b/>
        </w:rPr>
        <w:t>Artículo 2o.-</w:t>
      </w:r>
      <w:r>
        <w:t xml:space="preserve"> Las sociedades mercantiles inscritas en el Registro Público de Comercio, tienen personalidad jurídica distinta de la de los socios. </w:t>
      </w:r>
    </w:p>
    <w:p w:rsidR="003E3353" w:rsidRDefault="003E3353" w:rsidP="003E3353">
      <w:pPr>
        <w:spacing w:after="0"/>
      </w:pPr>
      <w:r>
        <w:t xml:space="preserve">Salvo el caso previsto en el artículo siguiente, no podrán ser declaradas nulas las sociedades inscritas en el Registro Público de Comercio. </w:t>
      </w:r>
    </w:p>
    <w:p w:rsidR="003E3353" w:rsidRDefault="003E3353" w:rsidP="003E3353">
      <w:pPr>
        <w:spacing w:after="0"/>
      </w:pPr>
      <w:r>
        <w:t xml:space="preserve">Las sociedades no inscritas en el Registro Público de Comercio que se hayan exteriorizado como tales, frente a terceros consten o no en escritura pública, tendrán personalidad jurídica. </w:t>
      </w:r>
    </w:p>
    <w:p w:rsidR="003E3353" w:rsidRDefault="003E3353" w:rsidP="003E3353">
      <w:pPr>
        <w:spacing w:after="0"/>
      </w:pPr>
      <w:r>
        <w:t xml:space="preserve">Las relaciones internas de las sociedades irregulares se regirán por el contrato social respectivo, y, en su defecto, por las disposiciones generales y por las especiales de esta ley, según la clase de sociedad de que se trate. </w:t>
      </w:r>
    </w:p>
    <w:p w:rsidR="003E3353" w:rsidRDefault="003E3353" w:rsidP="003E3353">
      <w:pPr>
        <w:spacing w:after="0"/>
      </w:pPr>
      <w:r>
        <w:t xml:space="preserve">Tratándose de </w:t>
      </w:r>
      <w:r w:rsidRPr="003E3353">
        <w:rPr>
          <w:u w:val="single"/>
        </w:rPr>
        <w:t>la sociedad por acciones simplificada</w:t>
      </w:r>
      <w:r>
        <w:t>, para que surta efectos ante terceros deberá inscribirse en el registro mencionado.</w:t>
      </w:r>
    </w:p>
    <w:p w:rsidR="003E3353" w:rsidRDefault="003E3353" w:rsidP="003E3353">
      <w:pPr>
        <w:spacing w:after="0"/>
      </w:pPr>
    </w:p>
    <w:p w:rsidR="003E3353" w:rsidRDefault="003E3353" w:rsidP="003E3353">
      <w:pPr>
        <w:spacing w:after="0"/>
      </w:pPr>
      <w:r w:rsidRPr="003E3353">
        <w:rPr>
          <w:b/>
        </w:rPr>
        <w:t>Artículo 5o.</w:t>
      </w:r>
      <w:r>
        <w:t xml:space="preserve"> Las sociedades se constituirán ante fedatario público y en la misma forma se harán constar con sus modificaciones. El fedatario público no autorizará la escritura o póliza cuando los estatutos o sus modificaciones contravengan lo dispuesto por esta Ley. </w:t>
      </w:r>
    </w:p>
    <w:p w:rsidR="003E3353" w:rsidRDefault="003E3353" w:rsidP="003E3353">
      <w:pPr>
        <w:spacing w:after="0"/>
      </w:pPr>
      <w:r w:rsidRPr="003E3353">
        <w:rPr>
          <w:u w:val="single"/>
        </w:rPr>
        <w:t>La sociedad por acciones simplificada</w:t>
      </w:r>
      <w:r>
        <w:t xml:space="preserve"> se constituirá a través del procedimiento establecido en el Capítulo XIV de esta Ley.</w:t>
      </w:r>
    </w:p>
    <w:p w:rsidR="003E3353" w:rsidRDefault="003E3353" w:rsidP="003E3353">
      <w:pPr>
        <w:spacing w:after="0"/>
      </w:pPr>
    </w:p>
    <w:p w:rsidR="003E3353" w:rsidRDefault="003E3353">
      <w:r w:rsidRPr="003E3353">
        <w:rPr>
          <w:b/>
        </w:rPr>
        <w:t>Artículo 20.-</w:t>
      </w:r>
      <w:r>
        <w:t xml:space="preserve"> Salvo por </w:t>
      </w:r>
      <w:r w:rsidRPr="003E3353">
        <w:rPr>
          <w:u w:val="single"/>
        </w:rPr>
        <w:t>la sociedad por acciones simplificada,</w:t>
      </w:r>
      <w:r>
        <w:t xml:space="preserve"> de las utilidades netas de toda sociedad, deberá separarse anualmente el cinco por ciento, como mínimo, para formar el fondo de reserva, hasta que importe la quinta parte del capital social.</w:t>
      </w:r>
    </w:p>
    <w:p w:rsidR="003E3353" w:rsidRPr="002C563A" w:rsidRDefault="002C563A" w:rsidP="002C563A">
      <w:pPr>
        <w:jc w:val="center"/>
        <w:rPr>
          <w:rFonts w:ascii="Arial" w:hAnsi="Arial" w:cs="Arial"/>
          <w:b/>
          <w:sz w:val="24"/>
          <w:lang w:val="es-ES"/>
        </w:rPr>
      </w:pPr>
      <w:r w:rsidRPr="0067792D">
        <w:rPr>
          <w:rFonts w:ascii="Arial" w:hAnsi="Arial" w:cs="Arial"/>
          <w:b/>
          <w:sz w:val="24"/>
          <w:lang w:val="es-ES"/>
        </w:rPr>
        <w:t>Ley reguladora:</w:t>
      </w:r>
    </w:p>
    <w:p w:rsidR="003E3353" w:rsidRDefault="003E3353" w:rsidP="003E3353">
      <w:pPr>
        <w:spacing w:after="0"/>
      </w:pPr>
      <w:r w:rsidRPr="003E3353">
        <w:rPr>
          <w:b/>
        </w:rPr>
        <w:t>Artículo 260.-</w:t>
      </w:r>
      <w:r>
        <w:t xml:space="preserve"> </w:t>
      </w:r>
      <w:r w:rsidRPr="003E3353">
        <w:rPr>
          <w:u w:val="single"/>
        </w:rPr>
        <w:t>La sociedad por acciones simplificada</w:t>
      </w:r>
      <w:r>
        <w:t xml:space="preserve"> es aquella que se constituye con una o más personas físicas que solamente están obligadas al pago de sus aportaciones representadas en acciones. En ningún caso las personas físicas podrán ser simultáneamente accionistas de otro tipo de sociedad mercantil a que se refieren las fracciones I a VII, del artículo 1o. de esta Ley, si su participación en dichas sociedades mercantiles les permite tener el control de la sociedad o de su administración, en términos del artículo 2, fracción III de la Ley del Mercado de Valores. </w:t>
      </w:r>
    </w:p>
    <w:p w:rsidR="003E3353" w:rsidRDefault="003E3353" w:rsidP="003E3353">
      <w:pPr>
        <w:spacing w:after="0"/>
      </w:pPr>
      <w:r>
        <w:t xml:space="preserve">Los ingresos totales anuales de una </w:t>
      </w:r>
      <w:r w:rsidRPr="003E3353">
        <w:rPr>
          <w:u w:val="single"/>
        </w:rPr>
        <w:t xml:space="preserve">sociedad por acciones simplificada </w:t>
      </w:r>
      <w:r>
        <w:t xml:space="preserve">no </w:t>
      </w:r>
      <w:proofErr w:type="gramStart"/>
      <w:r>
        <w:t>podrá</w:t>
      </w:r>
      <w:proofErr w:type="gramEnd"/>
      <w:r>
        <w:t xml:space="preserve"> rebasar de 5 millones de pesos. En caso de rebasar el monto respectivo, la sociedad por acciones simplificada deberá transformarse en otro régimen societario contemplado en esta Ley, en los términos en que se establezca en las reglas señaladas en el artículo 263 de la misma. El monto establecido en este párrafo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La Secretaría de Economía publicará el factor de actualización en el Diario Oficial de la Federación durante el mes de diciembre de cada año.</w:t>
      </w:r>
    </w:p>
    <w:p w:rsidR="003E3353" w:rsidRDefault="003E3353" w:rsidP="003E3353">
      <w:pPr>
        <w:spacing w:after="0"/>
      </w:pPr>
      <w:r>
        <w:t xml:space="preserve">En caso que los accionistas no lleven a cabo la transformación de la sociedad a que se refiere el párrafo anterior </w:t>
      </w:r>
      <w:proofErr w:type="gramStart"/>
      <w:r>
        <w:t>responderán</w:t>
      </w:r>
      <w:proofErr w:type="gramEnd"/>
      <w:r>
        <w:t xml:space="preserve"> frente a terceros, subsidiaria, solidaria e ilimitadamente, sin perjuicio de cualquier otra responsabilidad en que hubieren incurrido. A</w:t>
      </w:r>
    </w:p>
    <w:p w:rsidR="003E3353" w:rsidRDefault="003E3353" w:rsidP="003E3353">
      <w:pPr>
        <w:spacing w:after="0"/>
      </w:pPr>
    </w:p>
    <w:p w:rsidR="002C563A" w:rsidRDefault="003E3353" w:rsidP="003E3353">
      <w:pPr>
        <w:spacing w:after="0"/>
      </w:pPr>
      <w:r w:rsidRPr="006D6E70">
        <w:rPr>
          <w:b/>
        </w:rPr>
        <w:t>Artículo 261.-</w:t>
      </w:r>
      <w:r>
        <w:t xml:space="preserve"> La denominación se formará libremente, pero distinta de la de cualquier otra sociedad y siempre seguida de las palabras “Sociedad por Acciones Simplificada” o de su abreviatura “S.A.S.”.</w:t>
      </w:r>
    </w:p>
    <w:p w:rsidR="002C563A" w:rsidRDefault="002C563A">
      <w:r>
        <w:br w:type="page"/>
      </w:r>
    </w:p>
    <w:p w:rsidR="002C563A" w:rsidRPr="0067792D" w:rsidRDefault="002C563A" w:rsidP="002C563A">
      <w:pPr>
        <w:jc w:val="center"/>
        <w:rPr>
          <w:rFonts w:ascii="Arial" w:hAnsi="Arial" w:cs="Arial"/>
          <w:b/>
          <w:sz w:val="24"/>
          <w:lang w:val="es-ES"/>
        </w:rPr>
      </w:pPr>
      <w:r w:rsidRPr="0067792D">
        <w:rPr>
          <w:rFonts w:ascii="Arial" w:hAnsi="Arial" w:cs="Arial"/>
          <w:b/>
          <w:sz w:val="24"/>
          <w:lang w:val="es-ES"/>
        </w:rPr>
        <w:lastRenderedPageBreak/>
        <w:t>Asociado:</w:t>
      </w:r>
    </w:p>
    <w:p w:rsidR="006D6E70" w:rsidRDefault="006D6E70" w:rsidP="003E3353">
      <w:pPr>
        <w:spacing w:after="0"/>
      </w:pPr>
      <w:r w:rsidRPr="006D6E70">
        <w:rPr>
          <w:b/>
        </w:rPr>
        <w:t>Artículo 271.-</w:t>
      </w:r>
      <w:r>
        <w:t xml:space="preserve"> Salvo pacto en contrario, las utilidades se distribuirán en proporción a las acciones de cada accionista.</w:t>
      </w:r>
    </w:p>
    <w:p w:rsidR="006D6E70" w:rsidRDefault="006D6E70" w:rsidP="003E3353">
      <w:pPr>
        <w:spacing w:after="0"/>
      </w:pPr>
    </w:p>
    <w:p w:rsidR="006D6E70" w:rsidRDefault="006D6E70" w:rsidP="003E3353">
      <w:pPr>
        <w:spacing w:after="0"/>
      </w:pPr>
      <w:r w:rsidRPr="006D6E70">
        <w:rPr>
          <w:b/>
        </w:rPr>
        <w:t>Artículo 264.-</w:t>
      </w:r>
      <w:r>
        <w:t xml:space="preserve"> Los estatutos sociales a que se refiere el artículo anterior únicamente deberán contener los siguientes requisitos:</w:t>
      </w:r>
    </w:p>
    <w:p w:rsidR="006D6E70" w:rsidRDefault="006D6E70" w:rsidP="006D6E70">
      <w:pPr>
        <w:pStyle w:val="Prrafodelista"/>
        <w:numPr>
          <w:ilvl w:val="0"/>
          <w:numId w:val="1"/>
        </w:numPr>
        <w:spacing w:after="0"/>
      </w:pPr>
      <w:r>
        <w:t xml:space="preserve">Denominación; </w:t>
      </w:r>
    </w:p>
    <w:p w:rsidR="006D6E70" w:rsidRPr="006D6E70" w:rsidRDefault="006D6E70" w:rsidP="006D6E70">
      <w:pPr>
        <w:pStyle w:val="Prrafodelista"/>
        <w:numPr>
          <w:ilvl w:val="0"/>
          <w:numId w:val="1"/>
        </w:numPr>
        <w:spacing w:after="0"/>
        <w:rPr>
          <w:rFonts w:ascii="Arial" w:hAnsi="Arial" w:cs="Arial"/>
          <w:b/>
          <w:sz w:val="24"/>
          <w:lang w:val="es-ES"/>
        </w:rPr>
      </w:pPr>
      <w:r>
        <w:t xml:space="preserve"> Nombre de los accionistas; </w:t>
      </w:r>
    </w:p>
    <w:p w:rsidR="006D6E70" w:rsidRPr="006D6E70" w:rsidRDefault="006D6E70" w:rsidP="006D6E70">
      <w:pPr>
        <w:pStyle w:val="Prrafodelista"/>
        <w:numPr>
          <w:ilvl w:val="0"/>
          <w:numId w:val="1"/>
        </w:numPr>
        <w:spacing w:after="0"/>
        <w:rPr>
          <w:rFonts w:ascii="Arial" w:hAnsi="Arial" w:cs="Arial"/>
          <w:b/>
          <w:sz w:val="24"/>
          <w:lang w:val="es-ES"/>
        </w:rPr>
      </w:pPr>
      <w:r>
        <w:t xml:space="preserve">Domicilio de los accionistas; </w:t>
      </w:r>
    </w:p>
    <w:p w:rsidR="006D6E70" w:rsidRPr="006D6E70" w:rsidRDefault="006D6E70" w:rsidP="006D6E70">
      <w:pPr>
        <w:pStyle w:val="Prrafodelista"/>
        <w:numPr>
          <w:ilvl w:val="0"/>
          <w:numId w:val="1"/>
        </w:numPr>
        <w:spacing w:after="0"/>
        <w:rPr>
          <w:rFonts w:ascii="Arial" w:hAnsi="Arial" w:cs="Arial"/>
          <w:b/>
          <w:sz w:val="24"/>
          <w:lang w:val="es-ES"/>
        </w:rPr>
      </w:pPr>
      <w:r>
        <w:t xml:space="preserve">Registro Federal de Contribuyentes de los accionistas; </w:t>
      </w:r>
    </w:p>
    <w:p w:rsidR="006D6E70" w:rsidRPr="006D6E70" w:rsidRDefault="006D6E70" w:rsidP="006D6E70">
      <w:pPr>
        <w:pStyle w:val="Prrafodelista"/>
        <w:numPr>
          <w:ilvl w:val="0"/>
          <w:numId w:val="1"/>
        </w:numPr>
        <w:spacing w:after="0"/>
        <w:rPr>
          <w:rFonts w:ascii="Arial" w:hAnsi="Arial" w:cs="Arial"/>
          <w:b/>
          <w:sz w:val="24"/>
          <w:lang w:val="es-ES"/>
        </w:rPr>
      </w:pPr>
      <w:r>
        <w:t xml:space="preserve">Correo electrónico de cada uno de los accionistas; </w:t>
      </w:r>
    </w:p>
    <w:p w:rsidR="006D6E70" w:rsidRPr="006D6E70" w:rsidRDefault="006D6E70" w:rsidP="006D6E70">
      <w:pPr>
        <w:pStyle w:val="Prrafodelista"/>
        <w:numPr>
          <w:ilvl w:val="0"/>
          <w:numId w:val="1"/>
        </w:numPr>
        <w:spacing w:after="0"/>
        <w:rPr>
          <w:rFonts w:ascii="Arial" w:hAnsi="Arial" w:cs="Arial"/>
          <w:b/>
          <w:sz w:val="24"/>
          <w:lang w:val="es-ES"/>
        </w:rPr>
      </w:pPr>
      <w:r>
        <w:t>Domicilio de la sociedad;</w:t>
      </w:r>
    </w:p>
    <w:p w:rsidR="006D6E70" w:rsidRPr="006D6E70" w:rsidRDefault="006D6E70" w:rsidP="006D6E70">
      <w:pPr>
        <w:pStyle w:val="Prrafodelista"/>
        <w:numPr>
          <w:ilvl w:val="0"/>
          <w:numId w:val="1"/>
        </w:numPr>
        <w:spacing w:after="0"/>
        <w:rPr>
          <w:rFonts w:ascii="Arial" w:hAnsi="Arial" w:cs="Arial"/>
          <w:b/>
          <w:sz w:val="24"/>
          <w:lang w:val="es-ES"/>
        </w:rPr>
      </w:pPr>
      <w:r>
        <w:t xml:space="preserve">Duración de la sociedad; </w:t>
      </w:r>
    </w:p>
    <w:p w:rsidR="006D6E70" w:rsidRPr="006D6E70" w:rsidRDefault="006D6E70" w:rsidP="006D6E70">
      <w:pPr>
        <w:pStyle w:val="Prrafodelista"/>
        <w:numPr>
          <w:ilvl w:val="0"/>
          <w:numId w:val="1"/>
        </w:numPr>
        <w:spacing w:after="0"/>
        <w:rPr>
          <w:rFonts w:ascii="Arial" w:hAnsi="Arial" w:cs="Arial"/>
          <w:b/>
          <w:sz w:val="24"/>
          <w:lang w:val="es-ES"/>
        </w:rPr>
      </w:pPr>
      <w:r>
        <w:t xml:space="preserve">La forma y términos en que los accionistas se obliguen a suscribir y pagar sus acciones; </w:t>
      </w:r>
    </w:p>
    <w:p w:rsidR="006D6E70" w:rsidRPr="006D6E70" w:rsidRDefault="006D6E70" w:rsidP="006D6E70">
      <w:pPr>
        <w:pStyle w:val="Prrafodelista"/>
        <w:numPr>
          <w:ilvl w:val="0"/>
          <w:numId w:val="1"/>
        </w:numPr>
        <w:spacing w:after="0"/>
        <w:rPr>
          <w:rFonts w:ascii="Arial" w:hAnsi="Arial" w:cs="Arial"/>
          <w:b/>
          <w:sz w:val="24"/>
          <w:lang w:val="es-ES"/>
        </w:rPr>
      </w:pPr>
      <w:r>
        <w:t xml:space="preserve">El número, valor nominal y naturaleza de las acciones en que se divide el capital social; </w:t>
      </w:r>
    </w:p>
    <w:p w:rsidR="006D6E70" w:rsidRPr="006D6E70" w:rsidRDefault="006D6E70" w:rsidP="006D6E70">
      <w:pPr>
        <w:pStyle w:val="Prrafodelista"/>
        <w:numPr>
          <w:ilvl w:val="0"/>
          <w:numId w:val="1"/>
        </w:numPr>
        <w:spacing w:after="0"/>
        <w:rPr>
          <w:rFonts w:ascii="Arial" w:hAnsi="Arial" w:cs="Arial"/>
          <w:b/>
          <w:sz w:val="24"/>
          <w:lang w:val="es-ES"/>
        </w:rPr>
      </w:pPr>
      <w:r>
        <w:t>E</w:t>
      </w:r>
      <w:r>
        <w:t>l número de votos que tendrá cada uno de los accionistas en virtud de sus acciones;</w:t>
      </w:r>
    </w:p>
    <w:p w:rsidR="006D6E70" w:rsidRPr="006D6E70" w:rsidRDefault="006D6E70" w:rsidP="006D6E70">
      <w:pPr>
        <w:pStyle w:val="Prrafodelista"/>
        <w:numPr>
          <w:ilvl w:val="0"/>
          <w:numId w:val="1"/>
        </w:numPr>
        <w:spacing w:after="0"/>
        <w:rPr>
          <w:rFonts w:ascii="Arial" w:hAnsi="Arial" w:cs="Arial"/>
          <w:b/>
          <w:sz w:val="24"/>
          <w:lang w:val="es-ES"/>
        </w:rPr>
      </w:pPr>
      <w:r>
        <w:t xml:space="preserve">El objeto de la sociedad, y </w:t>
      </w:r>
    </w:p>
    <w:p w:rsidR="006D6E70" w:rsidRPr="002C563A" w:rsidRDefault="006D6E70" w:rsidP="006D6E70">
      <w:pPr>
        <w:pStyle w:val="Prrafodelista"/>
        <w:numPr>
          <w:ilvl w:val="0"/>
          <w:numId w:val="1"/>
        </w:numPr>
        <w:spacing w:after="0"/>
        <w:rPr>
          <w:rFonts w:ascii="Arial" w:hAnsi="Arial" w:cs="Arial"/>
          <w:b/>
          <w:sz w:val="24"/>
          <w:lang w:val="es-ES"/>
        </w:rPr>
      </w:pPr>
      <w:r>
        <w:t>La forma de administración de la sociedad.</w:t>
      </w:r>
    </w:p>
    <w:p w:rsidR="002C563A" w:rsidRDefault="002C563A" w:rsidP="002C563A">
      <w:pPr>
        <w:rPr>
          <w:rFonts w:ascii="Arial" w:hAnsi="Arial" w:cs="Arial"/>
          <w:b/>
          <w:sz w:val="24"/>
          <w:lang w:val="es-ES"/>
        </w:rPr>
      </w:pPr>
      <w:r>
        <w:t>El o los accionistas serán subsidiariamente o solidariamente responsables, según corresponda, con la sociedad, por la comisión de conductas sancionadas como delitos. Los contratos celebrados entre el accionista único y la sociedad deberán inscribirse por la sociedad en el sistema electrónico establecido por la Secretaría de Economía conforme a lo dispuesto en el artículo 50 Bis del Código de Comercio.</w:t>
      </w:r>
      <w:r w:rsidRPr="002C563A">
        <w:rPr>
          <w:rFonts w:ascii="Arial" w:hAnsi="Arial" w:cs="Arial"/>
          <w:b/>
          <w:sz w:val="24"/>
          <w:lang w:val="es-ES"/>
        </w:rPr>
        <w:t xml:space="preserve"> </w:t>
      </w:r>
    </w:p>
    <w:p w:rsidR="002C563A" w:rsidRDefault="002C563A" w:rsidP="002C563A">
      <w:pPr>
        <w:rPr>
          <w:rFonts w:ascii="Arial" w:hAnsi="Arial" w:cs="Arial"/>
          <w:b/>
          <w:sz w:val="24"/>
          <w:lang w:val="es-ES"/>
        </w:rPr>
      </w:pPr>
      <w:bookmarkStart w:id="0" w:name="_GoBack"/>
      <w:bookmarkEnd w:id="0"/>
    </w:p>
    <w:p w:rsidR="002C563A" w:rsidRPr="0067792D" w:rsidRDefault="002C563A" w:rsidP="002C563A">
      <w:pPr>
        <w:jc w:val="center"/>
        <w:rPr>
          <w:rFonts w:ascii="Arial" w:hAnsi="Arial" w:cs="Arial"/>
          <w:b/>
          <w:sz w:val="24"/>
          <w:lang w:val="es-ES"/>
        </w:rPr>
      </w:pPr>
      <w:r w:rsidRPr="0067792D">
        <w:rPr>
          <w:rFonts w:ascii="Arial" w:hAnsi="Arial" w:cs="Arial"/>
          <w:b/>
          <w:sz w:val="24"/>
          <w:lang w:val="es-ES"/>
        </w:rPr>
        <w:t>Capital social:</w:t>
      </w:r>
    </w:p>
    <w:p w:rsidR="002C563A" w:rsidRDefault="002C563A" w:rsidP="002C563A">
      <w:pPr>
        <w:spacing w:after="0"/>
      </w:pPr>
      <w:r w:rsidRPr="002C563A">
        <w:rPr>
          <w:b/>
        </w:rPr>
        <w:t>Artículo 265.-</w:t>
      </w:r>
      <w:r>
        <w:t xml:space="preserve"> Todas las acciones señaladas en la fracción IX del artículo 264 deberán pagarse dentro del término de un año contado desde la fecha en que la sociedad quede inscrita en el Registro Público de Comercio. </w:t>
      </w:r>
    </w:p>
    <w:p w:rsidR="002C563A" w:rsidRPr="002C563A" w:rsidRDefault="002C563A" w:rsidP="002C563A">
      <w:pPr>
        <w:spacing w:after="0"/>
        <w:rPr>
          <w:rFonts w:ascii="Arial" w:hAnsi="Arial" w:cs="Arial"/>
          <w:b/>
          <w:sz w:val="24"/>
          <w:lang w:val="es-ES"/>
        </w:rPr>
      </w:pPr>
      <w:r>
        <w:t>Cuando se haya suscrito y pagado la totalidad del capital social, la sociedad deberá publicar un aviso en el sistema electrónico establecido por la Secretaría de Economía en términos de lo dispuesto en el artículo 50 Bis del Código de Comercio.</w:t>
      </w:r>
    </w:p>
    <w:sectPr w:rsidR="002C563A" w:rsidRPr="002C563A" w:rsidSect="003E33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257A8"/>
    <w:multiLevelType w:val="hybridMultilevel"/>
    <w:tmpl w:val="3086EB8A"/>
    <w:lvl w:ilvl="0" w:tplc="83FE31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2D"/>
    <w:rsid w:val="00110521"/>
    <w:rsid w:val="002C563A"/>
    <w:rsid w:val="003E3353"/>
    <w:rsid w:val="0067792D"/>
    <w:rsid w:val="006D6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CD475-17A1-42AD-A2FD-941F5029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2020-02-06T15:38:00Z</dcterms:created>
  <dcterms:modified xsi:type="dcterms:W3CDTF">2020-02-06T15:55:00Z</dcterms:modified>
</cp:coreProperties>
</file>