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E1B" w:rsidRDefault="00E83B76" w:rsidP="00881F72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r w:rsidRPr="00E83B76">
        <w:rPr>
          <w:rFonts w:ascii="Arial" w:hAnsi="Arial" w:cs="Arial"/>
        </w:rPr>
        <w:t>A QUIÉN LE INTERESAN LAS FINANZAS DE UNA EMPRESA</w:t>
      </w:r>
    </w:p>
    <w:p w:rsidR="002E1EE9" w:rsidRPr="002E1EE9" w:rsidRDefault="002E1EE9" w:rsidP="002E1EE9">
      <w:pPr>
        <w:jc w:val="both"/>
        <w:rPr>
          <w:rFonts w:ascii="Arial" w:hAnsi="Arial" w:cs="Arial"/>
          <w:sz w:val="20"/>
        </w:rPr>
      </w:pPr>
      <w:r w:rsidRPr="002E1EE9">
        <w:rPr>
          <w:rFonts w:ascii="Arial" w:hAnsi="Arial" w:cs="Arial"/>
          <w:sz w:val="20"/>
        </w:rPr>
        <w:t>La actividad económica es el punto de partida para la identificación de las necesidades de 6</w:t>
      </w:r>
      <w:r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los usuarios, dado que ésta se materializa a través del intercambio de objetos económicos</w:t>
      </w:r>
      <w:r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entre los distintos sujetos que participan en ella. Dichos objetos se identifican con los</w:t>
      </w:r>
      <w:r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diferentes bienes, servicios y obligaciones susceptibles de intercambio.</w:t>
      </w:r>
    </w:p>
    <w:p w:rsidR="002E1EE9" w:rsidRPr="002E1EE9" w:rsidRDefault="002E1EE9" w:rsidP="002E1EE9">
      <w:pPr>
        <w:jc w:val="both"/>
        <w:rPr>
          <w:rFonts w:ascii="Arial" w:hAnsi="Arial" w:cs="Arial"/>
          <w:sz w:val="20"/>
        </w:rPr>
      </w:pPr>
      <w:r w:rsidRPr="002E1EE9">
        <w:rPr>
          <w:rFonts w:ascii="Arial" w:hAnsi="Arial" w:cs="Arial"/>
          <w:sz w:val="20"/>
        </w:rPr>
        <w:t>El usuario general destina sus recursos, comúnmente en efectivo, a consumos, ahorros 7</w:t>
      </w:r>
      <w:r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y decisiones de inversión, donación o préstamo, para lo cual requiere de herramientas</w:t>
      </w:r>
      <w:r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para su toma de decisiones. La información financiera es en sí, una herramienta esencial</w:t>
      </w:r>
      <w:r>
        <w:rPr>
          <w:rFonts w:ascii="Arial" w:hAnsi="Arial" w:cs="Arial"/>
          <w:sz w:val="20"/>
        </w:rPr>
        <w:t xml:space="preserve"> p</w:t>
      </w:r>
      <w:r w:rsidRPr="002E1EE9">
        <w:rPr>
          <w:rFonts w:ascii="Arial" w:hAnsi="Arial" w:cs="Arial"/>
          <w:sz w:val="20"/>
        </w:rPr>
        <w:t>ara la toma de decisiones por parte del sujeto económico (usuario general).</w:t>
      </w:r>
    </w:p>
    <w:p w:rsidR="002E1EE9" w:rsidRPr="002E1EE9" w:rsidRDefault="002E1EE9" w:rsidP="002E1EE9">
      <w:pPr>
        <w:jc w:val="both"/>
        <w:rPr>
          <w:rFonts w:ascii="Arial" w:hAnsi="Arial" w:cs="Arial"/>
          <w:sz w:val="20"/>
        </w:rPr>
      </w:pPr>
      <w:r w:rsidRPr="002E1EE9">
        <w:rPr>
          <w:rFonts w:ascii="Arial" w:hAnsi="Arial" w:cs="Arial"/>
          <w:sz w:val="20"/>
        </w:rPr>
        <w:t>Al respecto, el usuario general de la información financiera puede clasificarse de manera 8</w:t>
      </w:r>
      <w:r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significativa en los siguientes grupos:</w:t>
      </w:r>
    </w:p>
    <w:p w:rsidR="002E1EE9" w:rsidRPr="00881F72" w:rsidRDefault="002E1EE9" w:rsidP="00881F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81F72">
        <w:rPr>
          <w:rFonts w:ascii="Arial" w:hAnsi="Arial" w:cs="Arial"/>
          <w:sz w:val="20"/>
        </w:rPr>
        <w:t xml:space="preserve">accionistas o dueños – incluye a socios, asociados y miembros, que proporcionan recursos a la entidad que son directa y proporcionalmente compensados </w:t>
      </w:r>
      <w:proofErr w:type="gramStart"/>
      <w:r w:rsidRPr="00881F72">
        <w:rPr>
          <w:rFonts w:ascii="Arial" w:hAnsi="Arial" w:cs="Arial"/>
          <w:sz w:val="20"/>
        </w:rPr>
        <w:t>de acuerdo a</w:t>
      </w:r>
      <w:proofErr w:type="gramEnd"/>
      <w:r w:rsidRPr="00881F72">
        <w:rPr>
          <w:rFonts w:ascii="Arial" w:hAnsi="Arial" w:cs="Arial"/>
          <w:sz w:val="20"/>
        </w:rPr>
        <w:t xml:space="preserve"> sus aportaciones (entidades lucrativas);</w:t>
      </w:r>
    </w:p>
    <w:p w:rsidR="002E1EE9" w:rsidRPr="00881F72" w:rsidRDefault="002E1EE9" w:rsidP="00881F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81F72">
        <w:rPr>
          <w:rFonts w:ascii="Arial" w:hAnsi="Arial" w:cs="Arial"/>
          <w:sz w:val="20"/>
        </w:rPr>
        <w:t>patrocinadores – incluye a patronos, donantes, asociados y miembros, que proporcionan recursos que no son directamente compensados (entidades con propósitos no lucrativos);</w:t>
      </w:r>
    </w:p>
    <w:p w:rsidR="002E1EE9" w:rsidRPr="00881F72" w:rsidRDefault="002E1EE9" w:rsidP="00881F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81F72">
        <w:rPr>
          <w:rFonts w:ascii="Arial" w:hAnsi="Arial" w:cs="Arial"/>
          <w:sz w:val="20"/>
        </w:rPr>
        <w:t>órganos de supervisión y vigilancia corporativos, internos o externos – son los responsables de supervisar y evaluar la administración de las entidades;</w:t>
      </w:r>
    </w:p>
    <w:p w:rsidR="002E1EE9" w:rsidRPr="00881F72" w:rsidRDefault="002E1EE9" w:rsidP="00881F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81F72">
        <w:rPr>
          <w:rFonts w:ascii="Arial" w:hAnsi="Arial" w:cs="Arial"/>
          <w:sz w:val="20"/>
        </w:rPr>
        <w:t>administradores – son los responsables de cumplir con el mandato de los cuerpos de gobierno (incluidos los patrocinadores o accionistas) y de dirigir las actividades operativas;</w:t>
      </w:r>
    </w:p>
    <w:p w:rsidR="002E1EE9" w:rsidRPr="00881F72" w:rsidRDefault="002E1EE9" w:rsidP="00881F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81F72">
        <w:rPr>
          <w:rFonts w:ascii="Arial" w:hAnsi="Arial" w:cs="Arial"/>
          <w:sz w:val="20"/>
        </w:rPr>
        <w:t>proveedores – son los que proporcionan bienes y servicios para la operación de la entidad;</w:t>
      </w:r>
    </w:p>
    <w:p w:rsidR="002E1EE9" w:rsidRPr="00881F72" w:rsidRDefault="002E1EE9" w:rsidP="00881F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81F72">
        <w:rPr>
          <w:rFonts w:ascii="Arial" w:hAnsi="Arial" w:cs="Arial"/>
          <w:sz w:val="20"/>
        </w:rPr>
        <w:t>acreedores – incluye a instituciones financieras y otro tipo de acreedores;</w:t>
      </w:r>
    </w:p>
    <w:p w:rsidR="002E1EE9" w:rsidRPr="00881F72" w:rsidRDefault="002E1EE9" w:rsidP="00881F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81F72">
        <w:rPr>
          <w:rFonts w:ascii="Arial" w:hAnsi="Arial" w:cs="Arial"/>
          <w:sz w:val="20"/>
        </w:rPr>
        <w:t>empleados – son los que laboran para la entidad;</w:t>
      </w:r>
    </w:p>
    <w:p w:rsidR="002E1EE9" w:rsidRPr="00881F72" w:rsidRDefault="002E1EE9" w:rsidP="00881F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81F72">
        <w:rPr>
          <w:rFonts w:ascii="Arial" w:hAnsi="Arial" w:cs="Arial"/>
          <w:sz w:val="20"/>
        </w:rPr>
        <w:t>clientes y beneficiarios – son los que reciben servicios o productos de las entidades;</w:t>
      </w:r>
    </w:p>
    <w:p w:rsidR="002E1EE9" w:rsidRPr="00881F72" w:rsidRDefault="002E1EE9" w:rsidP="00881F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81F72">
        <w:rPr>
          <w:rFonts w:ascii="Arial" w:hAnsi="Arial" w:cs="Arial"/>
          <w:sz w:val="20"/>
        </w:rPr>
        <w:t>unidades gubernamentales – son las responsables de establecer políticas económicas, monetarias y fiscales, así como participar en la actividad económica al conseguir financiamientos y asignar presupuesto gubernamental;</w:t>
      </w:r>
    </w:p>
    <w:p w:rsidR="002E1EE9" w:rsidRPr="00881F72" w:rsidRDefault="002E1EE9" w:rsidP="00881F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81F72">
        <w:rPr>
          <w:rFonts w:ascii="Arial" w:hAnsi="Arial" w:cs="Arial"/>
          <w:sz w:val="20"/>
        </w:rPr>
        <w:t>contribuyentes de impuestos – son aquéllos que fundamentalmente aportan al fisco y están interesados en la actuación y rendición de cuentas de las unidades gubernamentales;</w:t>
      </w:r>
    </w:p>
    <w:p w:rsidR="002E1EE9" w:rsidRPr="00881F72" w:rsidRDefault="002E1EE9" w:rsidP="00881F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81F72">
        <w:rPr>
          <w:rFonts w:ascii="Arial" w:hAnsi="Arial" w:cs="Arial"/>
          <w:sz w:val="20"/>
        </w:rPr>
        <w:t>organismos reguladores – son los encargados de regular, promover y vigilar los mercados financieros; y</w:t>
      </w:r>
    </w:p>
    <w:p w:rsidR="002E1EE9" w:rsidRPr="00881F72" w:rsidRDefault="002E1EE9" w:rsidP="00881F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81F72">
        <w:rPr>
          <w:rFonts w:ascii="Arial" w:hAnsi="Arial" w:cs="Arial"/>
          <w:sz w:val="20"/>
        </w:rPr>
        <w:t>otros usuarios – incluye a otros interesados no comprendidos en los apartados anteriores, tales como público inversionista, analistas financieros y consultores.</w:t>
      </w:r>
    </w:p>
    <w:p w:rsidR="00881F72" w:rsidRDefault="002E1EE9" w:rsidP="002E1EE9">
      <w:pPr>
        <w:jc w:val="both"/>
        <w:rPr>
          <w:rFonts w:ascii="Arial" w:hAnsi="Arial" w:cs="Arial"/>
          <w:sz w:val="20"/>
        </w:rPr>
      </w:pPr>
      <w:r w:rsidRPr="002E1EE9">
        <w:rPr>
          <w:rFonts w:ascii="Arial" w:hAnsi="Arial" w:cs="Arial"/>
          <w:sz w:val="20"/>
        </w:rPr>
        <w:t>Debido a que los accionistas o dueños normalmente están interesados en el pago de 9</w:t>
      </w:r>
      <w:r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dividendos o en el valor de mercado de sus acciones y los patrocinadores en el destino</w:t>
      </w:r>
      <w:r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de sus aportaciones, éstos confían la administración de la entidad a administradores o</w:t>
      </w:r>
      <w:r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gerentes profesionales, quienes comúnmente controlan sus recursos y deciden cómo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 xml:space="preserve">emplearlos en las operaciones de </w:t>
      </w:r>
      <w:r w:rsidR="00881F72" w:rsidRPr="002E1EE9">
        <w:rPr>
          <w:rFonts w:ascii="Arial" w:hAnsi="Arial" w:cs="Arial"/>
          <w:sz w:val="20"/>
        </w:rPr>
        <w:t>esta</w:t>
      </w:r>
      <w:r w:rsidRPr="002E1EE9">
        <w:rPr>
          <w:rFonts w:ascii="Arial" w:hAnsi="Arial" w:cs="Arial"/>
          <w:sz w:val="20"/>
        </w:rPr>
        <w:t>.</w:t>
      </w:r>
    </w:p>
    <w:p w:rsidR="00881F72" w:rsidRDefault="002E1EE9" w:rsidP="002E1EE9">
      <w:pPr>
        <w:jc w:val="both"/>
        <w:rPr>
          <w:rFonts w:ascii="Arial" w:hAnsi="Arial" w:cs="Arial"/>
          <w:sz w:val="20"/>
        </w:rPr>
      </w:pPr>
      <w:r w:rsidRPr="002E1EE9">
        <w:rPr>
          <w:rFonts w:ascii="Arial" w:hAnsi="Arial" w:cs="Arial"/>
          <w:sz w:val="20"/>
        </w:rPr>
        <w:t>Por consiguiente, la administración es responsable ante los accionistas o dueños 10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o patrocinadores (en forma directa o a través de órganos de supervisión y vigilancia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corporativos, internos o externos) de planear, ejecutar, evaluar y controlar las operaciones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de una entidad, incluyendo, en entidades lucrativas, el mantener o aumentar una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ventaja o paridad competitiva en el sector o mercado; todo lo anterior, circunscrito en el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ambiente donde la entidad adquiere y enajena objetos económicos, así como, obtiene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financiamiento. Además, es responsable de tomar en cuenta y equilibrar otro tipo de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intereses, tales como los correspondientes de los proveedores, acreedores, empleados,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clientes y beneficiarios, unidades gubernamentales, y otros usuarios, usualmente de su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competencia. La forma más sustancial de rendir cuentas por parte de la administración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es a través de la información financiera.</w:t>
      </w:r>
    </w:p>
    <w:p w:rsidR="002E1EE9" w:rsidRPr="002E1EE9" w:rsidRDefault="002E1EE9" w:rsidP="002E1EE9">
      <w:pPr>
        <w:jc w:val="both"/>
        <w:rPr>
          <w:rFonts w:ascii="Arial" w:hAnsi="Arial" w:cs="Arial"/>
          <w:sz w:val="20"/>
        </w:rPr>
      </w:pPr>
      <w:r w:rsidRPr="002E1EE9">
        <w:rPr>
          <w:rFonts w:ascii="Arial" w:hAnsi="Arial" w:cs="Arial"/>
          <w:sz w:val="20"/>
        </w:rPr>
        <w:t>Las entidades, a su vez, se allegan de recursos para sus actividades de producción y 11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mercadeo en diversas fuentes de financiamiento, no sólo de instituciones financieras y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de un limitado grupo de individuos, sino también del público inversionista, por medio de la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emisión de instrumentos financieros de capital o de deuda, los cuales son profusamente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comercializados en los mercados de valores nacionales e internacionales, altamente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reconocidos. Dado lo cual, se observa un incremento sustancial en la actividad económica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derivado de los mercados de capitales, donde la información financiera juega un papel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 xml:space="preserve">muy importante para el inversionista </w:t>
      </w:r>
      <w:proofErr w:type="gramStart"/>
      <w:r w:rsidRPr="002E1EE9">
        <w:rPr>
          <w:rFonts w:ascii="Arial" w:hAnsi="Arial" w:cs="Arial"/>
          <w:sz w:val="20"/>
        </w:rPr>
        <w:t>que</w:t>
      </w:r>
      <w:proofErr w:type="gramEnd"/>
      <w:r w:rsidRPr="002E1EE9">
        <w:rPr>
          <w:rFonts w:ascii="Arial" w:hAnsi="Arial" w:cs="Arial"/>
          <w:sz w:val="20"/>
        </w:rPr>
        <w:t xml:space="preserve"> con la globalización, efectúa operaciones con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entidades de otros países.</w:t>
      </w:r>
    </w:p>
    <w:p w:rsidR="002E1EE9" w:rsidRPr="002E1EE9" w:rsidRDefault="002E1EE9" w:rsidP="002E1EE9">
      <w:pPr>
        <w:jc w:val="both"/>
        <w:rPr>
          <w:rFonts w:ascii="Arial" w:hAnsi="Arial" w:cs="Arial"/>
          <w:sz w:val="20"/>
        </w:rPr>
      </w:pPr>
      <w:r w:rsidRPr="002E1EE9">
        <w:rPr>
          <w:rFonts w:ascii="Arial" w:hAnsi="Arial" w:cs="Arial"/>
          <w:sz w:val="20"/>
        </w:rPr>
        <w:t>Inversionistas que tienen fondos para invertir, evalúan los costos, utilidades y riesgos entre 12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distintas alternativas de inversión, tratando de balancear los riesgos y utilidades esperados.</w:t>
      </w:r>
    </w:p>
    <w:p w:rsidR="002E1EE9" w:rsidRPr="002E1EE9" w:rsidRDefault="002E1EE9" w:rsidP="002E1EE9">
      <w:pPr>
        <w:jc w:val="both"/>
        <w:rPr>
          <w:rFonts w:ascii="Arial" w:hAnsi="Arial" w:cs="Arial"/>
          <w:sz w:val="20"/>
        </w:rPr>
      </w:pPr>
      <w:r w:rsidRPr="002E1EE9">
        <w:rPr>
          <w:rFonts w:ascii="Arial" w:hAnsi="Arial" w:cs="Arial"/>
          <w:sz w:val="20"/>
        </w:rPr>
        <w:lastRenderedPageBreak/>
        <w:t xml:space="preserve">Por lo general, invierten con entidades de alto riesgo sólo si </w:t>
      </w:r>
      <w:r w:rsidR="00881F72" w:rsidRPr="002E1EE9">
        <w:rPr>
          <w:rFonts w:ascii="Arial" w:hAnsi="Arial" w:cs="Arial"/>
          <w:sz w:val="20"/>
        </w:rPr>
        <w:t>conmensurada mente espera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altos rendimientos, aun cuando también aceptan rendimientos menores, si el riesgo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 xml:space="preserve">esperado es </w:t>
      </w:r>
      <w:r w:rsidR="00881F72" w:rsidRPr="002E1EE9">
        <w:rPr>
          <w:rFonts w:ascii="Arial" w:hAnsi="Arial" w:cs="Arial"/>
          <w:sz w:val="20"/>
        </w:rPr>
        <w:t>sopesada mente</w:t>
      </w:r>
      <w:r w:rsidRPr="002E1EE9">
        <w:rPr>
          <w:rFonts w:ascii="Arial" w:hAnsi="Arial" w:cs="Arial"/>
          <w:sz w:val="20"/>
        </w:rPr>
        <w:t xml:space="preserve"> bajo. En este sentido el público inversionista basa su toma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de decisiones sobre inversión en la información financiera.</w:t>
      </w:r>
    </w:p>
    <w:p w:rsidR="002E1EE9" w:rsidRPr="002E1EE9" w:rsidRDefault="002E1EE9" w:rsidP="002E1EE9">
      <w:pPr>
        <w:jc w:val="both"/>
        <w:rPr>
          <w:rFonts w:ascii="Arial" w:hAnsi="Arial" w:cs="Arial"/>
          <w:sz w:val="20"/>
        </w:rPr>
      </w:pPr>
      <w:r w:rsidRPr="002E1EE9">
        <w:rPr>
          <w:rFonts w:ascii="Arial" w:hAnsi="Arial" w:cs="Arial"/>
          <w:sz w:val="20"/>
        </w:rPr>
        <w:t>Cualquier usuario general de la información financiera de una entidad, comparte un 13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interés común en la información acerca de la efectividad y eficiencia de las actividades de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la entidad y de su capacidad para continuar operando. Por ende, la información financiera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debe ser útil a una gama amplia de usuarios para la toma de decisiones.</w:t>
      </w:r>
    </w:p>
    <w:p w:rsidR="002E1EE9" w:rsidRPr="002E1EE9" w:rsidRDefault="002E1EE9" w:rsidP="002E1EE9">
      <w:pPr>
        <w:jc w:val="both"/>
        <w:rPr>
          <w:rFonts w:ascii="Arial" w:hAnsi="Arial" w:cs="Arial"/>
          <w:sz w:val="20"/>
        </w:rPr>
      </w:pPr>
      <w:r w:rsidRPr="002E1EE9">
        <w:rPr>
          <w:rFonts w:ascii="Arial" w:hAnsi="Arial" w:cs="Arial"/>
          <w:sz w:val="20"/>
        </w:rPr>
        <w:t>La información financiera es una fuente primordial y, muchas veces, única para el usuario 14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 xml:space="preserve">general de </w:t>
      </w:r>
      <w:proofErr w:type="gramStart"/>
      <w:r w:rsidRPr="002E1EE9">
        <w:rPr>
          <w:rFonts w:ascii="Arial" w:hAnsi="Arial" w:cs="Arial"/>
          <w:sz w:val="20"/>
        </w:rPr>
        <w:t>la misma</w:t>
      </w:r>
      <w:proofErr w:type="gramEnd"/>
      <w:r w:rsidRPr="002E1EE9">
        <w:rPr>
          <w:rFonts w:ascii="Arial" w:hAnsi="Arial" w:cs="Arial"/>
          <w:sz w:val="20"/>
        </w:rPr>
        <w:t>. Al respecto, el emisor debe realizar una identificación de los intereses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comunes entre los distintos usuarios de la información financiera, de manera tal que sirva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de base para su toma de decisiones.</w:t>
      </w:r>
    </w:p>
    <w:p w:rsidR="002E1EE9" w:rsidRPr="002E1EE9" w:rsidRDefault="002E1EE9" w:rsidP="002E1EE9">
      <w:pPr>
        <w:jc w:val="both"/>
        <w:rPr>
          <w:rFonts w:ascii="Arial" w:hAnsi="Arial" w:cs="Arial"/>
          <w:sz w:val="20"/>
        </w:rPr>
      </w:pPr>
      <w:r w:rsidRPr="002E1EE9">
        <w:rPr>
          <w:rFonts w:ascii="Arial" w:hAnsi="Arial" w:cs="Arial"/>
          <w:sz w:val="20"/>
        </w:rPr>
        <w:t>Por otra parte, el usuario general evalúa, cada vez con mayor frecuencia, el grado en 15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que la entidad satisface su responsabilidad social. La entidad, por consiguiente, adquiere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con mayor medida un compromiso ante la sociedad de atender el bienestar de la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comunidad.</w:t>
      </w:r>
    </w:p>
    <w:p w:rsidR="002E1EE9" w:rsidRDefault="002E1EE9" w:rsidP="002E1EE9">
      <w:pPr>
        <w:jc w:val="both"/>
        <w:rPr>
          <w:rFonts w:ascii="Arial" w:hAnsi="Arial" w:cs="Arial"/>
        </w:rPr>
      </w:pPr>
      <w:r w:rsidRPr="002E1EE9">
        <w:rPr>
          <w:rFonts w:ascii="Arial" w:hAnsi="Arial" w:cs="Arial"/>
          <w:sz w:val="20"/>
        </w:rPr>
        <w:t>Como puede observarse, los usuarios de la información financiera fundamentan su toma 16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de decisiones económicas en el conocimiento de las entidades y su relación con éstas; de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este modo, están potencialmente interesados en la información financiera suministrada</w:t>
      </w:r>
      <w:r w:rsidR="00881F72">
        <w:rPr>
          <w:rFonts w:ascii="Arial" w:hAnsi="Arial" w:cs="Arial"/>
          <w:sz w:val="20"/>
        </w:rPr>
        <w:t xml:space="preserve"> </w:t>
      </w:r>
      <w:r w:rsidRPr="002E1EE9">
        <w:rPr>
          <w:rFonts w:ascii="Arial" w:hAnsi="Arial" w:cs="Arial"/>
          <w:sz w:val="20"/>
        </w:rPr>
        <w:t>por dichas entidades.</w:t>
      </w:r>
    </w:p>
    <w:p w:rsidR="007A102C" w:rsidRDefault="0067302B">
      <w:pPr>
        <w:rPr>
          <w:rStyle w:val="Hipervnculo"/>
          <w:rFonts w:ascii="Arial" w:hAnsi="Arial" w:cs="Arial"/>
        </w:rPr>
      </w:pPr>
      <w:r>
        <w:rPr>
          <w:rFonts w:ascii="Arial" w:hAnsi="Arial" w:cs="Arial"/>
        </w:rPr>
        <w:t>Referencias:</w:t>
      </w:r>
      <w:r w:rsidR="002E1EE9">
        <w:rPr>
          <w:rFonts w:ascii="Arial" w:hAnsi="Arial" w:cs="Arial"/>
        </w:rPr>
        <w:t xml:space="preserve"> </w:t>
      </w:r>
      <w:hyperlink r:id="rId5" w:history="1">
        <w:r w:rsidR="002E1EE9" w:rsidRPr="00EB239E">
          <w:rPr>
            <w:rStyle w:val="Hipervnculo"/>
            <w:rFonts w:ascii="Arial" w:hAnsi="Arial" w:cs="Arial"/>
          </w:rPr>
          <w:t>http://fcaenlinea1.unam.mx/anexos/1165/1165_u2_a3.pdf</w:t>
        </w:r>
      </w:hyperlink>
    </w:p>
    <w:p w:rsidR="0020555B" w:rsidRPr="00E83B76" w:rsidRDefault="0020555B">
      <w:pPr>
        <w:rPr>
          <w:rFonts w:ascii="Arial" w:hAnsi="Arial" w:cs="Arial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5873115</wp:posOffset>
            </wp:positionV>
            <wp:extent cx="6858000" cy="2832100"/>
            <wp:effectExtent l="0" t="0" r="0" b="6350"/>
            <wp:wrapSquare wrapText="bothSides"/>
            <wp:docPr id="4" name="Imagen 4" descr="Image result for a quien le interesan las finanzas entidades externas e inter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a quien le interesan las finanzas entidades externas e intern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Pr="0020555B">
        <w:drawing>
          <wp:anchor distT="0" distB="0" distL="114300" distR="114300" simplePos="0" relativeHeight="251659264" behindDoc="0" locked="0" layoutInCell="1" allowOverlap="1" wp14:anchorId="65DB1AF0">
            <wp:simplePos x="0" y="0"/>
            <wp:positionH relativeFrom="margin">
              <wp:posOffset>121920</wp:posOffset>
            </wp:positionH>
            <wp:positionV relativeFrom="margin">
              <wp:align>center</wp:align>
            </wp:positionV>
            <wp:extent cx="2381250" cy="22764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555B">
        <w:drawing>
          <wp:anchor distT="0" distB="0" distL="114300" distR="114300" simplePos="0" relativeHeight="251658240" behindDoc="0" locked="0" layoutInCell="1" allowOverlap="1" wp14:anchorId="30409D48">
            <wp:simplePos x="0" y="0"/>
            <wp:positionH relativeFrom="margin">
              <wp:posOffset>2849880</wp:posOffset>
            </wp:positionH>
            <wp:positionV relativeFrom="margin">
              <wp:posOffset>3371850</wp:posOffset>
            </wp:positionV>
            <wp:extent cx="3627120" cy="1782445"/>
            <wp:effectExtent l="0" t="0" r="0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555B" w:rsidRPr="00E83B76" w:rsidSect="002E1E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64C5F"/>
    <w:multiLevelType w:val="hybridMultilevel"/>
    <w:tmpl w:val="E45AFA1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D35EF"/>
    <w:multiLevelType w:val="hybridMultilevel"/>
    <w:tmpl w:val="28F0E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E3B59"/>
    <w:multiLevelType w:val="hybridMultilevel"/>
    <w:tmpl w:val="0FA2234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76"/>
    <w:rsid w:val="0020555B"/>
    <w:rsid w:val="002E1EE9"/>
    <w:rsid w:val="0067302B"/>
    <w:rsid w:val="007A102C"/>
    <w:rsid w:val="00881F72"/>
    <w:rsid w:val="00995E1B"/>
    <w:rsid w:val="00A96B71"/>
    <w:rsid w:val="00CF7003"/>
    <w:rsid w:val="00DD1F59"/>
    <w:rsid w:val="00E83B76"/>
    <w:rsid w:val="00F15BEA"/>
    <w:rsid w:val="00F6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6FC7"/>
  <w15:chartTrackingRefBased/>
  <w15:docId w15:val="{D894BEBE-D224-4590-9128-8B46B912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30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302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67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fcaenlinea1.unam.mx/anexos/1165/1165_u2_a3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984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6</cp:revision>
  <dcterms:created xsi:type="dcterms:W3CDTF">2019-02-13T01:37:00Z</dcterms:created>
  <dcterms:modified xsi:type="dcterms:W3CDTF">2019-02-15T13:46:00Z</dcterms:modified>
</cp:coreProperties>
</file>