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0B41587E" w14:textId="2B68DD6C" w:rsidR="00DF7770" w:rsidRPr="00A21D0D" w:rsidRDefault="0042145A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GENERACIÓN ALFA</w:t>
      </w:r>
    </w:p>
    <w:p w14:paraId="5B2E9A41" w14:textId="7BA3A327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20690D2F" w:rsidR="00DF7770" w:rsidRPr="00A21D0D" w:rsidRDefault="0042145A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martes, 3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5151DAD0" w14:textId="16D5330D" w:rsidR="0042145A" w:rsidRDefault="0042145A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 mi parecer, la inclusión es uno de los temas más importantes, con mayor relevancia y, por supuesto, el que mayor complejidad tiene; Ya que, si bien es cierto, la sociedad moderna día con día es más incluyente con los miembros pertenecientes a la comunidad LGBT+, también es cierto que hay demás personas que simplemente se niegan y niegan a las otras personas por el simple hecho de tener otras preferencias sexuales, y ese es un gran reto por afrontar.</w:t>
      </w:r>
    </w:p>
    <w:p w14:paraId="11E6AA02" w14:textId="0C143B4A" w:rsidR="0042145A" w:rsidRDefault="0042145A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42145A">
        <w:rPr>
          <w:rFonts w:ascii="Arial" w:eastAsia="Times New Roman" w:hAnsi="Arial" w:cs="Arial"/>
          <w:color w:val="000000"/>
          <w:lang w:eastAsia="es-MX"/>
        </w:rPr>
        <w:t>Los conceptos Comunidad, Sin contacto, Higiene y Compasión marcarán el tono de las conversaciones en 2021. Las marcas deberán conectar estos cuatro puntos con sus propios mensajes y monitorear las tendencias muy de cerca para tratar de ayudar a sus clientes a superar la pandemia.</w:t>
      </w:r>
    </w:p>
    <w:p w14:paraId="7F3336E2" w14:textId="21BB1CA1" w:rsidR="0042145A" w:rsidRDefault="0042145A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42145A">
        <w:rPr>
          <w:rFonts w:ascii="Arial" w:eastAsia="Times New Roman" w:hAnsi="Arial" w:cs="Arial"/>
          <w:color w:val="000000"/>
          <w:lang w:eastAsia="es-MX"/>
        </w:rPr>
        <w:t>En los últimos 13 meses, ha crecido el número de personas que se identifican como jugadores, al pasar de 31.1 millones en agosto de 2019 a 41.2 millones en julio de 2020 (+32%), con un repunte inmediato mostrado durante los meses de confinamiento.</w:t>
      </w:r>
    </w:p>
    <w:p w14:paraId="22461BC4" w14:textId="65B4F0C1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8A20B9">
        <w:rPr>
          <w:rFonts w:ascii="Arial" w:eastAsia="Times New Roman" w:hAnsi="Arial" w:cs="Arial"/>
          <w:color w:val="000000"/>
          <w:lang w:eastAsia="es-MX"/>
        </w:rPr>
        <w:t>En 2021, Facebook, Twitter e Instagram todavía tendrán un control significativo en el mercado de las redes sociales; por ello, deberían seguir siendo la columna vertebral de la inversión en marketing de una marca, para que pueda englobar audiencias grandes y amplias.</w:t>
      </w:r>
    </w:p>
    <w:p w14:paraId="69851BB7" w14:textId="6B31DCC2" w:rsidR="008A20B9" w:rsidRPr="000B516D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Por último, quiero decir que el COVID19 llegó para quedarse, y que es mejor hacerse a la idea del cambio, en vez de esperar a que vuelva la supuesta “normalidad” a la que estábamos acostumbrados.</w:t>
      </w:r>
    </w:p>
    <w:sectPr w:rsidR="008A20B9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D37B3"/>
    <w:rsid w:val="0012230B"/>
    <w:rsid w:val="00147D69"/>
    <w:rsid w:val="002117B2"/>
    <w:rsid w:val="00291248"/>
    <w:rsid w:val="00392B50"/>
    <w:rsid w:val="003B022A"/>
    <w:rsid w:val="003D23E1"/>
    <w:rsid w:val="003E5FE6"/>
    <w:rsid w:val="0042145A"/>
    <w:rsid w:val="00533196"/>
    <w:rsid w:val="00541F88"/>
    <w:rsid w:val="00544559"/>
    <w:rsid w:val="005D73F7"/>
    <w:rsid w:val="006521A8"/>
    <w:rsid w:val="0070124F"/>
    <w:rsid w:val="007D5E7B"/>
    <w:rsid w:val="00884331"/>
    <w:rsid w:val="008A20B9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64CC4"/>
    <w:rsid w:val="00DF7770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3</cp:revision>
  <dcterms:created xsi:type="dcterms:W3CDTF">2020-11-03T23:31:00Z</dcterms:created>
  <dcterms:modified xsi:type="dcterms:W3CDTF">2020-11-04T00:07:00Z</dcterms:modified>
</cp:coreProperties>
</file>