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3DA" w:rsidRDefault="007074F4" w:rsidP="007074F4">
      <w:pPr>
        <w:spacing w:after="0" w:line="240" w:lineRule="auto"/>
        <w:rPr>
          <w:rFonts w:ascii="Cambria Math" w:hAnsi="Cambria Math"/>
          <w:b/>
          <w:sz w:val="32"/>
          <w:szCs w:val="32"/>
        </w:rPr>
      </w:pPr>
      <w:r>
        <w:rPr>
          <w:rFonts w:ascii="Cambria Math" w:hAnsi="Cambria Math"/>
          <w:b/>
          <w:sz w:val="32"/>
          <w:szCs w:val="32"/>
        </w:rPr>
        <w:t>Tema 4.2. Función de Distribució</w:t>
      </w:r>
      <w:r w:rsidR="001E2EA1">
        <w:rPr>
          <w:rFonts w:ascii="Cambria Math" w:hAnsi="Cambria Math"/>
          <w:b/>
          <w:sz w:val="32"/>
          <w:szCs w:val="32"/>
        </w:rPr>
        <w:t>n Acumulada Conjunta y Marginal-Caso Discreto.</w:t>
      </w:r>
    </w:p>
    <w:p w:rsidR="007074F4" w:rsidRDefault="007074F4" w:rsidP="007074F4">
      <w:pPr>
        <w:spacing w:after="0" w:line="240" w:lineRule="auto"/>
        <w:rPr>
          <w:rFonts w:ascii="Cambria Math" w:hAnsi="Cambria Math"/>
          <w:b/>
          <w:sz w:val="24"/>
          <w:szCs w:val="24"/>
        </w:rPr>
      </w:pPr>
    </w:p>
    <w:p w:rsidR="007302A9" w:rsidRDefault="009C4CF4" w:rsidP="00E74399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Observación 1. </w:t>
      </w:r>
      <w:r w:rsidR="007302A9">
        <w:rPr>
          <w:rFonts w:ascii="Cambria Math" w:hAnsi="Cambria Math"/>
          <w:b/>
          <w:sz w:val="24"/>
          <w:szCs w:val="24"/>
        </w:rPr>
        <w:t xml:space="preserve"> </w:t>
      </w:r>
      <w:r w:rsidR="001756E9">
        <w:rPr>
          <w:rFonts w:ascii="Cambria Math" w:hAnsi="Cambria Math"/>
          <w:sz w:val="24"/>
          <w:szCs w:val="24"/>
        </w:rPr>
        <w:t>En esta sección vamos a generalizar a 3 dimensiones la función de distribución acumulada</w:t>
      </w:r>
      <w:r w:rsidR="00E74399">
        <w:rPr>
          <w:rFonts w:ascii="Cambria Math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E74399">
        <w:rPr>
          <w:rFonts w:ascii="Cambria Math" w:hAnsi="Cambria Math"/>
          <w:sz w:val="24"/>
          <w:szCs w:val="24"/>
        </w:rPr>
        <w:t xml:space="preserve"> de una variable aleatoria </w:t>
      </w:r>
      <w:r w:rsidR="001756E9">
        <w:rPr>
          <w:rFonts w:ascii="Cambria Math" w:hAnsi="Cambria Math"/>
          <w:sz w:val="24"/>
          <w:szCs w:val="24"/>
        </w:rPr>
        <w:t>, la cual vimos que consta de escalones que van subiendo</w:t>
      </w:r>
    </w:p>
    <w:p w:rsidR="001756E9" w:rsidRDefault="001756E9" w:rsidP="007074F4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1756E9" w:rsidRDefault="00E74399" w:rsidP="001756E9">
      <w:pPr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 w:rsidRPr="00E74399">
        <w:rPr>
          <w:rFonts w:ascii="Cambria Math" w:hAnsi="Cambria Math"/>
          <w:noProof/>
          <w:sz w:val="24"/>
          <w:szCs w:val="24"/>
          <w:lang w:eastAsia="es-MX"/>
        </w:rPr>
        <w:drawing>
          <wp:inline distT="0" distB="0" distL="0" distR="0">
            <wp:extent cx="3809827" cy="1743500"/>
            <wp:effectExtent l="0" t="0" r="63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0438" cy="175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99" w:rsidRDefault="00E74399" w:rsidP="001756E9">
      <w:pPr>
        <w:spacing w:after="0" w:line="240" w:lineRule="auto"/>
        <w:jc w:val="center"/>
        <w:rPr>
          <w:rFonts w:ascii="Cambria Math" w:hAnsi="Cambria Math"/>
          <w:sz w:val="24"/>
          <w:szCs w:val="24"/>
        </w:rPr>
      </w:pPr>
    </w:p>
    <w:p w:rsidR="00E74399" w:rsidRDefault="00E74399" w:rsidP="00E74399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La función de distribución acumulada conjunta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X,Y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de 2 variables aleatorias su gráfica también consta de escalones como lo muestra la figura de abajo</w:t>
      </w:r>
    </w:p>
    <w:p w:rsidR="007302A9" w:rsidRPr="009C4CF4" w:rsidRDefault="007302A9" w:rsidP="007302A9">
      <w:pPr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 w:rsidRPr="007302A9">
        <w:rPr>
          <w:rFonts w:ascii="Cambria Math" w:hAnsi="Cambria Math"/>
          <w:noProof/>
          <w:sz w:val="24"/>
          <w:szCs w:val="24"/>
          <w:lang w:eastAsia="es-MX"/>
        </w:rPr>
        <w:drawing>
          <wp:inline distT="0" distB="0" distL="0" distR="0">
            <wp:extent cx="3810000" cy="283800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284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F4" w:rsidRDefault="007074F4" w:rsidP="007074F4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Definición 1. </w:t>
      </w:r>
      <w:r>
        <w:rPr>
          <w:rFonts w:ascii="Cambria Math" w:hAnsi="Cambria Math"/>
          <w:sz w:val="24"/>
          <w:szCs w:val="24"/>
        </w:rPr>
        <w:t xml:space="preserve">La función de </w:t>
      </w:r>
      <w:r w:rsidR="003A0AAC">
        <w:rPr>
          <w:rFonts w:ascii="Cambria Math" w:hAnsi="Cambria Math"/>
          <w:b/>
          <w:sz w:val="24"/>
          <w:szCs w:val="24"/>
        </w:rPr>
        <w:t>Distribución Acumulada C</w:t>
      </w:r>
      <w:r w:rsidRPr="003A0AAC">
        <w:rPr>
          <w:rFonts w:ascii="Cambria Math" w:hAnsi="Cambria Math"/>
          <w:b/>
          <w:sz w:val="24"/>
          <w:szCs w:val="24"/>
        </w:rPr>
        <w:t>onjunta</w:t>
      </w:r>
      <w:r>
        <w:rPr>
          <w:rFonts w:ascii="Cambria Math" w:hAnsi="Cambria Math"/>
          <w:sz w:val="24"/>
          <w:szCs w:val="24"/>
        </w:rPr>
        <w:t xml:space="preserve"> de las variables aleatorias discretas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E2639A">
        <w:rPr>
          <w:rFonts w:ascii="Cambria Math" w:eastAsiaTheme="minorEastAsia" w:hAnsi="Cambria Math"/>
          <w:sz w:val="24"/>
          <w:szCs w:val="24"/>
        </w:rPr>
        <w:t xml:space="preserve"> con función de densidad conjunta</w:t>
      </w:r>
    </w:p>
    <w:p w:rsidR="00E2639A" w:rsidRDefault="00E2639A" w:rsidP="007074F4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W w:w="0" w:type="auto"/>
        <w:tblInd w:w="2893" w:type="dxa"/>
        <w:tblLook w:val="04A0" w:firstRow="1" w:lastRow="0" w:firstColumn="1" w:lastColumn="0" w:noHBand="0" w:noVBand="1"/>
      </w:tblPr>
      <w:tblGrid>
        <w:gridCol w:w="645"/>
        <w:gridCol w:w="1145"/>
        <w:gridCol w:w="1145"/>
        <w:gridCol w:w="422"/>
        <w:gridCol w:w="1126"/>
        <w:gridCol w:w="355"/>
      </w:tblGrid>
      <w:tr w:rsidR="00E2639A" w:rsidTr="00885831">
        <w:tc>
          <w:tcPr>
            <w:tcW w:w="0" w:type="auto"/>
          </w:tcPr>
          <w:p w:rsidR="00E2639A" w:rsidRDefault="00E2639A" w:rsidP="0088583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X\Y</m:t>
                </m:r>
              </m:oMath>
            </m:oMathPara>
          </w:p>
        </w:tc>
        <w:tc>
          <w:tcPr>
            <w:tcW w:w="0" w:type="auto"/>
          </w:tcPr>
          <w:p w:rsidR="00E2639A" w:rsidRDefault="009E270C" w:rsidP="0088583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2639A" w:rsidRDefault="009E270C" w:rsidP="0088583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2639A" w:rsidRDefault="00E2639A" w:rsidP="0088583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E2639A" w:rsidRDefault="009E270C" w:rsidP="0088583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2639A" w:rsidRDefault="00E2639A" w:rsidP="0088583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oMath>
            </m:oMathPara>
          </w:p>
        </w:tc>
      </w:tr>
      <w:tr w:rsidR="00E2639A" w:rsidTr="00194784">
        <w:tc>
          <w:tcPr>
            <w:tcW w:w="0" w:type="auto"/>
          </w:tcPr>
          <w:p w:rsidR="00E2639A" w:rsidRDefault="009E270C" w:rsidP="0088583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FFF00"/>
          </w:tcPr>
          <w:p w:rsidR="00E2639A" w:rsidRPr="00664203" w:rsidRDefault="00E2639A" w:rsidP="00885831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shd w:val="clear" w:color="auto" w:fill="FFFF00"/>
          </w:tcPr>
          <w:p w:rsidR="00E2639A" w:rsidRPr="00664203" w:rsidRDefault="00E2639A" w:rsidP="00885831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shd w:val="clear" w:color="auto" w:fill="FFFF00"/>
          </w:tcPr>
          <w:p w:rsidR="00E2639A" w:rsidRPr="00664203" w:rsidRDefault="00E2639A" w:rsidP="00885831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  <w:shd w:val="clear" w:color="auto" w:fill="FFFF00"/>
          </w:tcPr>
          <w:p w:rsidR="00E2639A" w:rsidRPr="00664203" w:rsidRDefault="00E2639A" w:rsidP="00885831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E2639A" w:rsidRDefault="00E2639A" w:rsidP="0088583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</w:tr>
      <w:tr w:rsidR="00E2639A" w:rsidTr="00194784">
        <w:tc>
          <w:tcPr>
            <w:tcW w:w="0" w:type="auto"/>
          </w:tcPr>
          <w:p w:rsidR="00E2639A" w:rsidRDefault="009E270C" w:rsidP="0088583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FFF00"/>
          </w:tcPr>
          <w:p w:rsidR="00E2639A" w:rsidRPr="00664203" w:rsidRDefault="00E2639A" w:rsidP="00885831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shd w:val="clear" w:color="auto" w:fill="FFFF00"/>
          </w:tcPr>
          <w:p w:rsidR="00E2639A" w:rsidRPr="00664203" w:rsidRDefault="00E2639A" w:rsidP="00885831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shd w:val="clear" w:color="auto" w:fill="FFFF00"/>
          </w:tcPr>
          <w:p w:rsidR="00E2639A" w:rsidRPr="00664203" w:rsidRDefault="00E2639A" w:rsidP="00885831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  <w:shd w:val="clear" w:color="auto" w:fill="FFFF00"/>
          </w:tcPr>
          <w:p w:rsidR="00E2639A" w:rsidRPr="00664203" w:rsidRDefault="00E2639A" w:rsidP="00885831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E2639A" w:rsidRDefault="00E2639A" w:rsidP="0088583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</w:tr>
      <w:tr w:rsidR="00E2639A" w:rsidTr="00194784">
        <w:tc>
          <w:tcPr>
            <w:tcW w:w="0" w:type="auto"/>
          </w:tcPr>
          <w:p w:rsidR="00E2639A" w:rsidRDefault="00E2639A" w:rsidP="0088583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⋮</m:t>
                </m:r>
              </m:oMath>
            </m:oMathPara>
          </w:p>
        </w:tc>
        <w:tc>
          <w:tcPr>
            <w:tcW w:w="0" w:type="auto"/>
            <w:shd w:val="clear" w:color="auto" w:fill="FFFF00"/>
          </w:tcPr>
          <w:p w:rsidR="00E2639A" w:rsidRPr="00664203" w:rsidRDefault="00E2639A" w:rsidP="00885831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⋮</m:t>
                </m:r>
              </m:oMath>
            </m:oMathPara>
          </w:p>
        </w:tc>
        <w:tc>
          <w:tcPr>
            <w:tcW w:w="0" w:type="auto"/>
            <w:shd w:val="clear" w:color="auto" w:fill="FFFF00"/>
          </w:tcPr>
          <w:p w:rsidR="00E2639A" w:rsidRPr="00664203" w:rsidRDefault="00E2639A" w:rsidP="00885831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⋮</m:t>
                </m:r>
              </m:oMath>
            </m:oMathPara>
          </w:p>
        </w:tc>
        <w:tc>
          <w:tcPr>
            <w:tcW w:w="0" w:type="auto"/>
            <w:shd w:val="clear" w:color="auto" w:fill="FFFF00"/>
          </w:tcPr>
          <w:p w:rsidR="00E2639A" w:rsidRPr="00664203" w:rsidRDefault="00E2639A" w:rsidP="00885831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⋱</m:t>
                </m:r>
              </m:oMath>
            </m:oMathPara>
          </w:p>
        </w:tc>
        <w:tc>
          <w:tcPr>
            <w:tcW w:w="0" w:type="auto"/>
            <w:shd w:val="clear" w:color="auto" w:fill="FFFF00"/>
          </w:tcPr>
          <w:p w:rsidR="00E2639A" w:rsidRPr="00664203" w:rsidRDefault="00E2639A" w:rsidP="00885831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⋮</m:t>
                </m:r>
              </m:oMath>
            </m:oMathPara>
          </w:p>
        </w:tc>
        <w:tc>
          <w:tcPr>
            <w:tcW w:w="0" w:type="auto"/>
          </w:tcPr>
          <w:p w:rsidR="00E2639A" w:rsidRDefault="00E2639A" w:rsidP="0088583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</w:tr>
      <w:tr w:rsidR="00E2639A" w:rsidTr="00194784">
        <w:tc>
          <w:tcPr>
            <w:tcW w:w="0" w:type="auto"/>
          </w:tcPr>
          <w:p w:rsidR="00E2639A" w:rsidRDefault="009E270C" w:rsidP="0088583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FFF00"/>
          </w:tcPr>
          <w:p w:rsidR="00E2639A" w:rsidRPr="00664203" w:rsidRDefault="00E2639A" w:rsidP="00885831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shd w:val="clear" w:color="auto" w:fill="FFFF00"/>
          </w:tcPr>
          <w:p w:rsidR="00E2639A" w:rsidRPr="00664203" w:rsidRDefault="00E2639A" w:rsidP="00885831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shd w:val="clear" w:color="auto" w:fill="FFFF00"/>
          </w:tcPr>
          <w:p w:rsidR="00E2639A" w:rsidRPr="00664203" w:rsidRDefault="00E2639A" w:rsidP="00885831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  <w:shd w:val="clear" w:color="auto" w:fill="FFFF00"/>
          </w:tcPr>
          <w:p w:rsidR="00E2639A" w:rsidRPr="00664203" w:rsidRDefault="00E2639A" w:rsidP="00885831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E2639A" w:rsidRDefault="00E2639A" w:rsidP="0088583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</w:tr>
      <w:tr w:rsidR="00E2639A" w:rsidTr="00885831">
        <w:tc>
          <w:tcPr>
            <w:tcW w:w="0" w:type="auto"/>
          </w:tcPr>
          <w:p w:rsidR="00E2639A" w:rsidRDefault="00E2639A" w:rsidP="0088583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E2639A" w:rsidRDefault="00E2639A" w:rsidP="0088583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0" w:type="auto"/>
          </w:tcPr>
          <w:p w:rsidR="00E2639A" w:rsidRDefault="00E2639A" w:rsidP="0088583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0" w:type="auto"/>
          </w:tcPr>
          <w:p w:rsidR="00E2639A" w:rsidRDefault="00E2639A" w:rsidP="0088583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0" w:type="auto"/>
          </w:tcPr>
          <w:p w:rsidR="00E2639A" w:rsidRDefault="00E2639A" w:rsidP="0088583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0" w:type="auto"/>
          </w:tcPr>
          <w:p w:rsidR="00E2639A" w:rsidRDefault="00E2639A" w:rsidP="0088583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</w:tr>
    </w:tbl>
    <w:p w:rsidR="00E2639A" w:rsidRDefault="00E2639A" w:rsidP="00E2639A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074F4" w:rsidRDefault="007074F4" w:rsidP="007074F4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7074F4" w:rsidRDefault="007074F4" w:rsidP="007074F4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194784" w:rsidRDefault="00194784" w:rsidP="00194784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 xml:space="preserve">está definida en el punto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como</w:t>
      </w:r>
    </w:p>
    <w:p w:rsidR="00194784" w:rsidRPr="00194784" w:rsidRDefault="00194784" w:rsidP="00194784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7074F4" w:rsidRDefault="009E270C" w:rsidP="007074F4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X,Y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X≤x,Y≤y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≤x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≤y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</m:oMath>
      <w:r w:rsidR="003A0AAC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3A0AAC" w:rsidRDefault="003A0AAC" w:rsidP="007074F4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4929AC" w:rsidRDefault="003A0AAC" w:rsidP="00194784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donde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es la función de densidad conjunta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Entonces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es la suma de todas las entradas </w:t>
      </w:r>
      <w:r w:rsidR="004929AC">
        <w:rPr>
          <w:rFonts w:ascii="Cambria Math" w:eastAsiaTheme="minorEastAsia" w:hAnsi="Cambria Math"/>
          <w:sz w:val="24"/>
          <w:szCs w:val="24"/>
        </w:rPr>
        <w:t>en la tabla de la función de densidad</w:t>
      </w:r>
      <w:r w:rsidR="00194784">
        <w:rPr>
          <w:rFonts w:ascii="Cambria Math" w:eastAsiaTheme="minorEastAsia" w:hAnsi="Cambria Math"/>
          <w:sz w:val="24"/>
          <w:szCs w:val="24"/>
        </w:rPr>
        <w:t xml:space="preserve"> que están antes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194784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E74399" w:rsidRDefault="00E74399" w:rsidP="003A0AAC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E74399" w:rsidRDefault="00E74399" w:rsidP="003A0AAC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Ejemplo 1. </w:t>
      </w:r>
      <w:r w:rsidR="00445BC0">
        <w:rPr>
          <w:rFonts w:ascii="Cambria Math" w:eastAsiaTheme="minorEastAsia" w:hAnsi="Cambria Math"/>
          <w:sz w:val="24"/>
          <w:szCs w:val="24"/>
        </w:rPr>
        <w:t xml:space="preserve">Una línea aérea se da cuenta que el número de personas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445BC0">
        <w:rPr>
          <w:rFonts w:ascii="Cambria Math" w:eastAsiaTheme="minorEastAsia" w:hAnsi="Cambria Math"/>
          <w:sz w:val="24"/>
          <w:szCs w:val="24"/>
        </w:rPr>
        <w:t xml:space="preserve"> que hacen reservaciones y no se presentan es 1 o 2. Mientras que el número </w:t>
      </w:r>
      <w:r w:rsidR="00134DB6">
        <w:rPr>
          <w:rFonts w:ascii="Cambria Math" w:eastAsiaTheme="minorEastAsia" w:hAnsi="Cambria Math"/>
          <w:sz w:val="24"/>
          <w:szCs w:val="24"/>
        </w:rPr>
        <w:t xml:space="preserve">de personas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134DB6">
        <w:rPr>
          <w:rFonts w:ascii="Cambria Math" w:eastAsiaTheme="minorEastAsia" w:hAnsi="Cambria Math"/>
          <w:sz w:val="24"/>
          <w:szCs w:val="24"/>
        </w:rPr>
        <w:t xml:space="preserve"> que se les olvido el boleto es 0 o 1. La función de densidad conjunta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sub>
        </m:sSub>
      </m:oMath>
      <w:r w:rsidR="00134DB6">
        <w:rPr>
          <w:rFonts w:ascii="Cambria Math" w:eastAsiaTheme="minorEastAsia" w:hAnsi="Cambria Math"/>
          <w:sz w:val="24"/>
          <w:szCs w:val="24"/>
        </w:rPr>
        <w:t xml:space="preserve"> está dada en la siguiente tabla</w:t>
      </w:r>
    </w:p>
    <w:p w:rsidR="00134DB6" w:rsidRDefault="00134DB6" w:rsidP="003A0AAC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W w:w="0" w:type="auto"/>
        <w:tblInd w:w="4323" w:type="dxa"/>
        <w:tblLook w:val="04A0" w:firstRow="1" w:lastRow="0" w:firstColumn="1" w:lastColumn="0" w:noHBand="0" w:noVBand="1"/>
      </w:tblPr>
      <w:tblGrid>
        <w:gridCol w:w="645"/>
        <w:gridCol w:w="615"/>
        <w:gridCol w:w="615"/>
      </w:tblGrid>
      <w:tr w:rsidR="00134DB6" w:rsidTr="00134DB6">
        <w:tc>
          <w:tcPr>
            <w:tcW w:w="0" w:type="auto"/>
          </w:tcPr>
          <w:p w:rsidR="00134DB6" w:rsidRDefault="00134DB6" w:rsidP="00134DB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X\Y</m:t>
                </m:r>
              </m:oMath>
            </m:oMathPara>
          </w:p>
        </w:tc>
        <w:tc>
          <w:tcPr>
            <w:tcW w:w="0" w:type="auto"/>
          </w:tcPr>
          <w:p w:rsidR="00134DB6" w:rsidRDefault="00134DB6" w:rsidP="00134DB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34DB6" w:rsidRDefault="00134DB6" w:rsidP="00134DB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</w:tr>
      <w:tr w:rsidR="00134DB6" w:rsidTr="00134DB6">
        <w:tc>
          <w:tcPr>
            <w:tcW w:w="0" w:type="auto"/>
          </w:tcPr>
          <w:p w:rsidR="00134DB6" w:rsidRDefault="00134DB6" w:rsidP="00134DB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34DB6" w:rsidRDefault="009E270C" w:rsidP="00134DB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134DB6" w:rsidRDefault="009E270C" w:rsidP="00134DB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  <w:tr w:rsidR="00134DB6" w:rsidTr="00134DB6">
        <w:tc>
          <w:tcPr>
            <w:tcW w:w="0" w:type="auto"/>
          </w:tcPr>
          <w:p w:rsidR="00134DB6" w:rsidRDefault="00134DB6" w:rsidP="00134DB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34DB6" w:rsidRDefault="009E270C" w:rsidP="00134DB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134DB6" w:rsidRDefault="009E270C" w:rsidP="00134DB6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</w:tbl>
    <w:p w:rsidR="00134DB6" w:rsidRDefault="00134DB6" w:rsidP="00134DB6">
      <w:pPr>
        <w:spacing w:after="0" w:line="240" w:lineRule="auto"/>
        <w:jc w:val="center"/>
        <w:rPr>
          <w:rFonts w:ascii="Cambria Math" w:hAnsi="Cambria Math"/>
          <w:sz w:val="24"/>
          <w:szCs w:val="24"/>
        </w:rPr>
      </w:pPr>
    </w:p>
    <w:p w:rsidR="00134DB6" w:rsidRDefault="00134DB6" w:rsidP="00134DB6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Obtenga la función de distribución acumulada.</w:t>
      </w:r>
    </w:p>
    <w:p w:rsidR="00134DB6" w:rsidRDefault="00134DB6" w:rsidP="00134DB6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5E2C6A" w:rsidRDefault="00134DB6" w:rsidP="00134DB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Solución. </w:t>
      </w:r>
      <w:r>
        <w:rPr>
          <w:rFonts w:ascii="Cambria Math" w:hAnsi="Cambria Math"/>
          <w:sz w:val="24"/>
          <w:szCs w:val="24"/>
        </w:rPr>
        <w:t xml:space="preserve">Como referencia </w:t>
      </w:r>
      <w:r w:rsidR="00A66B1A">
        <w:rPr>
          <w:rFonts w:ascii="Cambria Math" w:hAnsi="Cambria Math"/>
          <w:sz w:val="24"/>
          <w:szCs w:val="24"/>
        </w:rPr>
        <w:t xml:space="preserve"> consideramos los puntos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2,0</m:t>
            </m:r>
          </m:e>
        </m:d>
      </m:oMath>
      <w:r w:rsidR="00A66B1A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2,1</m:t>
            </m:r>
          </m:e>
        </m:d>
      </m:oMath>
      <w:r w:rsidR="00A66B1A">
        <w:rPr>
          <w:rFonts w:ascii="Cambria Math" w:eastAsiaTheme="minorEastAsia" w:hAnsi="Cambria Math"/>
          <w:sz w:val="24"/>
          <w:szCs w:val="24"/>
        </w:rPr>
        <w:t xml:space="preserve"> que se obtienen de la tabla.</w:t>
      </w:r>
      <w:r w:rsidR="00194784">
        <w:rPr>
          <w:rFonts w:ascii="Cambria Math" w:eastAsiaTheme="minorEastAsia" w:hAnsi="Cambria Math"/>
          <w:sz w:val="24"/>
          <w:szCs w:val="24"/>
        </w:rPr>
        <w:t xml:space="preserve"> </w:t>
      </w:r>
      <w:r w:rsidR="005E2C6A">
        <w:rPr>
          <w:rFonts w:ascii="Cambria Math" w:eastAsiaTheme="minorEastAsia" w:hAnsi="Cambria Math"/>
          <w:sz w:val="24"/>
          <w:szCs w:val="24"/>
        </w:rPr>
        <w:t>Con estos puntos formamos 4 regiones</w:t>
      </w:r>
    </w:p>
    <w:p w:rsidR="005E2C6A" w:rsidRDefault="005E2C6A" w:rsidP="00134DB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5E2C6A" w:rsidRDefault="008E4590" w:rsidP="008E4590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w:r w:rsidRPr="008E4590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>
            <wp:extent cx="2238375" cy="1333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90" w:rsidRDefault="008E4590" w:rsidP="008E4590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8E4590" w:rsidRDefault="008E4590" w:rsidP="008E4590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Estas regiones son:</w:t>
      </w:r>
    </w:p>
    <w:p w:rsidR="008E4590" w:rsidRDefault="008E4590" w:rsidP="008E4590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8E4590" w:rsidRDefault="009E270C" w:rsidP="008E4590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:1≤x&lt;2, 0≤y&lt;1</m:t>
            </m:r>
          </m:e>
        </m:d>
      </m:oMath>
      <w:r w:rsidR="008E4590">
        <w:rPr>
          <w:rFonts w:ascii="Cambria Math" w:eastAsiaTheme="minorEastAsia" w:hAnsi="Cambria Math"/>
          <w:sz w:val="24"/>
          <w:szCs w:val="24"/>
        </w:rPr>
        <w:t xml:space="preserve">  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:x≥2,0≤y&lt;1</m:t>
            </m:r>
          </m:e>
        </m:d>
      </m:oMath>
    </w:p>
    <w:p w:rsidR="008E4590" w:rsidRDefault="008E4590" w:rsidP="008E4590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8E4590" w:rsidRDefault="009E270C" w:rsidP="008E4590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:1≤x&lt;2,y&gt;1</m:t>
            </m:r>
          </m:e>
        </m:d>
      </m:oMath>
      <w:r w:rsidR="008E4590">
        <w:rPr>
          <w:rFonts w:ascii="Cambria Math" w:eastAsiaTheme="minorEastAsia" w:hAnsi="Cambria Math"/>
          <w:sz w:val="24"/>
          <w:szCs w:val="24"/>
        </w:rPr>
        <w:t xml:space="preserve">   ,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: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x≥2,y≥1</m:t>
            </m:r>
          </m:e>
        </m:d>
      </m:oMath>
    </w:p>
    <w:p w:rsidR="005510BF" w:rsidRDefault="005510BF" w:rsidP="008E4590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5510BF" w:rsidRDefault="005510BF" w:rsidP="008E4590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8E4590" w:rsidRDefault="008E4590" w:rsidP="008E4590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saber el valor de la función de distribución acumulativa en algún punto de estas regiones, por ejemplo, </w:t>
      </w:r>
      <w:r w:rsidR="00554D66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1.5,2</m:t>
            </m:r>
          </m:e>
        </m:d>
      </m:oMath>
      <w:r w:rsidR="00554D66">
        <w:rPr>
          <w:rFonts w:ascii="Cambria Math" w:eastAsiaTheme="minorEastAsia" w:hAnsi="Cambria Math"/>
          <w:sz w:val="24"/>
          <w:szCs w:val="24"/>
        </w:rPr>
        <w:t xml:space="preserve"> lo que hacemos es colocar el punto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1.5,2</m:t>
            </m:r>
          </m:e>
        </m:d>
      </m:oMath>
      <w:r w:rsidR="00664A13">
        <w:rPr>
          <w:rFonts w:ascii="Cambria Math" w:eastAsiaTheme="minorEastAsia" w:hAnsi="Cambria Math"/>
          <w:sz w:val="24"/>
          <w:szCs w:val="24"/>
        </w:rPr>
        <w:t>, que está  en la región 3,</w:t>
      </w:r>
      <w:r w:rsidR="00554D66">
        <w:rPr>
          <w:rFonts w:ascii="Cambria Math" w:eastAsiaTheme="minorEastAsia" w:hAnsi="Cambria Math"/>
          <w:sz w:val="24"/>
          <w:szCs w:val="24"/>
        </w:rPr>
        <w:t xml:space="preserve"> en el lugar correspondiente de la tabla de la función de densidad</w:t>
      </w:r>
    </w:p>
    <w:p w:rsidR="00554D66" w:rsidRDefault="00554D66" w:rsidP="008E4590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W w:w="0" w:type="auto"/>
        <w:tblInd w:w="4323" w:type="dxa"/>
        <w:tblLook w:val="04A0" w:firstRow="1" w:lastRow="0" w:firstColumn="1" w:lastColumn="0" w:noHBand="0" w:noVBand="1"/>
      </w:tblPr>
      <w:tblGrid>
        <w:gridCol w:w="645"/>
        <w:gridCol w:w="615"/>
        <w:gridCol w:w="615"/>
        <w:gridCol w:w="336"/>
        <w:gridCol w:w="14"/>
      </w:tblGrid>
      <w:tr w:rsidR="00554D66" w:rsidTr="00664A13">
        <w:tc>
          <w:tcPr>
            <w:tcW w:w="0" w:type="auto"/>
          </w:tcPr>
          <w:p w:rsidR="00554D66" w:rsidRDefault="00554D66" w:rsidP="00FB0C4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X\Y</m:t>
                </m:r>
              </m:oMath>
            </m:oMathPara>
          </w:p>
        </w:tc>
        <w:tc>
          <w:tcPr>
            <w:tcW w:w="0" w:type="auto"/>
          </w:tcPr>
          <w:p w:rsidR="00554D66" w:rsidRDefault="00554D66" w:rsidP="00FB0C4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54D66" w:rsidRDefault="00554D66" w:rsidP="00FB0C4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236" w:type="dxa"/>
            <w:gridSpan w:val="2"/>
            <w:shd w:val="clear" w:color="auto" w:fill="FFC000"/>
          </w:tcPr>
          <w:p w:rsidR="00554D66" w:rsidRPr="00664A13" w:rsidRDefault="00554D66" w:rsidP="00FB0C40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664A13">
              <w:rPr>
                <w:rFonts w:ascii="Cambria Math" w:hAnsi="Cambria Math"/>
                <w:b/>
                <w:sz w:val="24"/>
                <w:szCs w:val="24"/>
              </w:rPr>
              <w:t>2</w:t>
            </w:r>
          </w:p>
        </w:tc>
      </w:tr>
      <w:tr w:rsidR="00554D66" w:rsidTr="00664A13">
        <w:trPr>
          <w:gridAfter w:val="1"/>
          <w:wAfter w:w="14" w:type="dxa"/>
        </w:trPr>
        <w:tc>
          <w:tcPr>
            <w:tcW w:w="0" w:type="auto"/>
          </w:tcPr>
          <w:p w:rsidR="00554D66" w:rsidRDefault="00554D66" w:rsidP="00FB0C4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54D66" w:rsidRDefault="009E270C" w:rsidP="00FB0C4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54D66" w:rsidRDefault="009E270C" w:rsidP="00FB0C4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  <w:shd w:val="clear" w:color="auto" w:fill="FFC000"/>
          </w:tcPr>
          <w:p w:rsidR="00554D66" w:rsidRDefault="00554D66" w:rsidP="00FB0C40">
            <w:pPr>
              <w:jc w:val="center"/>
              <w:rPr>
                <w:rFonts w:ascii="Cambria Math" w:eastAsia="Calibri" w:hAnsi="Cambria Math" w:cs="Times New Roman"/>
                <w:sz w:val="24"/>
                <w:szCs w:val="24"/>
              </w:rPr>
            </w:pPr>
          </w:p>
        </w:tc>
      </w:tr>
      <w:tr w:rsidR="00554D66" w:rsidTr="00664A13">
        <w:trPr>
          <w:gridAfter w:val="1"/>
          <w:wAfter w:w="14" w:type="dxa"/>
        </w:trPr>
        <w:tc>
          <w:tcPr>
            <w:tcW w:w="0" w:type="auto"/>
            <w:shd w:val="clear" w:color="auto" w:fill="FFC000"/>
          </w:tcPr>
          <w:p w:rsidR="00554D66" w:rsidRPr="00664A13" w:rsidRDefault="00554D66" w:rsidP="00FB0C40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664A13">
              <w:rPr>
                <w:rFonts w:ascii="Cambria Math" w:hAnsi="Cambria Math"/>
                <w:b/>
                <w:sz w:val="24"/>
                <w:szCs w:val="24"/>
              </w:rPr>
              <w:t>1.5</w:t>
            </w:r>
          </w:p>
        </w:tc>
        <w:tc>
          <w:tcPr>
            <w:tcW w:w="0" w:type="auto"/>
            <w:shd w:val="clear" w:color="auto" w:fill="FFC000"/>
          </w:tcPr>
          <w:p w:rsidR="00554D66" w:rsidRDefault="00554D66" w:rsidP="00FB0C40">
            <w:pPr>
              <w:jc w:val="center"/>
              <w:rPr>
                <w:rFonts w:ascii="Cambria Math" w:eastAsia="Calibri" w:hAnsi="Cambria Math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554D66" w:rsidRDefault="00554D66" w:rsidP="00FB0C40">
            <w:pPr>
              <w:jc w:val="center"/>
              <w:rPr>
                <w:rFonts w:ascii="Cambria Math" w:eastAsia="Calibri" w:hAnsi="Cambria Math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554D66" w:rsidRDefault="00554D66" w:rsidP="00FB0C40">
            <w:pPr>
              <w:jc w:val="center"/>
              <w:rPr>
                <w:rFonts w:ascii="Cambria Math" w:eastAsia="Calibri" w:hAnsi="Cambria Math" w:cs="Times New Roman"/>
                <w:sz w:val="24"/>
                <w:szCs w:val="24"/>
              </w:rPr>
            </w:pPr>
          </w:p>
        </w:tc>
      </w:tr>
      <w:tr w:rsidR="00554D66" w:rsidTr="00FB0C40">
        <w:trPr>
          <w:gridAfter w:val="1"/>
          <w:wAfter w:w="14" w:type="dxa"/>
        </w:trPr>
        <w:tc>
          <w:tcPr>
            <w:tcW w:w="0" w:type="auto"/>
          </w:tcPr>
          <w:p w:rsidR="00554D66" w:rsidRDefault="00554D66" w:rsidP="00FB0C4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54D66" w:rsidRDefault="009E270C" w:rsidP="00FB0C4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54D66" w:rsidRDefault="009E270C" w:rsidP="00FB0C4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54D66" w:rsidRDefault="00554D66" w:rsidP="00FB0C40">
            <w:pPr>
              <w:jc w:val="center"/>
              <w:rPr>
                <w:rFonts w:ascii="Cambria Math" w:eastAsia="Calibri" w:hAnsi="Cambria Math" w:cs="Times New Roman"/>
                <w:sz w:val="24"/>
                <w:szCs w:val="24"/>
              </w:rPr>
            </w:pPr>
          </w:p>
        </w:tc>
      </w:tr>
    </w:tbl>
    <w:p w:rsidR="00554D66" w:rsidRDefault="00554D66" w:rsidP="00554D6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664A13" w:rsidRDefault="00554D66" w:rsidP="00134DB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Entonces sumamos los valores de la función</w:t>
      </w:r>
      <w:r w:rsidR="00A66B1A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de densidad que están arriba</w:t>
      </w:r>
      <w:r w:rsidR="00664A13">
        <w:rPr>
          <w:rFonts w:ascii="Cambria Math" w:eastAsiaTheme="minorEastAsia" w:hAnsi="Cambria Math"/>
          <w:sz w:val="24"/>
          <w:szCs w:val="24"/>
        </w:rPr>
        <w:t xml:space="preserve"> de 1.5 </w:t>
      </w:r>
      <w:r>
        <w:rPr>
          <w:rFonts w:ascii="Cambria Math" w:eastAsiaTheme="minorEastAsia" w:hAnsi="Cambria Math"/>
          <w:sz w:val="24"/>
          <w:szCs w:val="24"/>
        </w:rPr>
        <w:t xml:space="preserve"> y a la izquierda</w:t>
      </w:r>
      <w:r w:rsidR="00664A13">
        <w:rPr>
          <w:rFonts w:ascii="Cambria Math" w:eastAsiaTheme="minorEastAsia" w:hAnsi="Cambria Math"/>
          <w:sz w:val="24"/>
          <w:szCs w:val="24"/>
        </w:rPr>
        <w:t xml:space="preserve"> de 2. Por lo tanto</w:t>
      </w:r>
    </w:p>
    <w:p w:rsidR="00664A13" w:rsidRPr="00664A13" w:rsidRDefault="009E270C" w:rsidP="00664A13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1.5,2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664A13" w:rsidRDefault="00664A13" w:rsidP="00664A13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664A13" w:rsidRDefault="00664A13" w:rsidP="00664A13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Este número será el valor  de la función de distribución acumulativa para todos los puntos de la región</w:t>
      </w:r>
      <w:r w:rsidR="00DE46AF">
        <w:rPr>
          <w:rFonts w:ascii="Cambria Math" w:eastAsiaTheme="minorEastAsia" w:hAnsi="Cambria Math"/>
          <w:sz w:val="24"/>
          <w:szCs w:val="24"/>
        </w:rPr>
        <w:t xml:space="preserve"> 3</w:t>
      </w:r>
      <w:r>
        <w:rPr>
          <w:rFonts w:ascii="Cambria Math" w:eastAsiaTheme="minorEastAsia" w:hAnsi="Cambria Math"/>
          <w:sz w:val="24"/>
          <w:szCs w:val="24"/>
        </w:rPr>
        <w:t>. Procediendo de la misma forma</w:t>
      </w:r>
      <w:r w:rsidR="006F5B14">
        <w:rPr>
          <w:rFonts w:ascii="Cambria Math" w:eastAsiaTheme="minorEastAsia" w:hAnsi="Cambria Math"/>
          <w:sz w:val="24"/>
          <w:szCs w:val="24"/>
        </w:rPr>
        <w:t xml:space="preserve"> con las otras regiones</w:t>
      </w:r>
      <w:r>
        <w:rPr>
          <w:rFonts w:ascii="Cambria Math" w:eastAsiaTheme="minorEastAsia" w:hAnsi="Cambria Math"/>
          <w:sz w:val="24"/>
          <w:szCs w:val="24"/>
        </w:rPr>
        <w:t xml:space="preserve"> obtenemos la</w:t>
      </w:r>
      <w:r w:rsidR="006F5B14">
        <w:rPr>
          <w:rFonts w:ascii="Cambria Math" w:eastAsiaTheme="minorEastAsia" w:hAnsi="Cambria Math"/>
          <w:sz w:val="24"/>
          <w:szCs w:val="24"/>
        </w:rPr>
        <w:t xml:space="preserve"> siguiente</w:t>
      </w:r>
      <w:r>
        <w:rPr>
          <w:rFonts w:ascii="Cambria Math" w:eastAsiaTheme="minorEastAsia" w:hAnsi="Cambria Math"/>
          <w:sz w:val="24"/>
          <w:szCs w:val="24"/>
        </w:rPr>
        <w:t xml:space="preserve"> fórmula de la función de distribución acumulativa:</w:t>
      </w:r>
    </w:p>
    <w:p w:rsidR="00664A13" w:rsidRDefault="00664A13" w:rsidP="00664A13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A66B1A" w:rsidRDefault="009E270C" w:rsidP="00A66B1A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,1≤x&lt;2, 0≤y&lt;1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,x≥2,0≤y&lt;1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,0≤x&lt;1,y&gt;1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1,x≥2,y≥1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  , en otra parte</m:t>
                  </m:r>
                </m:e>
              </m:eqArr>
            </m:e>
          </m:d>
        </m:oMath>
      </m:oMathPara>
    </w:p>
    <w:p w:rsidR="006F5B14" w:rsidRDefault="006F5B14" w:rsidP="00134DB6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A66B1A" w:rsidRDefault="006F5B14" w:rsidP="00134DB6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Su gráfica son escalones en 3 dimensiones y es la gráfica que aparece en la observación 1.</w:t>
      </w:r>
    </w:p>
    <w:p w:rsidR="005510BF" w:rsidRDefault="005510BF" w:rsidP="00134DB6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5510BF" w:rsidRDefault="005510BF" w:rsidP="005510BF">
      <w:pPr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8"/>
          <w:szCs w:val="28"/>
        </w:rPr>
        <w:t>Ejercicios.</w:t>
      </w:r>
    </w:p>
    <w:p w:rsidR="005510BF" w:rsidRDefault="005510BF" w:rsidP="005510BF">
      <w:pPr>
        <w:spacing w:after="0" w:line="240" w:lineRule="auto"/>
        <w:jc w:val="center"/>
        <w:rPr>
          <w:rFonts w:ascii="Cambria Math" w:hAnsi="Cambria Math"/>
          <w:sz w:val="24"/>
          <w:szCs w:val="24"/>
        </w:rPr>
      </w:pPr>
    </w:p>
    <w:p w:rsidR="005510BF" w:rsidRPr="005510BF" w:rsidRDefault="005510BF" w:rsidP="005510B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La función de densidad conjunta de las variables aleatorias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está dada por la siguiente tabla</w:t>
      </w:r>
    </w:p>
    <w:p w:rsidR="005510BF" w:rsidRDefault="005510BF" w:rsidP="005510BF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W w:w="0" w:type="auto"/>
        <w:tblInd w:w="4799" w:type="dxa"/>
        <w:tblLook w:val="04A0" w:firstRow="1" w:lastRow="0" w:firstColumn="1" w:lastColumn="0" w:noHBand="0" w:noVBand="1"/>
      </w:tblPr>
      <w:tblGrid>
        <w:gridCol w:w="645"/>
        <w:gridCol w:w="733"/>
        <w:gridCol w:w="733"/>
        <w:gridCol w:w="733"/>
      </w:tblGrid>
      <w:tr w:rsidR="005510BF" w:rsidTr="005510BF">
        <w:tc>
          <w:tcPr>
            <w:tcW w:w="0" w:type="auto"/>
          </w:tcPr>
          <w:p w:rsidR="005510BF" w:rsidRDefault="005510BF" w:rsidP="005510BF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X\Y</m:t>
                </m:r>
              </m:oMath>
            </m:oMathPara>
          </w:p>
        </w:tc>
        <w:tc>
          <w:tcPr>
            <w:tcW w:w="0" w:type="auto"/>
          </w:tcPr>
          <w:p w:rsidR="005510BF" w:rsidRDefault="005510BF" w:rsidP="005510BF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510BF" w:rsidRDefault="005510BF" w:rsidP="005510BF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510BF" w:rsidRDefault="005510BF" w:rsidP="005510BF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</w:tr>
      <w:tr w:rsidR="005510BF" w:rsidTr="005510BF">
        <w:tc>
          <w:tcPr>
            <w:tcW w:w="0" w:type="auto"/>
          </w:tcPr>
          <w:p w:rsidR="005510BF" w:rsidRDefault="005510BF" w:rsidP="005510BF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510BF" w:rsidRDefault="005510BF" w:rsidP="005510BF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1/18</w:t>
            </w:r>
          </w:p>
        </w:tc>
        <w:tc>
          <w:tcPr>
            <w:tcW w:w="0" w:type="auto"/>
          </w:tcPr>
          <w:p w:rsidR="005510BF" w:rsidRDefault="005510BF" w:rsidP="005510BF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1/9</w:t>
            </w:r>
          </w:p>
        </w:tc>
        <w:tc>
          <w:tcPr>
            <w:tcW w:w="0" w:type="auto"/>
          </w:tcPr>
          <w:p w:rsidR="005510BF" w:rsidRDefault="005510BF" w:rsidP="005510BF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1/6</w:t>
            </w:r>
          </w:p>
        </w:tc>
      </w:tr>
      <w:tr w:rsidR="005510BF" w:rsidTr="005510BF">
        <w:tc>
          <w:tcPr>
            <w:tcW w:w="0" w:type="auto"/>
          </w:tcPr>
          <w:p w:rsidR="005510BF" w:rsidRDefault="005510BF" w:rsidP="005510BF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510BF" w:rsidRDefault="005510BF" w:rsidP="005510BF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1/9</w:t>
            </w:r>
          </w:p>
        </w:tc>
        <w:tc>
          <w:tcPr>
            <w:tcW w:w="0" w:type="auto"/>
          </w:tcPr>
          <w:p w:rsidR="005510BF" w:rsidRDefault="005510BF" w:rsidP="005510BF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1/18</w:t>
            </w:r>
          </w:p>
        </w:tc>
        <w:tc>
          <w:tcPr>
            <w:tcW w:w="0" w:type="auto"/>
          </w:tcPr>
          <w:p w:rsidR="005510BF" w:rsidRDefault="005510BF" w:rsidP="005510BF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1/9</w:t>
            </w:r>
          </w:p>
        </w:tc>
      </w:tr>
      <w:tr w:rsidR="005510BF" w:rsidTr="005510BF">
        <w:tc>
          <w:tcPr>
            <w:tcW w:w="0" w:type="auto"/>
          </w:tcPr>
          <w:p w:rsidR="005510BF" w:rsidRDefault="005510BF" w:rsidP="005510BF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510BF" w:rsidRDefault="005510BF" w:rsidP="005510BF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1/6</w:t>
            </w:r>
          </w:p>
        </w:tc>
        <w:tc>
          <w:tcPr>
            <w:tcW w:w="0" w:type="auto"/>
          </w:tcPr>
          <w:p w:rsidR="005510BF" w:rsidRDefault="005510BF" w:rsidP="005510BF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1/6</w:t>
            </w:r>
          </w:p>
        </w:tc>
        <w:tc>
          <w:tcPr>
            <w:tcW w:w="0" w:type="auto"/>
          </w:tcPr>
          <w:p w:rsidR="005510BF" w:rsidRDefault="005510BF" w:rsidP="005510BF">
            <w:pPr>
              <w:pStyle w:val="Prrafodelista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1/18</w:t>
            </w:r>
          </w:p>
        </w:tc>
      </w:tr>
    </w:tbl>
    <w:p w:rsidR="005510BF" w:rsidRPr="005510BF" w:rsidRDefault="005510BF" w:rsidP="005510BF">
      <w:pPr>
        <w:pStyle w:val="Prrafodelista"/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823A56" w:rsidRDefault="005510BF" w:rsidP="00134DB6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Encuentre, como una función seccionada, la función de distribución acumulada conjunta.</w:t>
      </w:r>
    </w:p>
    <w:p w:rsidR="005510BF" w:rsidRDefault="005510BF" w:rsidP="001E2EA1">
      <w:pPr>
        <w:spacing w:after="0" w:line="240" w:lineRule="auto"/>
        <w:rPr>
          <w:rFonts w:ascii="Cambria Math" w:hAnsi="Cambria Math"/>
          <w:b/>
          <w:sz w:val="32"/>
          <w:szCs w:val="32"/>
        </w:rPr>
      </w:pPr>
    </w:p>
    <w:p w:rsidR="005510BF" w:rsidRDefault="005510BF" w:rsidP="001E2EA1">
      <w:pPr>
        <w:spacing w:after="0" w:line="240" w:lineRule="auto"/>
        <w:rPr>
          <w:rFonts w:ascii="Cambria Math" w:hAnsi="Cambria Math"/>
          <w:b/>
          <w:sz w:val="32"/>
          <w:szCs w:val="32"/>
        </w:rPr>
      </w:pPr>
    </w:p>
    <w:p w:rsidR="005510BF" w:rsidRDefault="005510BF" w:rsidP="001E2EA1">
      <w:pPr>
        <w:spacing w:after="0" w:line="240" w:lineRule="auto"/>
        <w:rPr>
          <w:rFonts w:ascii="Cambria Math" w:hAnsi="Cambria Math"/>
          <w:b/>
          <w:sz w:val="32"/>
          <w:szCs w:val="32"/>
        </w:rPr>
      </w:pPr>
    </w:p>
    <w:p w:rsidR="005510BF" w:rsidRDefault="005510BF" w:rsidP="001E2EA1">
      <w:pPr>
        <w:spacing w:after="0" w:line="240" w:lineRule="auto"/>
        <w:rPr>
          <w:rFonts w:ascii="Cambria Math" w:hAnsi="Cambria Math"/>
          <w:b/>
          <w:sz w:val="32"/>
          <w:szCs w:val="32"/>
        </w:rPr>
      </w:pPr>
    </w:p>
    <w:p w:rsidR="005510BF" w:rsidRDefault="005510BF" w:rsidP="001E2EA1">
      <w:pPr>
        <w:spacing w:after="0" w:line="240" w:lineRule="auto"/>
        <w:rPr>
          <w:rFonts w:ascii="Cambria Math" w:hAnsi="Cambria Math"/>
          <w:b/>
          <w:sz w:val="32"/>
          <w:szCs w:val="32"/>
        </w:rPr>
      </w:pPr>
    </w:p>
    <w:p w:rsidR="005510BF" w:rsidRDefault="005510BF" w:rsidP="001E2EA1">
      <w:pPr>
        <w:spacing w:after="0" w:line="240" w:lineRule="auto"/>
        <w:rPr>
          <w:rFonts w:ascii="Cambria Math" w:hAnsi="Cambria Math"/>
          <w:b/>
          <w:sz w:val="32"/>
          <w:szCs w:val="32"/>
        </w:rPr>
      </w:pPr>
    </w:p>
    <w:p w:rsidR="005510BF" w:rsidRDefault="005510BF" w:rsidP="001E2EA1">
      <w:pPr>
        <w:spacing w:after="0" w:line="240" w:lineRule="auto"/>
        <w:rPr>
          <w:rFonts w:ascii="Cambria Math" w:hAnsi="Cambria Math"/>
          <w:b/>
          <w:sz w:val="32"/>
          <w:szCs w:val="32"/>
        </w:rPr>
      </w:pPr>
    </w:p>
    <w:p w:rsidR="005510BF" w:rsidRDefault="005510BF" w:rsidP="001E2EA1">
      <w:pPr>
        <w:spacing w:after="0" w:line="240" w:lineRule="auto"/>
        <w:rPr>
          <w:rFonts w:ascii="Cambria Math" w:hAnsi="Cambria Math"/>
          <w:b/>
          <w:sz w:val="32"/>
          <w:szCs w:val="32"/>
        </w:rPr>
      </w:pPr>
    </w:p>
    <w:p w:rsidR="005510BF" w:rsidRDefault="005510BF" w:rsidP="001E2EA1">
      <w:pPr>
        <w:spacing w:after="0" w:line="240" w:lineRule="auto"/>
        <w:rPr>
          <w:rFonts w:ascii="Cambria Math" w:hAnsi="Cambria Math"/>
          <w:b/>
          <w:sz w:val="32"/>
          <w:szCs w:val="32"/>
        </w:rPr>
      </w:pPr>
    </w:p>
    <w:p w:rsidR="005510BF" w:rsidRDefault="005510BF" w:rsidP="001E2EA1">
      <w:pPr>
        <w:spacing w:after="0" w:line="240" w:lineRule="auto"/>
        <w:rPr>
          <w:rFonts w:ascii="Cambria Math" w:hAnsi="Cambria Math"/>
          <w:b/>
          <w:sz w:val="32"/>
          <w:szCs w:val="32"/>
        </w:rPr>
      </w:pPr>
    </w:p>
    <w:p w:rsidR="005510BF" w:rsidRDefault="005510BF" w:rsidP="001E2EA1">
      <w:pPr>
        <w:spacing w:after="0" w:line="240" w:lineRule="auto"/>
        <w:rPr>
          <w:rFonts w:ascii="Cambria Math" w:hAnsi="Cambria Math"/>
          <w:b/>
          <w:sz w:val="32"/>
          <w:szCs w:val="32"/>
        </w:rPr>
      </w:pPr>
    </w:p>
    <w:p w:rsidR="00C80010" w:rsidRPr="00885831" w:rsidRDefault="00C80010" w:rsidP="00C80010">
      <w:pPr>
        <w:pStyle w:val="Prrafodelista"/>
        <w:spacing w:after="0" w:line="240" w:lineRule="auto"/>
        <w:ind w:left="1080"/>
        <w:jc w:val="both"/>
        <w:rPr>
          <w:rFonts w:ascii="Cambria Math" w:hAnsi="Cambria Math"/>
          <w:sz w:val="24"/>
          <w:szCs w:val="24"/>
        </w:rPr>
      </w:pPr>
      <w:bookmarkStart w:id="0" w:name="_GoBack"/>
      <w:bookmarkEnd w:id="0"/>
    </w:p>
    <w:sectPr w:rsidR="00C80010" w:rsidRPr="00885831" w:rsidSect="00E10AA4">
      <w:footerReference w:type="default" r:id="rId10"/>
      <w:pgSz w:w="12240" w:h="15840"/>
      <w:pgMar w:top="851" w:right="851" w:bottom="851" w:left="851" w:header="708" w:footer="708" w:gutter="0"/>
      <w:pgNumType w:start="16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124" w:rsidRDefault="00EC4124" w:rsidP="004929AC">
      <w:pPr>
        <w:spacing w:after="0" w:line="240" w:lineRule="auto"/>
      </w:pPr>
      <w:r>
        <w:separator/>
      </w:r>
    </w:p>
  </w:endnote>
  <w:endnote w:type="continuationSeparator" w:id="0">
    <w:p w:rsidR="00EC4124" w:rsidRDefault="00EC4124" w:rsidP="0049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1525547"/>
      <w:docPartObj>
        <w:docPartGallery w:val="Page Numbers (Bottom of Page)"/>
        <w:docPartUnique/>
      </w:docPartObj>
    </w:sdtPr>
    <w:sdtEndPr/>
    <w:sdtContent>
      <w:p w:rsidR="00885831" w:rsidRDefault="00AE196D">
        <w:pPr>
          <w:pStyle w:val="Piedepgina"/>
          <w:jc w:val="center"/>
        </w:pPr>
        <w:r>
          <w:fldChar w:fldCharType="begin"/>
        </w:r>
        <w:r w:rsidR="00885831">
          <w:instrText>PAGE   \* MERGEFORMAT</w:instrText>
        </w:r>
        <w:r>
          <w:fldChar w:fldCharType="separate"/>
        </w:r>
        <w:r w:rsidR="00160023" w:rsidRPr="00160023">
          <w:rPr>
            <w:noProof/>
            <w:lang w:val="es-ES"/>
          </w:rPr>
          <w:t>168</w:t>
        </w:r>
        <w:r>
          <w:fldChar w:fldCharType="end"/>
        </w:r>
      </w:p>
    </w:sdtContent>
  </w:sdt>
  <w:p w:rsidR="00885831" w:rsidRDefault="008858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124" w:rsidRDefault="00EC4124" w:rsidP="004929AC">
      <w:pPr>
        <w:spacing w:after="0" w:line="240" w:lineRule="auto"/>
      </w:pPr>
      <w:r>
        <w:separator/>
      </w:r>
    </w:p>
  </w:footnote>
  <w:footnote w:type="continuationSeparator" w:id="0">
    <w:p w:rsidR="00EC4124" w:rsidRDefault="00EC4124" w:rsidP="00492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F082C"/>
    <w:multiLevelType w:val="hybridMultilevel"/>
    <w:tmpl w:val="AE22EF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56866"/>
    <w:multiLevelType w:val="multilevel"/>
    <w:tmpl w:val="436CE85C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EastAsia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</w:rPr>
    </w:lvl>
  </w:abstractNum>
  <w:abstractNum w:abstractNumId="2" w15:restartNumberingAfterBreak="0">
    <w:nsid w:val="38956108"/>
    <w:multiLevelType w:val="hybridMultilevel"/>
    <w:tmpl w:val="6C00BA3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7A04E6"/>
    <w:multiLevelType w:val="hybridMultilevel"/>
    <w:tmpl w:val="91D03D56"/>
    <w:lvl w:ilvl="0" w:tplc="3EB40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F4"/>
    <w:rsid w:val="00006FB3"/>
    <w:rsid w:val="00020F3E"/>
    <w:rsid w:val="00091910"/>
    <w:rsid w:val="000A03DA"/>
    <w:rsid w:val="00134DB6"/>
    <w:rsid w:val="001412ED"/>
    <w:rsid w:val="001505C7"/>
    <w:rsid w:val="00155598"/>
    <w:rsid w:val="00160023"/>
    <w:rsid w:val="001756E9"/>
    <w:rsid w:val="00194784"/>
    <w:rsid w:val="001E2EA1"/>
    <w:rsid w:val="00261DFB"/>
    <w:rsid w:val="002C2103"/>
    <w:rsid w:val="002C67BA"/>
    <w:rsid w:val="002D07CC"/>
    <w:rsid w:val="00306876"/>
    <w:rsid w:val="003329CA"/>
    <w:rsid w:val="0039404B"/>
    <w:rsid w:val="003A0AAC"/>
    <w:rsid w:val="00445BC0"/>
    <w:rsid w:val="004929AC"/>
    <w:rsid w:val="004F6E8C"/>
    <w:rsid w:val="00530756"/>
    <w:rsid w:val="005510BF"/>
    <w:rsid w:val="00554D66"/>
    <w:rsid w:val="00582B89"/>
    <w:rsid w:val="0058750B"/>
    <w:rsid w:val="00590F35"/>
    <w:rsid w:val="005E2C6A"/>
    <w:rsid w:val="00622ABE"/>
    <w:rsid w:val="00656666"/>
    <w:rsid w:val="00664203"/>
    <w:rsid w:val="00664A13"/>
    <w:rsid w:val="006A7D96"/>
    <w:rsid w:val="006F5B14"/>
    <w:rsid w:val="00706FB1"/>
    <w:rsid w:val="007074F4"/>
    <w:rsid w:val="00711331"/>
    <w:rsid w:val="007302A9"/>
    <w:rsid w:val="007A5972"/>
    <w:rsid w:val="00804BED"/>
    <w:rsid w:val="00813828"/>
    <w:rsid w:val="00823A56"/>
    <w:rsid w:val="00840286"/>
    <w:rsid w:val="0086632E"/>
    <w:rsid w:val="00885831"/>
    <w:rsid w:val="008E4590"/>
    <w:rsid w:val="0094185D"/>
    <w:rsid w:val="009C3FAC"/>
    <w:rsid w:val="009C4CF4"/>
    <w:rsid w:val="009E7E27"/>
    <w:rsid w:val="009F683E"/>
    <w:rsid w:val="00A66B1A"/>
    <w:rsid w:val="00A82FBF"/>
    <w:rsid w:val="00A90A45"/>
    <w:rsid w:val="00AE196D"/>
    <w:rsid w:val="00B06854"/>
    <w:rsid w:val="00B60E3D"/>
    <w:rsid w:val="00C16A9A"/>
    <w:rsid w:val="00C501A2"/>
    <w:rsid w:val="00C74662"/>
    <w:rsid w:val="00C80010"/>
    <w:rsid w:val="00D079C3"/>
    <w:rsid w:val="00D52ADD"/>
    <w:rsid w:val="00D67182"/>
    <w:rsid w:val="00DB4C99"/>
    <w:rsid w:val="00DE46AF"/>
    <w:rsid w:val="00DF23E4"/>
    <w:rsid w:val="00DF269A"/>
    <w:rsid w:val="00E10AA4"/>
    <w:rsid w:val="00E2639A"/>
    <w:rsid w:val="00E74399"/>
    <w:rsid w:val="00E8222F"/>
    <w:rsid w:val="00EC4124"/>
    <w:rsid w:val="00EF073C"/>
    <w:rsid w:val="00F6709F"/>
    <w:rsid w:val="00FB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1034B2-BE58-48DD-8A51-69E35927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B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074F4"/>
    <w:rPr>
      <w:color w:val="808080"/>
    </w:rPr>
  </w:style>
  <w:style w:type="table" w:styleId="Tablaconcuadrcula">
    <w:name w:val="Table Grid"/>
    <w:basedOn w:val="Tablanormal"/>
    <w:uiPriority w:val="39"/>
    <w:rsid w:val="0013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1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7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50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929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9AC"/>
  </w:style>
  <w:style w:type="paragraph" w:styleId="Piedepgina">
    <w:name w:val="footer"/>
    <w:basedOn w:val="Normal"/>
    <w:link w:val="PiedepginaCar"/>
    <w:uiPriority w:val="99"/>
    <w:unhideWhenUsed/>
    <w:rsid w:val="004929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0E"/>
    <w:rsid w:val="00EB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B2A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escom</dc:creator>
  <cp:lastModifiedBy>escom</cp:lastModifiedBy>
  <cp:revision>2</cp:revision>
  <dcterms:created xsi:type="dcterms:W3CDTF">2018-06-07T21:09:00Z</dcterms:created>
  <dcterms:modified xsi:type="dcterms:W3CDTF">2018-06-07T21:09:00Z</dcterms:modified>
</cp:coreProperties>
</file>