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after="240"/>
      </w:pPr>
      <w:r>
        <w:rPr>
          <w:rFonts w:ascii="Arial" w:hAnsi="Arial"/>
          <w:b/>
          <w:color w:val="2879BF"/>
          <w:sz w:val="20"/>
        </w:rPr>
        <w:t>DOCUMENTACIÓN DEL SISTEMA</w:t>
      </w:r>
    </w:p>
    <w:p>
      <w:pPr>
        <w:pStyle w:val="Title"/>
        <w:spacing w:after="200"/>
      </w:pPr>
      <w:r>
        <w:t>Proyecto AW</w:t>
        <w:br/>
        <w:t>Guía técnica de los proyectos y sus métodos</w:t>
      </w:r>
    </w:p>
    <w:p>
      <w:pPr>
        <w:spacing w:after="360"/>
      </w:pPr>
      <w:r>
        <w:rPr>
          <w:rFonts w:ascii="Arial" w:hAnsi="Arial"/>
          <w:color w:val="66778A"/>
          <w:sz w:val="28"/>
        </w:rPr>
        <w:t>Backend administrativo, API y aplicación web móvil para operadores</w:t>
      </w:r>
    </w:p>
    <w:p>
      <w:r>
        <w:rPr>
          <w:rFonts w:ascii="Arial" w:hAnsi="Arial"/>
          <w:color w:val="66778A"/>
          <w:sz w:val="18"/>
        </w:rPr>
        <w:t>Edición de referencia  ·  19 de octubre de 2026</w:t>
      </w:r>
    </w:p>
    <w:p>
      <w:pPr>
        <w:pStyle w:val="Heading1"/>
      </w:pPr>
      <w:r>
        <w:t>Qué explica esta guía</w:t>
      </w:r>
    </w:p>
    <w:p>
      <w:r>
        <w:rPr>
          <w:i w:val="0"/>
        </w:rPr>
        <w:t>Este documento sirve para entender dónde vive cada responsabilidad, cómo fluye una guía desde su creación hasta el movimiento de stock y cómo ampliar el sistema sin duplicar lógica. La conclusión principal es sencilla: ProjectAW es la fuente de verdad para reglas, persistencia y seguridad; ProjectAW.PWA sirve la interfaz del operador y conversa con esa API por HTTP/JSON, sin implementar controladores de negocio propios.</w:t>
      </w:r>
    </w:p>
    <w:tbl>
      <w:tblPr>
        <w:tblW w:type="auto" w:w="0"/>
        <w:jc w:val="center"/>
        <w:tblLook w:firstColumn="1" w:firstRow="1" w:lastColumn="0" w:lastRow="0" w:noHBand="0" w:noVBand="1" w:val="04A0"/>
        <w:tblBorders>
          <w:top w:val="single" w:sz="5" w:space="0" w:color="D4DEE8"/>
          <w:left w:val="single" w:sz="5" w:space="0" w:color="D4DEE8"/>
          <w:bottom w:val="single" w:sz="5" w:space="0" w:color="D4DEE8"/>
          <w:right w:val="single" w:sz="5" w:space="0" w:color="D4DEE8"/>
          <w:insideH w:val="single" w:sz="5" w:space="0" w:color="D4DEE8"/>
          <w:insideV w:val="single" w:sz="5" w:space="0" w:color="D4DEE8"/>
        </w:tblBorders>
      </w:tblPr>
      <w:tblGrid>
        <w:gridCol w:w="9994"/>
      </w:tblGrid>
      <w:tr>
        <w:tc>
          <w:tcPr>
            <w:tcW w:type="dxa" w:w="9994"/>
            <w:shd w:fill="EDF4FA"/>
            <w:tcMar>
              <w:top w:w="130" w:type="dxa"/>
              <w:start w:w="160" w:type="dxa"/>
              <w:bottom w:w="130" w:type="dxa"/>
              <w:end w:w="160" w:type="dxa"/>
            </w:tcMar>
          </w:tcPr>
          <w:p>
            <w:pPr>
              <w:spacing w:after="20"/>
            </w:pPr>
            <w:r/>
            <w:r>
              <w:rPr>
                <w:rFonts w:ascii="Arial" w:hAnsi="Arial"/>
                <w:b/>
                <w:color w:val="123E67"/>
                <w:sz w:val="18"/>
              </w:rPr>
              <w:t xml:space="preserve">Alcance  </w:t>
            </w:r>
            <w:r>
              <w:rPr>
                <w:rFonts w:ascii="Arial" w:hAnsi="Arial"/>
                <w:sz w:val="18"/>
              </w:rPr>
              <w:t>Se describe la implementación actual observada en el repositorio, con ejemplos adaptados para reutilizar sus patrones. Los ejemplos son orientativos: antes de pegarlos en producción se deben ajustar al caso y validar permisos, contratos y migraciones.</w:t>
            </w:r>
          </w:p>
        </w:tc>
      </w:tr>
    </w:tbl>
    <w:p>
      <w:pPr>
        <w:spacing w:after="0"/>
      </w:pPr>
    </w:p>
    <w:p>
      <w:pPr>
        <w:pStyle w:val="Heading2"/>
      </w:pPr>
      <w:r>
        <w:t>Mapa rápido</w:t>
      </w:r>
    </w:p>
    <w:tbl>
      <w:tblPr>
        <w:tblW w:type="auto" w:w="0"/>
        <w:jc w:val="center"/>
        <w:tblLayout w:type="fixed"/>
        <w:tblLook w:firstColumn="1" w:firstRow="1" w:lastColumn="0" w:lastRow="0" w:noHBand="0" w:noVBand="1" w:val="04A0"/>
        <w:tblBorders>
          <w:top w:val="single" w:sz="5" w:space="0" w:color="D4DEE8"/>
          <w:left w:val="single" w:sz="5" w:space="0" w:color="D4DEE8"/>
          <w:bottom w:val="single" w:sz="5" w:space="0" w:color="D4DEE8"/>
          <w:right w:val="single" w:sz="5" w:space="0" w:color="D4DEE8"/>
          <w:insideH w:val="single" w:sz="5" w:space="0" w:color="D4DEE8"/>
          <w:insideV w:val="single" w:sz="5" w:space="0" w:color="D4DEE8"/>
        </w:tblBorders>
      </w:tblPr>
      <w:tblGrid>
        <w:gridCol w:w="4997"/>
        <w:gridCol w:w="4997"/>
      </w:tblGrid>
      <w:tr>
        <w:trPr>
          <w:tblHeader w:val="true"/>
        </w:trPr>
        <w:tc>
          <w:tcPr>
            <w:tcW w:type="dxa" w:w="2232"/>
            <w:vAlign w:val="center"/>
            <w:tcMar>
              <w:top w:w="90" w:type="dxa"/>
              <w:start w:w="110" w:type="dxa"/>
              <w:bottom w:w="90" w:type="dxa"/>
              <w:end w:w="110" w:type="dxa"/>
            </w:tcMar>
            <w:shd w:fill="123E67"/>
          </w:tcPr>
          <w:p>
            <w:pPr>
              <w:spacing w:after="0" w:line="252" w:lineRule="auto"/>
            </w:pPr>
            <w:r/>
            <w:r>
              <w:rPr>
                <w:rFonts w:ascii="Arial" w:hAnsi="Arial"/>
                <w:b/>
                <w:color w:val="FFFFFF"/>
                <w:sz w:val="16"/>
              </w:rPr>
              <w:t>Parte</w:t>
            </w:r>
          </w:p>
        </w:tc>
        <w:tc>
          <w:tcPr>
            <w:tcW w:type="dxa" w:w="7992"/>
            <w:vAlign w:val="center"/>
            <w:tcMar>
              <w:top w:w="90" w:type="dxa"/>
              <w:start w:w="110" w:type="dxa"/>
              <w:bottom w:w="90" w:type="dxa"/>
              <w:end w:w="110" w:type="dxa"/>
            </w:tcMar>
            <w:shd w:fill="123E67"/>
          </w:tcPr>
          <w:p>
            <w:pPr>
              <w:spacing w:after="0" w:line="252" w:lineRule="auto"/>
            </w:pPr>
            <w:r/>
            <w:r>
              <w:rPr>
                <w:rFonts w:ascii="Arial" w:hAnsi="Arial"/>
                <w:b/>
                <w:color w:val="FFFFFF"/>
                <w:sz w:val="16"/>
              </w:rPr>
              <w:t>Responsabilidad</w:t>
            </w:r>
          </w:p>
        </w:tc>
      </w:tr>
      <w:tr>
        <w:tc>
          <w:tcPr>
            <w:tcW w:type="dxa" w:w="2232"/>
            <w:vAlign w:val="center"/>
            <w:tcMar>
              <w:top w:w="90" w:type="dxa"/>
              <w:start w:w="110" w:type="dxa"/>
              <w:bottom w:w="90" w:type="dxa"/>
              <w:end w:w="110" w:type="dxa"/>
            </w:tcMar>
          </w:tcPr>
          <w:p>
            <w:pPr>
              <w:spacing w:after="0" w:line="252" w:lineRule="auto"/>
            </w:pPr>
            <w:r/>
            <w:r>
              <w:rPr>
                <w:rFonts w:ascii="Arial" w:hAnsi="Arial"/>
                <w:b w:val="0"/>
                <w:color w:val="1E2935"/>
                <w:sz w:val="16"/>
              </w:rPr>
              <w:t>ProjectAW</w:t>
            </w:r>
          </w:p>
        </w:tc>
        <w:tc>
          <w:tcPr>
            <w:tcW w:type="dxa" w:w="7992"/>
            <w:vAlign w:val="center"/>
            <w:tcMar>
              <w:top w:w="90" w:type="dxa"/>
              <w:start w:w="110" w:type="dxa"/>
              <w:bottom w:w="90" w:type="dxa"/>
              <w:end w:w="110" w:type="dxa"/>
            </w:tcMar>
          </w:tcPr>
          <w:p>
            <w:pPr>
              <w:spacing w:after="0" w:line="252" w:lineRule="auto"/>
            </w:pPr>
            <w:r/>
            <w:r>
              <w:rPr>
                <w:rFonts w:ascii="Arial" w:hAnsi="Arial"/>
                <w:b w:val="0"/>
                <w:color w:val="1E2935"/>
                <w:sz w:val="16"/>
              </w:rPr>
              <w:t>Aplicación ASP.NET Core MVC y API. Reglas de guías, autenticación, acceso a SQL Server, lecturas, stock, movimientos y vistas de administración.</w:t>
            </w:r>
          </w:p>
        </w:tc>
      </w:tr>
      <w:tr>
        <w:tc>
          <w:tcPr>
            <w:tcW w:type="dxa" w:w="2232"/>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ProjectAW.PWA</w:t>
            </w:r>
          </w:p>
        </w:tc>
        <w:tc>
          <w:tcPr>
            <w:tcW w:type="dxa" w:w="7992"/>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Aplicación ASP.NET Core mínima que publica archivos estáticos HTML, CSS y JavaScript para operadores. No contiene DbContext ni controladores API propios.</w:t>
            </w:r>
          </w:p>
        </w:tc>
      </w:tr>
      <w:tr>
        <w:tc>
          <w:tcPr>
            <w:tcW w:type="dxa" w:w="2232"/>
            <w:vAlign w:val="center"/>
            <w:tcMar>
              <w:top w:w="90" w:type="dxa"/>
              <w:start w:w="110" w:type="dxa"/>
              <w:bottom w:w="90" w:type="dxa"/>
              <w:end w:w="110" w:type="dxa"/>
            </w:tcMar>
          </w:tcPr>
          <w:p>
            <w:pPr>
              <w:spacing w:after="0" w:line="252" w:lineRule="auto"/>
            </w:pPr>
            <w:r/>
            <w:r>
              <w:rPr>
                <w:rFonts w:ascii="Arial" w:hAnsi="Arial"/>
                <w:b w:val="0"/>
                <w:color w:val="1E2935"/>
                <w:sz w:val="16"/>
              </w:rPr>
              <w:t>Navegador del operador</w:t>
            </w:r>
          </w:p>
        </w:tc>
        <w:tc>
          <w:tcPr>
            <w:tcW w:type="dxa" w:w="7992"/>
            <w:vAlign w:val="center"/>
            <w:tcMar>
              <w:top w:w="90" w:type="dxa"/>
              <w:start w:w="110" w:type="dxa"/>
              <w:bottom w:w="90" w:type="dxa"/>
              <w:end w:w="110" w:type="dxa"/>
            </w:tcMar>
          </w:tcPr>
          <w:p>
            <w:pPr>
              <w:spacing w:after="0" w:line="252" w:lineRule="auto"/>
            </w:pPr>
            <w:r/>
            <w:r>
              <w:rPr>
                <w:rFonts w:ascii="Arial" w:hAnsi="Arial"/>
                <w:b w:val="0"/>
                <w:color w:val="1E2935"/>
                <w:sz w:val="16"/>
              </w:rPr>
              <w:t>Ejecuta módulos ES de JavaScript. Usa fetch contra la URL de ProjectAW; envía la cookie de sesión con credentials: include.</w:t>
            </w:r>
          </w:p>
        </w:tc>
      </w:tr>
      <w:tr>
        <w:tc>
          <w:tcPr>
            <w:tcW w:type="dxa" w:w="2232"/>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SQL Server</w:t>
            </w:r>
          </w:p>
        </w:tc>
        <w:tc>
          <w:tcPr>
            <w:tcW w:type="dxa" w:w="7992"/>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Guarda catálogos, guías, detalle, lecturas, existencias y movimientos; EF Core materializa consultas y aplica cambios.</w:t>
            </w:r>
          </w:p>
        </w:tc>
      </w:tr>
    </w:tbl>
    <w:p>
      <w:pPr>
        <w:spacing w:after="0"/>
      </w:pPr>
    </w:p>
    <w:p>
      <w:pPr>
        <w:spacing w:before="60" w:after="160" w:line="240" w:lineRule="auto"/>
        <w:ind w:left="173" w:right="115"/>
        <w:shd w:fill="F1F5F9"/>
        <w:pBdr>
          <w:left w:val="single" w:sz="18" w:space="7" w:color="2879BF"/>
        </w:pBdr>
      </w:pPr>
      <w:r>
        <w:rPr>
          <w:rFonts w:ascii="Consolas" w:hAnsi="Consolas" w:eastAsia="Consolas"/>
          <w:color w:val="23364A"/>
          <w:sz w:val="16"/>
        </w:rPr>
        <w:t>Operador → navegador/PWA → HTTPS fetch + cookie → ProjectAW API → servicios/repositorios → EF Core → SQL Server</w:t>
      </w:r>
    </w:p>
    <w:p>
      <w:r>
        <w:br w:type="page"/>
      </w:r>
    </w:p>
    <w:p>
      <w:pPr>
        <w:pStyle w:val="Heading1"/>
      </w:pPr>
      <w:r>
        <w:t>1. Los dos proyectos y cómo se comunican</w:t>
      </w:r>
    </w:p>
    <w:p>
      <w:pPr>
        <w:pStyle w:val="Heading2"/>
      </w:pPr>
      <w:r>
        <w:t>ProjectAW como backend y panel administrativo</w:t>
      </w:r>
    </w:p>
    <w:p>
      <w:r>
        <w:rPr>
          <w:i w:val="0"/>
        </w:rPr>
        <w:t>ProjectAW es el proyecto con acceso a la base de datos y con controladores MVC/API. El panel de administración crea y consulta información; las APIs publican contratos JSON para el panel y para otros clientes autorizados. Las reglas no deben depender de que el navegador las aplique: se validan de nuevo en servicios y repositorios.</w:t>
      </w:r>
    </w:p>
    <w:p>
      <w:pPr>
        <w:pStyle w:val="ListBullet"/>
        <w:spacing w:after="40"/>
      </w:pPr>
      <w:r>
        <w:t>Tecnología comprobada en el proyecto: ASP.NET Core MVC, Entity Framework Core 10, SQL Server y Swagger disponible en desarrollo.</w:t>
      </w:r>
    </w:p>
    <w:p>
      <w:pPr>
        <w:pStyle w:val="ListBullet"/>
        <w:spacing w:after="40"/>
      </w:pPr>
      <w:r>
        <w:t>El punto de entrada Program.cs registra controladores/vistas, CORS, autenticación por cookies, rate limiter para inicio de sesión, servicios, repositorios y AppDbContext.</w:t>
      </w:r>
    </w:p>
    <w:p>
      <w:pPr>
        <w:pStyle w:val="ListBullet"/>
        <w:spacing w:after="40"/>
      </w:pPr>
      <w:r>
        <w:t>AppDbContext agrega configuraciones por ensamblado y declara secuencias SQL para los números de guía.</w:t>
      </w:r>
    </w:p>
    <w:p>
      <w:pPr>
        <w:pStyle w:val="Heading2"/>
      </w:pPr>
      <w:r>
        <w:t>ProjectAW.PWA como cliente web móvil</w:t>
      </w:r>
    </w:p>
    <w:p>
      <w:r>
        <w:rPr>
          <w:i w:val="0"/>
        </w:rPr>
        <w:t>ProjectAW.PWA se publica en su propio host (en desarrollo, https://localhost:7144). Program.cs solo configura HTTPS, archivos por defecto y StaticFiles. Al abrir la raíz sirve el login estático. Las pantallas operativas son archivos HTML y cada archivo carga un módulo JavaScript.</w:t>
      </w:r>
    </w:p>
    <w:p>
      <w:pPr>
        <w:pStyle w:val="ListBullet"/>
        <w:spacing w:after="40"/>
      </w:pPr>
      <w:r>
        <w:t>No tiene referencia al proyecto ProjectAW, no registra un DbContext y no contiene endpoints de negocio propios.</w:t>
      </w:r>
    </w:p>
    <w:p>
      <w:pPr>
        <w:pStyle w:val="ListBullet"/>
        <w:spacing w:after="40"/>
      </w:pPr>
      <w:r>
        <w:t>El JavaScript llama a fetch desde el navegador hacia https://localhost:7054, según wwwroot/config/api-config.js.</w:t>
      </w:r>
    </w:p>
    <w:p>
      <w:pPr>
        <w:pStyle w:val="ListBullet"/>
        <w:spacing w:after="40"/>
      </w:pPr>
      <w:r>
        <w:t>Que haya dos hosts no significa que la PWA “llame internamente” a un controlador suyo: las llamadas cruzan la red HTTP y llegan al backend API.</w:t>
      </w:r>
    </w:p>
    <w:p>
      <w:pPr>
        <w:pStyle w:val="ListBullet"/>
        <w:spacing w:after="40"/>
      </w:pPr>
      <w:r>
        <w:t>El host de la PWA sigue siendo un servidor ASP.NET, pero su función es servir recursos estáticos. No es una segunda API de negocio.</w:t>
      </w:r>
    </w:p>
    <w:p>
      <w:pPr>
        <w:pStyle w:val="Heading2"/>
      </w:pPr>
      <w:r>
        <w:t>Ejemplo del cliente HTTP</w:t>
      </w:r>
    </w:p>
    <w:p>
      <w:pPr>
        <w:spacing w:before="60" w:after="160" w:line="240" w:lineRule="auto"/>
        <w:ind w:left="173" w:right="115"/>
        <w:shd w:fill="F1F5F9"/>
        <w:pBdr>
          <w:left w:val="single" w:sz="18" w:space="7" w:color="2879BF"/>
        </w:pBdr>
      </w:pPr>
      <w:r>
        <w:rPr>
          <w:rFonts w:ascii="Consolas" w:hAnsi="Consolas" w:eastAsia="Consolas"/>
          <w:color w:val="23364A"/>
          <w:sz w:val="16"/>
        </w:rPr>
        <w:t>// api-client.js</w:t>
        <w:br/>
        <w:t>const response = await fetch(`${apiBaseUrl}/api/guias?idEstadoGuia=1`, {</w:t>
        <w:br/>
        <w:t xml:space="preserve">  method: "GET",</w:t>
        <w:br/>
        <w:t xml:space="preserve">  credentials: "include",</w:t>
        <w:br/>
        <w:t xml:space="preserve">  headers: { Accept: "application/json, application/problem+json" }</w:t>
        <w:br/>
        <w:t>});</w:t>
        <w:br/>
        <w:t>const data = await response.json();</w:t>
      </w:r>
    </w:p>
    <w:p>
      <w:r>
        <w:rPr>
          <w:i w:val="0"/>
        </w:rPr>
        <w:t>El navegador obtiene el JSON desde la API y la interfaz crea las tarjetas. Si el usuario no tiene sesión o rol apropiado, el backend responde 401/403 y la PWA redirige o muestra un mensaje. CORS permite que el navegador lea una respuesta entre orígenes; por sí solo no autentica ni concede permisos.</w:t>
      </w:r>
    </w:p>
    <w:p>
      <w:pPr>
        <w:pStyle w:val="Heading2"/>
      </w:pPr>
      <w:r>
        <w:t>Desarrollo local</w:t>
      </w:r>
    </w:p>
    <w:tbl>
      <w:tblPr>
        <w:tblW w:type="auto" w:w="0"/>
        <w:jc w:val="center"/>
        <w:tblLayout w:type="fixed"/>
        <w:tblLook w:firstColumn="1" w:firstRow="1" w:lastColumn="0" w:lastRow="0" w:noHBand="0" w:noVBand="1" w:val="04A0"/>
        <w:tblBorders>
          <w:top w:val="single" w:sz="5" w:space="0" w:color="D4DEE8"/>
          <w:left w:val="single" w:sz="5" w:space="0" w:color="D4DEE8"/>
          <w:bottom w:val="single" w:sz="5" w:space="0" w:color="D4DEE8"/>
          <w:right w:val="single" w:sz="5" w:space="0" w:color="D4DEE8"/>
          <w:insideH w:val="single" w:sz="5" w:space="0" w:color="D4DEE8"/>
          <w:insideV w:val="single" w:sz="5" w:space="0" w:color="D4DEE8"/>
        </w:tblBorders>
      </w:tblPr>
      <w:tblGrid>
        <w:gridCol w:w="4997"/>
        <w:gridCol w:w="4997"/>
      </w:tblGrid>
      <w:tr>
        <w:trPr>
          <w:tblHeader w:val="true"/>
        </w:trPr>
        <w:tc>
          <w:tcPr>
            <w:tcW w:type="dxa" w:w="2232"/>
            <w:vAlign w:val="center"/>
            <w:tcMar>
              <w:top w:w="90" w:type="dxa"/>
              <w:start w:w="110" w:type="dxa"/>
              <w:bottom w:w="90" w:type="dxa"/>
              <w:end w:w="110" w:type="dxa"/>
            </w:tcMar>
            <w:shd w:fill="123E67"/>
          </w:tcPr>
          <w:p>
            <w:pPr>
              <w:spacing w:after="0" w:line="252" w:lineRule="auto"/>
            </w:pPr>
            <w:r/>
            <w:r>
              <w:rPr>
                <w:rFonts w:ascii="Arial" w:hAnsi="Arial"/>
                <w:b/>
                <w:color w:val="FFFFFF"/>
                <w:sz w:val="16"/>
              </w:rPr>
              <w:t>Proceso</w:t>
            </w:r>
          </w:p>
        </w:tc>
        <w:tc>
          <w:tcPr>
            <w:tcW w:type="dxa" w:w="7992"/>
            <w:vAlign w:val="center"/>
            <w:tcMar>
              <w:top w:w="90" w:type="dxa"/>
              <w:start w:w="110" w:type="dxa"/>
              <w:bottom w:w="90" w:type="dxa"/>
              <w:end w:w="110" w:type="dxa"/>
            </w:tcMar>
            <w:shd w:fill="123E67"/>
          </w:tcPr>
          <w:p>
            <w:pPr>
              <w:spacing w:after="0" w:line="252" w:lineRule="auto"/>
            </w:pPr>
            <w:r/>
            <w:r>
              <w:rPr>
                <w:rFonts w:ascii="Arial" w:hAnsi="Arial"/>
                <w:b/>
                <w:color w:val="FFFFFF"/>
                <w:sz w:val="16"/>
              </w:rPr>
              <w:t>Perfil / URL de desarrollo</w:t>
            </w:r>
          </w:p>
        </w:tc>
      </w:tr>
      <w:tr>
        <w:tc>
          <w:tcPr>
            <w:tcW w:type="dxa" w:w="2232"/>
            <w:vAlign w:val="center"/>
            <w:tcMar>
              <w:top w:w="90" w:type="dxa"/>
              <w:start w:w="110" w:type="dxa"/>
              <w:bottom w:w="90" w:type="dxa"/>
              <w:end w:w="110" w:type="dxa"/>
            </w:tcMar>
          </w:tcPr>
          <w:p>
            <w:pPr>
              <w:spacing w:after="0" w:line="252" w:lineRule="auto"/>
            </w:pPr>
            <w:r/>
            <w:r>
              <w:rPr>
                <w:rFonts w:ascii="Arial" w:hAnsi="Arial"/>
                <w:b w:val="0"/>
                <w:color w:val="1E2935"/>
                <w:sz w:val="16"/>
              </w:rPr>
              <w:t>ProjectAW API</w:t>
            </w:r>
          </w:p>
        </w:tc>
        <w:tc>
          <w:tcPr>
            <w:tcW w:type="dxa" w:w="7992"/>
            <w:vAlign w:val="center"/>
            <w:tcMar>
              <w:top w:w="90" w:type="dxa"/>
              <w:start w:w="110" w:type="dxa"/>
              <w:bottom w:w="90" w:type="dxa"/>
              <w:end w:w="110" w:type="dxa"/>
            </w:tcMar>
          </w:tcPr>
          <w:p>
            <w:pPr>
              <w:spacing w:after="0" w:line="252" w:lineRule="auto"/>
            </w:pPr>
            <w:r/>
            <w:r>
              <w:rPr>
                <w:rFonts w:ascii="Arial" w:hAnsi="Arial"/>
                <w:b w:val="0"/>
                <w:color w:val="1E2935"/>
                <w:sz w:val="16"/>
              </w:rPr>
              <w:t>HTTPS: https://localhost:7054 (HTTP: http://localhost:5016).</w:t>
            </w:r>
          </w:p>
        </w:tc>
      </w:tr>
      <w:tr>
        <w:tc>
          <w:tcPr>
            <w:tcW w:type="dxa" w:w="2232"/>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ProjectAW.PWA</w:t>
            </w:r>
          </w:p>
        </w:tc>
        <w:tc>
          <w:tcPr>
            <w:tcW w:type="dxa" w:w="7992"/>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HTTPS: https://localhost:7144 (HTTP: http://localhost:5144).</w:t>
            </w:r>
          </w:p>
        </w:tc>
      </w:tr>
      <w:tr>
        <w:tc>
          <w:tcPr>
            <w:tcW w:type="dxa" w:w="2232"/>
            <w:vAlign w:val="center"/>
            <w:tcMar>
              <w:top w:w="90" w:type="dxa"/>
              <w:start w:w="110" w:type="dxa"/>
              <w:bottom w:w="90" w:type="dxa"/>
              <w:end w:w="110" w:type="dxa"/>
            </w:tcMar>
          </w:tcPr>
          <w:p>
            <w:pPr>
              <w:spacing w:after="0" w:line="252" w:lineRule="auto"/>
            </w:pPr>
            <w:r/>
            <w:r>
              <w:rPr>
                <w:rFonts w:ascii="Arial" w:hAnsi="Arial"/>
                <w:b w:val="0"/>
                <w:color w:val="1E2935"/>
                <w:sz w:val="16"/>
              </w:rPr>
              <w:t>Origen permitido</w:t>
            </w:r>
          </w:p>
        </w:tc>
        <w:tc>
          <w:tcPr>
            <w:tcW w:type="dxa" w:w="7992"/>
            <w:vAlign w:val="center"/>
            <w:tcMar>
              <w:top w:w="90" w:type="dxa"/>
              <w:start w:w="110" w:type="dxa"/>
              <w:bottom w:w="90" w:type="dxa"/>
              <w:end w:w="110" w:type="dxa"/>
            </w:tcMar>
          </w:tcPr>
          <w:p>
            <w:pPr>
              <w:spacing w:after="0" w:line="252" w:lineRule="auto"/>
            </w:pPr>
            <w:r/>
            <w:r>
              <w:rPr>
                <w:rFonts w:ascii="Arial" w:hAnsi="Arial"/>
                <w:b w:val="0"/>
                <w:color w:val="1E2935"/>
                <w:sz w:val="16"/>
              </w:rPr>
              <w:t>En el perfil HTTPS del backend: Cors__AllowedOrigins__0=https://localhost:7144.</w:t>
            </w:r>
          </w:p>
        </w:tc>
      </w:tr>
    </w:tbl>
    <w:p>
      <w:pPr>
        <w:spacing w:after="0"/>
      </w:pPr>
    </w:p>
    <w:tbl>
      <w:tblPr>
        <w:tblW w:type="auto" w:w="0"/>
        <w:jc w:val="center"/>
        <w:tblLook w:firstColumn="1" w:firstRow="1" w:lastColumn="0" w:lastRow="0" w:noHBand="0" w:noVBand="1" w:val="04A0"/>
        <w:tblBorders>
          <w:top w:val="single" w:sz="5" w:space="0" w:color="D4DEE8"/>
          <w:left w:val="single" w:sz="5" w:space="0" w:color="D4DEE8"/>
          <w:bottom w:val="single" w:sz="5" w:space="0" w:color="D4DEE8"/>
          <w:right w:val="single" w:sz="5" w:space="0" w:color="D4DEE8"/>
          <w:insideH w:val="single" w:sz="5" w:space="0" w:color="D4DEE8"/>
          <w:insideV w:val="single" w:sz="5" w:space="0" w:color="D4DEE8"/>
        </w:tblBorders>
      </w:tblPr>
      <w:tblGrid>
        <w:gridCol w:w="9994"/>
      </w:tblGrid>
      <w:tr>
        <w:tc>
          <w:tcPr>
            <w:tcW w:type="dxa" w:w="9994"/>
            <w:shd w:fill="EDF4FA"/>
            <w:tcMar>
              <w:top w:w="130" w:type="dxa"/>
              <w:start w:w="160" w:type="dxa"/>
              <w:bottom w:w="130" w:type="dxa"/>
              <w:end w:w="160" w:type="dxa"/>
            </w:tcMar>
          </w:tcPr>
          <w:p>
            <w:pPr>
              <w:spacing w:after="20"/>
            </w:pPr>
            <w:r/>
            <w:r>
              <w:rPr>
                <w:rFonts w:ascii="Arial" w:hAnsi="Arial"/>
                <w:b/>
                <w:color w:val="123E67"/>
                <w:sz w:val="18"/>
              </w:rPr>
              <w:t xml:space="preserve">Inicio conjunto  </w:t>
            </w:r>
            <w:r>
              <w:rPr>
                <w:rFonts w:ascii="Arial" w:hAnsi="Arial"/>
                <w:sz w:val="18"/>
              </w:rPr>
              <w:t>En Visual Studio, configura ProjectAW y ProjectAW.PWA como proyectos de inicio múltiples. La URL de la API de producción se configura en api-config.js; nunca se debe dejar vacía al desplegar.</w:t>
            </w:r>
          </w:p>
        </w:tc>
      </w:tr>
    </w:tbl>
    <w:p>
      <w:pPr>
        <w:spacing w:after="0"/>
      </w:pPr>
    </w:p>
    <w:p>
      <w:r>
        <w:br w:type="page"/>
      </w:r>
    </w:p>
    <w:p>
      <w:pPr>
        <w:pStyle w:val="Heading1"/>
      </w:pPr>
      <w:r>
        <w:t>2. Capas del backend y por qué se usan</w:t>
      </w:r>
    </w:p>
    <w:tbl>
      <w:tblPr>
        <w:tblW w:type="auto" w:w="0"/>
        <w:jc w:val="center"/>
        <w:tblLayout w:type="fixed"/>
        <w:tblLook w:firstColumn="1" w:firstRow="1" w:lastColumn="0" w:lastRow="0" w:noHBand="0" w:noVBand="1" w:val="04A0"/>
        <w:tblBorders>
          <w:top w:val="single" w:sz="5" w:space="0" w:color="D4DEE8"/>
          <w:left w:val="single" w:sz="5" w:space="0" w:color="D4DEE8"/>
          <w:bottom w:val="single" w:sz="5" w:space="0" w:color="D4DEE8"/>
          <w:right w:val="single" w:sz="5" w:space="0" w:color="D4DEE8"/>
          <w:insideH w:val="single" w:sz="5" w:space="0" w:color="D4DEE8"/>
          <w:insideV w:val="single" w:sz="5" w:space="0" w:color="D4DEE8"/>
        </w:tblBorders>
      </w:tblPr>
      <w:tblGrid>
        <w:gridCol w:w="3331"/>
        <w:gridCol w:w="3331"/>
        <w:gridCol w:w="3331"/>
      </w:tblGrid>
      <w:tr>
        <w:trPr>
          <w:tblHeader w:val="true"/>
        </w:trPr>
        <w:tc>
          <w:tcPr>
            <w:tcW w:type="dxa" w:w="1656"/>
            <w:vAlign w:val="center"/>
            <w:tcMar>
              <w:top w:w="90" w:type="dxa"/>
              <w:start w:w="110" w:type="dxa"/>
              <w:bottom w:w="90" w:type="dxa"/>
              <w:end w:w="110" w:type="dxa"/>
            </w:tcMar>
            <w:shd w:fill="123E67"/>
          </w:tcPr>
          <w:p>
            <w:pPr>
              <w:spacing w:after="0" w:line="252" w:lineRule="auto"/>
            </w:pPr>
            <w:r/>
            <w:r>
              <w:rPr>
                <w:rFonts w:ascii="Arial" w:hAnsi="Arial"/>
                <w:b/>
                <w:color w:val="FFFFFF"/>
                <w:sz w:val="16"/>
              </w:rPr>
              <w:t>Capa</w:t>
            </w:r>
          </w:p>
        </w:tc>
        <w:tc>
          <w:tcPr>
            <w:tcW w:type="dxa" w:w="4464"/>
            <w:vAlign w:val="center"/>
            <w:tcMar>
              <w:top w:w="90" w:type="dxa"/>
              <w:start w:w="110" w:type="dxa"/>
              <w:bottom w:w="90" w:type="dxa"/>
              <w:end w:w="110" w:type="dxa"/>
            </w:tcMar>
            <w:shd w:fill="123E67"/>
          </w:tcPr>
          <w:p>
            <w:pPr>
              <w:spacing w:after="0" w:line="252" w:lineRule="auto"/>
            </w:pPr>
            <w:r/>
            <w:r>
              <w:rPr>
                <w:rFonts w:ascii="Arial" w:hAnsi="Arial"/>
                <w:b/>
                <w:color w:val="FFFFFF"/>
                <w:sz w:val="16"/>
              </w:rPr>
              <w:t>Qué hace</w:t>
            </w:r>
          </w:p>
        </w:tc>
        <w:tc>
          <w:tcPr>
            <w:tcW w:type="dxa" w:w="4104"/>
            <w:vAlign w:val="center"/>
            <w:tcMar>
              <w:top w:w="90" w:type="dxa"/>
              <w:start w:w="110" w:type="dxa"/>
              <w:bottom w:w="90" w:type="dxa"/>
              <w:end w:w="110" w:type="dxa"/>
            </w:tcMar>
            <w:shd w:fill="123E67"/>
          </w:tcPr>
          <w:p>
            <w:pPr>
              <w:spacing w:after="0" w:line="252" w:lineRule="auto"/>
            </w:pPr>
            <w:r/>
            <w:r>
              <w:rPr>
                <w:rFonts w:ascii="Arial" w:hAnsi="Arial"/>
                <w:b/>
                <w:color w:val="FFFFFF"/>
                <w:sz w:val="16"/>
              </w:rPr>
              <w:t>Qué evitar</w:t>
            </w:r>
          </w:p>
        </w:tc>
      </w:tr>
      <w:tr>
        <w:tc>
          <w:tcPr>
            <w:tcW w:type="dxa" w:w="1656"/>
            <w:vAlign w:val="center"/>
            <w:tcMar>
              <w:top w:w="90" w:type="dxa"/>
              <w:start w:w="110" w:type="dxa"/>
              <w:bottom w:w="90" w:type="dxa"/>
              <w:end w:w="110" w:type="dxa"/>
            </w:tcMar>
          </w:tcPr>
          <w:p>
            <w:pPr>
              <w:spacing w:after="0" w:line="252" w:lineRule="auto"/>
            </w:pPr>
            <w:r/>
            <w:r>
              <w:rPr>
                <w:rFonts w:ascii="Arial" w:hAnsi="Arial"/>
                <w:b w:val="0"/>
                <w:color w:val="1E2935"/>
                <w:sz w:val="16"/>
              </w:rPr>
              <w:t>Controller</w:t>
            </w:r>
          </w:p>
        </w:tc>
        <w:tc>
          <w:tcPr>
            <w:tcW w:type="dxa" w:w="4464"/>
            <w:vAlign w:val="center"/>
            <w:tcMar>
              <w:top w:w="90" w:type="dxa"/>
              <w:start w:w="110" w:type="dxa"/>
              <w:bottom w:w="90" w:type="dxa"/>
              <w:end w:w="110" w:type="dxa"/>
            </w:tcMar>
          </w:tcPr>
          <w:p>
            <w:pPr>
              <w:spacing w:after="0" w:line="252" w:lineRule="auto"/>
            </w:pPr>
            <w:r/>
            <w:r>
              <w:rPr>
                <w:rFonts w:ascii="Arial" w:hAnsi="Arial"/>
                <w:b w:val="0"/>
                <w:color w:val="1E2935"/>
                <w:sz w:val="16"/>
              </w:rPr>
              <w:t>Recibe HTTP, lee ruta/query/body, llama al servicio y devuelve código/JSON HTTP.</w:t>
            </w:r>
          </w:p>
        </w:tc>
        <w:tc>
          <w:tcPr>
            <w:tcW w:type="dxa" w:w="4104"/>
            <w:vAlign w:val="center"/>
            <w:tcMar>
              <w:top w:w="90" w:type="dxa"/>
              <w:start w:w="110" w:type="dxa"/>
              <w:bottom w:w="90" w:type="dxa"/>
              <w:end w:w="110" w:type="dxa"/>
            </w:tcMar>
          </w:tcPr>
          <w:p>
            <w:pPr>
              <w:spacing w:after="0" w:line="252" w:lineRule="auto"/>
            </w:pPr>
            <w:r/>
            <w:r>
              <w:rPr>
                <w:rFonts w:ascii="Arial" w:hAnsi="Arial"/>
                <w:b w:val="0"/>
                <w:color w:val="1E2935"/>
                <w:sz w:val="16"/>
              </w:rPr>
              <w:t>Reglas complejas, SQL directo y actualización de múltiples entidades.</w:t>
            </w:r>
          </w:p>
        </w:tc>
      </w:tr>
      <w:tr>
        <w:tc>
          <w:tcPr>
            <w:tcW w:type="dxa" w:w="1656"/>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DTO</w:t>
            </w:r>
          </w:p>
        </w:tc>
        <w:tc>
          <w:tcPr>
            <w:tcW w:type="dxa" w:w="4464"/>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Define el contrato de entrada o respuesta y valida campos del request.</w:t>
            </w:r>
          </w:p>
        </w:tc>
        <w:tc>
          <w:tcPr>
            <w:tcW w:type="dxa" w:w="4104"/>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Enviar entidades EF tal cual; acoplar la base al cliente.</w:t>
            </w:r>
          </w:p>
        </w:tc>
      </w:tr>
      <w:tr>
        <w:tc>
          <w:tcPr>
            <w:tcW w:type="dxa" w:w="1656"/>
            <w:vAlign w:val="center"/>
            <w:tcMar>
              <w:top w:w="90" w:type="dxa"/>
              <w:start w:w="110" w:type="dxa"/>
              <w:bottom w:w="90" w:type="dxa"/>
              <w:end w:w="110" w:type="dxa"/>
            </w:tcMar>
          </w:tcPr>
          <w:p>
            <w:pPr>
              <w:spacing w:after="0" w:line="252" w:lineRule="auto"/>
            </w:pPr>
            <w:r/>
            <w:r>
              <w:rPr>
                <w:rFonts w:ascii="Arial" w:hAnsi="Arial"/>
                <w:b w:val="0"/>
                <w:color w:val="1E2935"/>
                <w:sz w:val="16"/>
              </w:rPr>
              <w:t>Service</w:t>
            </w:r>
          </w:p>
        </w:tc>
        <w:tc>
          <w:tcPr>
            <w:tcW w:type="dxa" w:w="4464"/>
            <w:vAlign w:val="center"/>
            <w:tcMar>
              <w:top w:w="90" w:type="dxa"/>
              <w:start w:w="110" w:type="dxa"/>
              <w:bottom w:w="90" w:type="dxa"/>
              <w:end w:w="110" w:type="dxa"/>
            </w:tcMar>
          </w:tcPr>
          <w:p>
            <w:pPr>
              <w:spacing w:after="0" w:line="252" w:lineRule="auto"/>
            </w:pPr>
            <w:r/>
            <w:r>
              <w:rPr>
                <w:rFonts w:ascii="Arial" w:hAnsi="Arial"/>
                <w:b w:val="0"/>
                <w:color w:val="1E2935"/>
                <w:sz w:val="16"/>
              </w:rPr>
              <w:t>Coordina reglas del negocio, permisos de operación y conversión a DTO.</w:t>
            </w:r>
          </w:p>
        </w:tc>
        <w:tc>
          <w:tcPr>
            <w:tcW w:type="dxa" w:w="4104"/>
            <w:vAlign w:val="center"/>
            <w:tcMar>
              <w:top w:w="90" w:type="dxa"/>
              <w:start w:w="110" w:type="dxa"/>
              <w:bottom w:w="90" w:type="dxa"/>
              <w:end w:w="110" w:type="dxa"/>
            </w:tcMar>
          </w:tcPr>
          <w:p>
            <w:pPr>
              <w:spacing w:after="0" w:line="252" w:lineRule="auto"/>
            </w:pPr>
            <w:r/>
            <w:r>
              <w:rPr>
                <w:rFonts w:ascii="Arial" w:hAnsi="Arial"/>
                <w:b w:val="0"/>
                <w:color w:val="1E2935"/>
                <w:sz w:val="16"/>
              </w:rPr>
              <w:t>Confiar únicamente en validaciones HTML/JavaScript.</w:t>
            </w:r>
          </w:p>
        </w:tc>
      </w:tr>
      <w:tr>
        <w:tc>
          <w:tcPr>
            <w:tcW w:type="dxa" w:w="1656"/>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Repository</w:t>
            </w:r>
          </w:p>
        </w:tc>
        <w:tc>
          <w:tcPr>
            <w:tcW w:type="dxa" w:w="4464"/>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Consulta y actualiza EF Core; concentra filtros, Includes, transacciones y SaveChanges.</w:t>
            </w:r>
          </w:p>
        </w:tc>
        <w:tc>
          <w:tcPr>
            <w:tcW w:type="dxa" w:w="4104"/>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Duplicar consultas SQL en varios controladores.</w:t>
            </w:r>
          </w:p>
        </w:tc>
      </w:tr>
      <w:tr>
        <w:tc>
          <w:tcPr>
            <w:tcW w:type="dxa" w:w="1656"/>
            <w:vAlign w:val="center"/>
            <w:tcMar>
              <w:top w:w="90" w:type="dxa"/>
              <w:start w:w="110" w:type="dxa"/>
              <w:bottom w:w="90" w:type="dxa"/>
              <w:end w:w="110" w:type="dxa"/>
            </w:tcMar>
          </w:tcPr>
          <w:p>
            <w:pPr>
              <w:spacing w:after="0" w:line="252" w:lineRule="auto"/>
            </w:pPr>
            <w:r/>
            <w:r>
              <w:rPr>
                <w:rFonts w:ascii="Arial" w:hAnsi="Arial"/>
                <w:b w:val="0"/>
                <w:color w:val="1E2935"/>
                <w:sz w:val="16"/>
              </w:rPr>
              <w:t>Entity + Configuration</w:t>
            </w:r>
          </w:p>
        </w:tc>
        <w:tc>
          <w:tcPr>
            <w:tcW w:type="dxa" w:w="4464"/>
            <w:vAlign w:val="center"/>
            <w:tcMar>
              <w:top w:w="90" w:type="dxa"/>
              <w:start w:w="110" w:type="dxa"/>
              <w:bottom w:w="90" w:type="dxa"/>
              <w:end w:w="110" w:type="dxa"/>
            </w:tcMar>
          </w:tcPr>
          <w:p>
            <w:pPr>
              <w:spacing w:after="0" w:line="252" w:lineRule="auto"/>
            </w:pPr>
            <w:r/>
            <w:r>
              <w:rPr>
                <w:rFonts w:ascii="Arial" w:hAnsi="Arial"/>
                <w:b w:val="0"/>
                <w:color w:val="1E2935"/>
                <w:sz w:val="16"/>
              </w:rPr>
              <w:t>Representa persistencia y restricciones de esquema/relación.</w:t>
            </w:r>
          </w:p>
        </w:tc>
        <w:tc>
          <w:tcPr>
            <w:tcW w:type="dxa" w:w="4104"/>
            <w:vAlign w:val="center"/>
            <w:tcMar>
              <w:top w:w="90" w:type="dxa"/>
              <w:start w:w="110" w:type="dxa"/>
              <w:bottom w:w="90" w:type="dxa"/>
              <w:end w:w="110" w:type="dxa"/>
            </w:tcMar>
          </w:tcPr>
          <w:p>
            <w:pPr>
              <w:spacing w:after="0" w:line="252" w:lineRule="auto"/>
            </w:pPr>
            <w:r/>
            <w:r>
              <w:rPr>
                <w:rFonts w:ascii="Arial" w:hAnsi="Arial"/>
                <w:b w:val="0"/>
                <w:color w:val="1E2935"/>
                <w:sz w:val="16"/>
              </w:rPr>
              <w:t>Usar la entidad como formato público por comodidad.</w:t>
            </w:r>
          </w:p>
        </w:tc>
      </w:tr>
      <w:tr>
        <w:tc>
          <w:tcPr>
            <w:tcW w:type="dxa" w:w="1656"/>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DbContext</w:t>
            </w:r>
          </w:p>
        </w:tc>
        <w:tc>
          <w:tcPr>
            <w:tcW w:type="dxa" w:w="4464"/>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Unidad de trabajo de EF y puente a SQL Server.</w:t>
            </w:r>
          </w:p>
        </w:tc>
        <w:tc>
          <w:tcPr>
            <w:tcW w:type="dxa" w:w="4104"/>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Instanciar contextos manualmente en cada request.</w:t>
            </w:r>
          </w:p>
        </w:tc>
      </w:tr>
    </w:tbl>
    <w:p>
      <w:pPr>
        <w:spacing w:after="0"/>
      </w:pPr>
    </w:p>
    <w:p>
      <w:pPr>
        <w:pStyle w:val="Heading2"/>
      </w:pPr>
      <w:r>
        <w:t>Inyección de dependencias</w:t>
      </w:r>
    </w:p>
    <w:p>
      <w:r>
        <w:rPr>
          <w:i w:val="0"/>
        </w:rPr>
        <w:t>Program.cs registra implementaciones por interfaz con AddScoped. Scoped crea una instancia por solicitud HTTP, que encaja con el ciclo de vida de AppDbContext. Un servicio depende de una interfaz de repositorio y el controller de una interfaz de servicio: eso reduce el acoplamiento y permite cambiar o simular una implementación sin reescribir el consumidor.</w:t>
      </w:r>
    </w:p>
    <w:p>
      <w:pPr>
        <w:spacing w:before="60" w:after="160" w:line="240" w:lineRule="auto"/>
        <w:ind w:left="173" w:right="115"/>
        <w:shd w:fill="F1F5F9"/>
        <w:pBdr>
          <w:left w:val="single" w:sz="18" w:space="7" w:color="2879BF"/>
        </w:pBdr>
      </w:pPr>
      <w:r>
        <w:rPr>
          <w:rFonts w:ascii="Consolas" w:hAnsi="Consolas" w:eastAsia="Consolas"/>
          <w:color w:val="23364A"/>
          <w:sz w:val="16"/>
        </w:rPr>
        <w:t>builder.Services.AddScoped&lt;IGuiaRepository, GuiaRepository&gt;();</w:t>
        <w:br/>
        <w:t>builder.Services.AddScoped&lt;IGuiaService, GuiaService&gt;();</w:t>
        <w:br/>
        <w:br/>
        <w:t>public GuiasApiController(IGuiaService service) =&gt; _service = service;</w:t>
      </w:r>
    </w:p>
    <w:p>
      <w:pPr>
        <w:pStyle w:val="Heading2"/>
      </w:pPr>
      <w:r>
        <w:t>Asincronía y CancellationToken</w:t>
      </w:r>
    </w:p>
    <w:p>
      <w:r>
        <w:rPr>
          <w:i w:val="0"/>
        </w:rPr>
        <w:t>Los métodos de base de datos usan Task/async/await (`ToListAsync`, `SaveChangesAsync`) para no bloquear un hilo ASP.NET mientras SQL trabaja. Los controladores reciben CancellationToken y lo pasan al servicio/repositorio; si el cliente cancela o la solicitud vence, la consulta puede detenerse. Se evita `.Result` o `.Wait()`, que bloquean hilos y pueden empeorar la concurrencia.</w:t>
      </w:r>
    </w:p>
    <w:p>
      <w:pPr>
        <w:spacing w:before="60" w:after="160" w:line="240" w:lineRule="auto"/>
        <w:ind w:left="173" w:right="115"/>
        <w:shd w:fill="F1F5F9"/>
        <w:pBdr>
          <w:left w:val="single" w:sz="18" w:space="7" w:color="2879BF"/>
        </w:pBdr>
      </w:pPr>
      <w:r>
        <w:rPr>
          <w:rFonts w:ascii="Consolas" w:hAnsi="Consolas" w:eastAsia="Consolas"/>
          <w:color w:val="23364A"/>
          <w:sz w:val="16"/>
        </w:rPr>
        <w:t>public async Task&lt;IActionResult&gt; Listar(CancellationToken ct)</w:t>
        <w:br/>
        <w:t xml:space="preserve">    =&gt; Ok(await _service.ListarAsync(idEstadoGuia: 1, ct));</w:t>
      </w:r>
    </w:p>
    <w:p>
      <w:pPr>
        <w:pStyle w:val="Heading2"/>
      </w:pPr>
      <w:r>
        <w:t>Dónde se encuentran las reglas de guías</w:t>
      </w:r>
    </w:p>
    <w:p>
      <w:pPr>
        <w:pStyle w:val="ListBullet"/>
        <w:spacing w:after="40"/>
      </w:pPr>
      <w:r>
        <w:t>GuiasApiController: rutas HTTP `api/guias` y respuesta HTTP (GET, POST, PUT, cancelar).</w:t>
      </w:r>
    </w:p>
    <w:p>
      <w:pPr>
        <w:pStyle w:val="ListBullet"/>
        <w:spacing w:after="40"/>
      </w:pPr>
      <w:r>
        <w:t>GuiaService: valida operación, relaciones, productos, cantidades y estado antes de crear/editar/cancelar.</w:t>
      </w:r>
    </w:p>
    <w:p>
      <w:pPr>
        <w:pStyle w:val="ListBullet"/>
        <w:spacing w:after="40"/>
      </w:pPr>
      <w:r>
        <w:t>GuiaRepository: hace consultas EF, secuencias y persistencia.</w:t>
      </w:r>
    </w:p>
    <w:p>
      <w:pPr>
        <w:pStyle w:val="ListBullet"/>
        <w:spacing w:after="40"/>
      </w:pPr>
      <w:r>
        <w:t>GuiaResponse y requests: separan el contrato HTTP de `CabeceraGuia` y `DetalleGuia`.</w:t>
      </w:r>
    </w:p>
    <w:p>
      <w:pPr>
        <w:pStyle w:val="Heading2"/>
      </w:pPr>
      <w:r>
        <w:t>Módulos funcionales</w:t>
      </w:r>
    </w:p>
    <w:tbl>
      <w:tblPr>
        <w:tblW w:type="auto" w:w="0"/>
        <w:jc w:val="center"/>
        <w:tblLayout w:type="fixed"/>
        <w:tblLook w:firstColumn="1" w:firstRow="1" w:lastColumn="0" w:lastRow="0" w:noHBand="0" w:noVBand="1" w:val="04A0"/>
        <w:tblBorders>
          <w:top w:val="single" w:sz="5" w:space="0" w:color="D4DEE8"/>
          <w:left w:val="single" w:sz="5" w:space="0" w:color="D4DEE8"/>
          <w:bottom w:val="single" w:sz="5" w:space="0" w:color="D4DEE8"/>
          <w:right w:val="single" w:sz="5" w:space="0" w:color="D4DEE8"/>
          <w:insideH w:val="single" w:sz="5" w:space="0" w:color="D4DEE8"/>
          <w:insideV w:val="single" w:sz="5" w:space="0" w:color="D4DEE8"/>
        </w:tblBorders>
      </w:tblPr>
      <w:tblGrid>
        <w:gridCol w:w="4997"/>
        <w:gridCol w:w="4997"/>
      </w:tblGrid>
      <w:tr>
        <w:trPr>
          <w:tblHeader w:val="true"/>
        </w:trPr>
        <w:tc>
          <w:tcPr>
            <w:tcW w:type="dxa" w:w="2088"/>
            <w:vAlign w:val="center"/>
            <w:tcMar>
              <w:top w:w="90" w:type="dxa"/>
              <w:start w:w="110" w:type="dxa"/>
              <w:bottom w:w="90" w:type="dxa"/>
              <w:end w:w="110" w:type="dxa"/>
            </w:tcMar>
            <w:shd w:fill="123E67"/>
          </w:tcPr>
          <w:p>
            <w:pPr>
              <w:spacing w:after="0" w:line="252" w:lineRule="auto"/>
            </w:pPr>
            <w:r/>
            <w:r>
              <w:rPr>
                <w:rFonts w:ascii="Arial" w:hAnsi="Arial"/>
                <w:b/>
                <w:color w:val="FFFFFF"/>
                <w:sz w:val="16"/>
              </w:rPr>
              <w:t>Módulo</w:t>
            </w:r>
          </w:p>
        </w:tc>
        <w:tc>
          <w:tcPr>
            <w:tcW w:type="dxa" w:w="8136"/>
            <w:vAlign w:val="center"/>
            <w:tcMar>
              <w:top w:w="90" w:type="dxa"/>
              <w:start w:w="110" w:type="dxa"/>
              <w:bottom w:w="90" w:type="dxa"/>
              <w:end w:w="110" w:type="dxa"/>
            </w:tcMar>
            <w:shd w:fill="123E67"/>
          </w:tcPr>
          <w:p>
            <w:pPr>
              <w:spacing w:after="0" w:line="252" w:lineRule="auto"/>
            </w:pPr>
            <w:r/>
            <w:r>
              <w:rPr>
                <w:rFonts w:ascii="Arial" w:hAnsi="Arial"/>
                <w:b/>
                <w:color w:val="FFFFFF"/>
                <w:sz w:val="16"/>
              </w:rPr>
              <w:t>Responsabilidad que cubre</w:t>
            </w:r>
          </w:p>
        </w:tc>
      </w:tr>
      <w:tr>
        <w:tc>
          <w:tcPr>
            <w:tcW w:type="dxa" w:w="2088"/>
            <w:vAlign w:val="center"/>
            <w:tcMar>
              <w:top w:w="90" w:type="dxa"/>
              <w:start w:w="110" w:type="dxa"/>
              <w:bottom w:w="90" w:type="dxa"/>
              <w:end w:w="110" w:type="dxa"/>
            </w:tcMar>
          </w:tcPr>
          <w:p>
            <w:pPr>
              <w:spacing w:after="0" w:line="252" w:lineRule="auto"/>
            </w:pPr>
            <w:r/>
            <w:r>
              <w:rPr>
                <w:rFonts w:ascii="Arial" w:hAnsi="Arial"/>
                <w:b w:val="0"/>
                <w:color w:val="1E2935"/>
                <w:sz w:val="16"/>
              </w:rPr>
              <w:t>Guías</w:t>
            </w:r>
          </w:p>
        </w:tc>
        <w:tc>
          <w:tcPr>
            <w:tcW w:type="dxa" w:w="8136"/>
            <w:vAlign w:val="center"/>
            <w:tcMar>
              <w:top w:w="90" w:type="dxa"/>
              <w:start w:w="110" w:type="dxa"/>
              <w:bottom w:w="90" w:type="dxa"/>
              <w:end w:w="110" w:type="dxa"/>
            </w:tcMar>
          </w:tcPr>
          <w:p>
            <w:pPr>
              <w:spacing w:after="0" w:line="252" w:lineRule="auto"/>
            </w:pPr>
            <w:r/>
            <w:r>
              <w:rPr>
                <w:rFonts w:ascii="Arial" w:hAnsi="Arial"/>
                <w:b w:val="0"/>
                <w:color w:val="1E2935"/>
                <w:sz w:val="16"/>
              </w:rPr>
              <w:t>Cabecera y detalles de entrada, salida y traslado; creación, consulta, edición y cancelación según el estado.</w:t>
            </w:r>
          </w:p>
        </w:tc>
      </w:tr>
      <w:tr>
        <w:tc>
          <w:tcPr>
            <w:tcW w:type="dxa" w:w="2088"/>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Maestros</w:t>
            </w:r>
          </w:p>
        </w:tc>
        <w:tc>
          <w:tcPr>
            <w:tcW w:type="dxa" w:w="8136"/>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Productos, categorías, almacenes, ubicaciones, clientes, proveedores, unidades de medida, roles y tipos de documento.</w:t>
            </w:r>
          </w:p>
        </w:tc>
      </w:tr>
      <w:tr>
        <w:tc>
          <w:tcPr>
            <w:tcW w:type="dxa" w:w="2088"/>
            <w:vAlign w:val="center"/>
            <w:tcMar>
              <w:top w:w="90" w:type="dxa"/>
              <w:start w:w="110" w:type="dxa"/>
              <w:bottom w:w="90" w:type="dxa"/>
              <w:end w:w="110" w:type="dxa"/>
            </w:tcMar>
          </w:tcPr>
          <w:p>
            <w:pPr>
              <w:spacing w:after="0" w:line="252" w:lineRule="auto"/>
            </w:pPr>
            <w:r/>
            <w:r>
              <w:rPr>
                <w:rFonts w:ascii="Arial" w:hAnsi="Arial"/>
                <w:b w:val="0"/>
                <w:color w:val="1E2935"/>
                <w:sz w:val="16"/>
              </w:rPr>
              <w:t>Seguridad</w:t>
            </w:r>
          </w:p>
        </w:tc>
        <w:tc>
          <w:tcPr>
            <w:tcW w:type="dxa" w:w="8136"/>
            <w:vAlign w:val="center"/>
            <w:tcMar>
              <w:top w:w="90" w:type="dxa"/>
              <w:start w:w="110" w:type="dxa"/>
              <w:bottom w:w="90" w:type="dxa"/>
              <w:end w:w="110" w:type="dxa"/>
            </w:tcMar>
          </w:tcPr>
          <w:p>
            <w:pPr>
              <w:spacing w:after="0" w:line="252" w:lineRule="auto"/>
            </w:pPr>
            <w:r/>
            <w:r>
              <w:rPr>
                <w:rFonts w:ascii="Arial" w:hAnsi="Arial"/>
                <w:b w:val="0"/>
                <w:color w:val="1E2935"/>
                <w:sz w:val="16"/>
              </w:rPr>
              <w:t>Usuarios, roles, login, logout, claims y sesiones separadas para administrador/operador.</w:t>
            </w:r>
          </w:p>
        </w:tc>
      </w:tr>
      <w:tr>
        <w:tc>
          <w:tcPr>
            <w:tcW w:type="dxa" w:w="2088"/>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Stocks</w:t>
            </w:r>
          </w:p>
        </w:tc>
        <w:tc>
          <w:tcPr>
            <w:tcW w:type="dxa" w:w="8136"/>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Saldo por almacén y ubicación, historial de movimientos y aplicación de lecturas de guías.</w:t>
            </w:r>
          </w:p>
        </w:tc>
      </w:tr>
      <w:tr>
        <w:tc>
          <w:tcPr>
            <w:tcW w:type="dxa" w:w="2088"/>
            <w:vAlign w:val="center"/>
            <w:tcMar>
              <w:top w:w="90" w:type="dxa"/>
              <w:start w:w="110" w:type="dxa"/>
              <w:bottom w:w="90" w:type="dxa"/>
              <w:end w:w="110" w:type="dxa"/>
            </w:tcMar>
          </w:tcPr>
          <w:p>
            <w:pPr>
              <w:spacing w:after="0" w:line="252" w:lineRule="auto"/>
            </w:pPr>
            <w:r/>
            <w:r>
              <w:rPr>
                <w:rFonts w:ascii="Arial" w:hAnsi="Arial"/>
                <w:b w:val="0"/>
                <w:color w:val="1E2935"/>
                <w:sz w:val="16"/>
              </w:rPr>
              <w:t>Operaciones PWA</w:t>
            </w:r>
          </w:p>
        </w:tc>
        <w:tc>
          <w:tcPr>
            <w:tcW w:type="dxa" w:w="8136"/>
            <w:vAlign w:val="center"/>
            <w:tcMar>
              <w:top w:w="90" w:type="dxa"/>
              <w:start w:w="110" w:type="dxa"/>
              <w:bottom w:w="90" w:type="dxa"/>
              <w:end w:w="110" w:type="dxa"/>
            </w:tcMar>
          </w:tcPr>
          <w:p>
            <w:pPr>
              <w:spacing w:after="0" w:line="252" w:lineRule="auto"/>
            </w:pPr>
            <w:r/>
            <w:r>
              <w:rPr>
                <w:rFonts w:ascii="Arial" w:hAnsi="Arial"/>
                <w:b w:val="0"/>
                <w:color w:val="1E2935"/>
                <w:sz w:val="16"/>
              </w:rPr>
              <w:t>Listados por operador, detalle, captura PDA/cámara, historial, avance y confirmación de cierre.</w:t>
            </w:r>
          </w:p>
        </w:tc>
      </w:tr>
    </w:tbl>
    <w:p>
      <w:pPr>
        <w:spacing w:after="0"/>
      </w:pPr>
    </w:p>
    <w:p>
      <w:r>
        <w:rPr>
          <w:i w:val="0"/>
        </w:rPr>
        <w:t>Los maestros suelen repetir el mismo patrón CRUD: controller API con rutas GET/POST/PUT, servicio con reglas y repositorio con EF Core. Las vistas MVC para administración y sus controladores web sirven páginas; las APIs devuelven datos. `ModuleViewLocationExpander` permite organizar vistas por módulo en vez de concentrarlas en una carpeta global.</w:t>
      </w:r>
    </w:p>
    <w:p>
      <w:pPr>
        <w:pStyle w:val="Heading2"/>
      </w:pPr>
      <w:r>
        <w:t>GuiaService métodos principales</w:t>
      </w:r>
    </w:p>
    <w:tbl>
      <w:tblPr>
        <w:tblW w:type="auto" w:w="0"/>
        <w:jc w:val="center"/>
        <w:tblLayout w:type="fixed"/>
        <w:tblLook w:firstColumn="1" w:firstRow="1" w:lastColumn="0" w:lastRow="0" w:noHBand="0" w:noVBand="1" w:val="04A0"/>
        <w:tblBorders>
          <w:top w:val="single" w:sz="5" w:space="0" w:color="D4DEE8"/>
          <w:left w:val="single" w:sz="5" w:space="0" w:color="D4DEE8"/>
          <w:bottom w:val="single" w:sz="5" w:space="0" w:color="D4DEE8"/>
          <w:right w:val="single" w:sz="5" w:space="0" w:color="D4DEE8"/>
          <w:insideH w:val="single" w:sz="5" w:space="0" w:color="D4DEE8"/>
          <w:insideV w:val="single" w:sz="5" w:space="0" w:color="D4DEE8"/>
        </w:tblBorders>
      </w:tblPr>
      <w:tblGrid>
        <w:gridCol w:w="4997"/>
        <w:gridCol w:w="4997"/>
      </w:tblGrid>
      <w:tr>
        <w:trPr>
          <w:tblHeader w:val="true"/>
        </w:trPr>
        <w:tc>
          <w:tcPr>
            <w:tcW w:type="dxa" w:w="2376"/>
            <w:vAlign w:val="center"/>
            <w:tcMar>
              <w:top w:w="90" w:type="dxa"/>
              <w:start w:w="110" w:type="dxa"/>
              <w:bottom w:w="90" w:type="dxa"/>
              <w:end w:w="110" w:type="dxa"/>
            </w:tcMar>
            <w:shd w:fill="123E67"/>
          </w:tcPr>
          <w:p>
            <w:pPr>
              <w:spacing w:after="0" w:line="252" w:lineRule="auto"/>
            </w:pPr>
            <w:r/>
            <w:r>
              <w:rPr>
                <w:rFonts w:ascii="Arial" w:hAnsi="Arial"/>
                <w:b/>
                <w:color w:val="FFFFFF"/>
                <w:sz w:val="16"/>
              </w:rPr>
              <w:t>Método</w:t>
            </w:r>
          </w:p>
        </w:tc>
        <w:tc>
          <w:tcPr>
            <w:tcW w:type="dxa" w:w="7848"/>
            <w:vAlign w:val="center"/>
            <w:tcMar>
              <w:top w:w="90" w:type="dxa"/>
              <w:start w:w="110" w:type="dxa"/>
              <w:bottom w:w="90" w:type="dxa"/>
              <w:end w:w="110" w:type="dxa"/>
            </w:tcMar>
            <w:shd w:fill="123E67"/>
          </w:tcPr>
          <w:p>
            <w:pPr>
              <w:spacing w:after="0" w:line="252" w:lineRule="auto"/>
            </w:pPr>
            <w:r/>
            <w:r>
              <w:rPr>
                <w:rFonts w:ascii="Arial" w:hAnsi="Arial"/>
                <w:b/>
                <w:color w:val="FFFFFF"/>
                <w:sz w:val="16"/>
              </w:rPr>
              <w:t>Uso y motivo</w:t>
            </w:r>
          </w:p>
        </w:tc>
      </w:tr>
      <w:tr>
        <w:tc>
          <w:tcPr>
            <w:tcW w:type="dxa" w:w="2376"/>
            <w:vAlign w:val="center"/>
            <w:tcMar>
              <w:top w:w="90" w:type="dxa"/>
              <w:start w:w="110" w:type="dxa"/>
              <w:bottom w:w="90" w:type="dxa"/>
              <w:end w:w="110" w:type="dxa"/>
            </w:tcMar>
          </w:tcPr>
          <w:p>
            <w:pPr>
              <w:spacing w:after="0" w:line="252" w:lineRule="auto"/>
            </w:pPr>
            <w:r/>
            <w:r>
              <w:rPr>
                <w:rFonts w:ascii="Arial" w:hAnsi="Arial"/>
                <w:b w:val="0"/>
                <w:color w:val="1E2935"/>
                <w:sz w:val="16"/>
              </w:rPr>
              <w:t>CrearAsync</w:t>
            </w:r>
          </w:p>
        </w:tc>
        <w:tc>
          <w:tcPr>
            <w:tcW w:type="dxa" w:w="7848"/>
            <w:vAlign w:val="center"/>
            <w:tcMar>
              <w:top w:w="90" w:type="dxa"/>
              <w:start w:w="110" w:type="dxa"/>
              <w:bottom w:w="90" w:type="dxa"/>
              <w:end w:w="110" w:type="dxa"/>
            </w:tcMar>
          </w:tcPr>
          <w:p>
            <w:pPr>
              <w:spacing w:after="0" w:line="252" w:lineRule="auto"/>
            </w:pPr>
            <w:r/>
            <w:r>
              <w:rPr>
                <w:rFonts w:ascii="Arial" w:hAnsi="Arial"/>
                <w:b w:val="0"/>
                <w:color w:val="1E2935"/>
                <w:sz w:val="16"/>
              </w:rPr>
              <w:t>Valida cabecera, líneas y referencias; genera número; asigna estado Pendiente y usuario creador; guarda y devuelve DTO.</w:t>
            </w:r>
          </w:p>
        </w:tc>
      </w:tr>
      <w:tr>
        <w:tc>
          <w:tcPr>
            <w:tcW w:type="dxa" w:w="2376"/>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ListarAsync</w:t>
            </w:r>
          </w:p>
        </w:tc>
        <w:tc>
          <w:tcPr>
            <w:tcW w:type="dxa" w:w="7848"/>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Aplica filtros opcionales por operación/estado y proyecta cada guía a respuesta.</w:t>
            </w:r>
          </w:p>
        </w:tc>
      </w:tr>
      <w:tr>
        <w:tc>
          <w:tcPr>
            <w:tcW w:type="dxa" w:w="2376"/>
            <w:vAlign w:val="center"/>
            <w:tcMar>
              <w:top w:w="90" w:type="dxa"/>
              <w:start w:w="110" w:type="dxa"/>
              <w:bottom w:w="90" w:type="dxa"/>
              <w:end w:w="110" w:type="dxa"/>
            </w:tcMar>
          </w:tcPr>
          <w:p>
            <w:pPr>
              <w:spacing w:after="0" w:line="252" w:lineRule="auto"/>
            </w:pPr>
            <w:r/>
            <w:r>
              <w:rPr>
                <w:rFonts w:ascii="Arial" w:hAnsi="Arial"/>
                <w:b w:val="0"/>
                <w:color w:val="1E2935"/>
                <w:sz w:val="16"/>
              </w:rPr>
              <w:t>ObtenerPorIdAsync</w:t>
            </w:r>
          </w:p>
        </w:tc>
        <w:tc>
          <w:tcPr>
            <w:tcW w:type="dxa" w:w="7848"/>
            <w:vAlign w:val="center"/>
            <w:tcMar>
              <w:top w:w="90" w:type="dxa"/>
              <w:start w:w="110" w:type="dxa"/>
              <w:bottom w:w="90" w:type="dxa"/>
              <w:end w:w="110" w:type="dxa"/>
            </w:tcMar>
          </w:tcPr>
          <w:p>
            <w:pPr>
              <w:spacing w:after="0" w:line="252" w:lineRule="auto"/>
            </w:pPr>
            <w:r/>
            <w:r>
              <w:rPr>
                <w:rFonts w:ascii="Arial" w:hAnsi="Arial"/>
                <w:b w:val="0"/>
                <w:color w:val="1E2935"/>
                <w:sz w:val="16"/>
              </w:rPr>
              <w:t>Centraliza carga o error 404 y convierte a respuesta.</w:t>
            </w:r>
          </w:p>
        </w:tc>
      </w:tr>
      <w:tr>
        <w:tc>
          <w:tcPr>
            <w:tcW w:type="dxa" w:w="2376"/>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ActualizarAsync</w:t>
            </w:r>
          </w:p>
        </w:tc>
        <w:tc>
          <w:tcPr>
            <w:tcW w:type="dxa" w:w="7848"/>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Solo permite editar Pendiente. Revalida y sustituye detalles para guardar una versión coherente.</w:t>
            </w:r>
          </w:p>
        </w:tc>
      </w:tr>
      <w:tr>
        <w:tc>
          <w:tcPr>
            <w:tcW w:type="dxa" w:w="2376"/>
            <w:vAlign w:val="center"/>
            <w:tcMar>
              <w:top w:w="90" w:type="dxa"/>
              <w:start w:w="110" w:type="dxa"/>
              <w:bottom w:w="90" w:type="dxa"/>
              <w:end w:w="110" w:type="dxa"/>
            </w:tcMar>
          </w:tcPr>
          <w:p>
            <w:pPr>
              <w:spacing w:after="0" w:line="252" w:lineRule="auto"/>
            </w:pPr>
            <w:r/>
            <w:r>
              <w:rPr>
                <w:rFonts w:ascii="Arial" w:hAnsi="Arial"/>
                <w:b w:val="0"/>
                <w:color w:val="1E2935"/>
                <w:sz w:val="16"/>
              </w:rPr>
              <w:t>CancelarAsync</w:t>
            </w:r>
          </w:p>
        </w:tc>
        <w:tc>
          <w:tcPr>
            <w:tcW w:type="dxa" w:w="7848"/>
            <w:vAlign w:val="center"/>
            <w:tcMar>
              <w:top w:w="90" w:type="dxa"/>
              <w:start w:w="110" w:type="dxa"/>
              <w:bottom w:w="90" w:type="dxa"/>
              <w:end w:w="110" w:type="dxa"/>
            </w:tcMar>
          </w:tcPr>
          <w:p>
            <w:pPr>
              <w:spacing w:after="0" w:line="252" w:lineRule="auto"/>
            </w:pPr>
            <w:r/>
            <w:r>
              <w:rPr>
                <w:rFonts w:ascii="Arial" w:hAnsi="Arial"/>
                <w:b w:val="0"/>
                <w:color w:val="1E2935"/>
                <w:sz w:val="16"/>
              </w:rPr>
              <w:t>Solo cancela Pendiente; registra usuario/fecha de modificación y cambia el estado.</w:t>
            </w:r>
          </w:p>
        </w:tc>
      </w:tr>
    </w:tbl>
    <w:p>
      <w:pPr>
        <w:spacing w:after="0"/>
      </w:pPr>
    </w:p>
    <w:tbl>
      <w:tblPr>
        <w:tblW w:type="auto" w:w="0"/>
        <w:jc w:val="center"/>
        <w:tblLook w:firstColumn="1" w:firstRow="1" w:lastColumn="0" w:lastRow="0" w:noHBand="0" w:noVBand="1" w:val="04A0"/>
        <w:tblBorders>
          <w:top w:val="single" w:sz="5" w:space="0" w:color="D4DEE8"/>
          <w:left w:val="single" w:sz="5" w:space="0" w:color="D4DEE8"/>
          <w:bottom w:val="single" w:sz="5" w:space="0" w:color="D4DEE8"/>
          <w:right w:val="single" w:sz="5" w:space="0" w:color="D4DEE8"/>
          <w:insideH w:val="single" w:sz="5" w:space="0" w:color="D4DEE8"/>
          <w:insideV w:val="single" w:sz="5" w:space="0" w:color="D4DEE8"/>
        </w:tblBorders>
      </w:tblPr>
      <w:tblGrid>
        <w:gridCol w:w="9994"/>
      </w:tblGrid>
      <w:tr>
        <w:tc>
          <w:tcPr>
            <w:tcW w:type="dxa" w:w="9994"/>
            <w:shd w:fill="EDF4FA"/>
            <w:tcMar>
              <w:top w:w="130" w:type="dxa"/>
              <w:start w:w="160" w:type="dxa"/>
              <w:bottom w:w="130" w:type="dxa"/>
              <w:end w:w="160" w:type="dxa"/>
            </w:tcMar>
          </w:tcPr>
          <w:p>
            <w:pPr>
              <w:spacing w:after="20"/>
            </w:pPr>
            <w:r/>
            <w:r>
              <w:rPr>
                <w:rFonts w:ascii="Arial" w:hAnsi="Arial"/>
                <w:b/>
                <w:color w:val="123E67"/>
                <w:sz w:val="18"/>
              </w:rPr>
              <w:t xml:space="preserve">Regla importante  </w:t>
            </w:r>
            <w:r>
              <w:rPr>
                <w:rFonts w:ascii="Arial" w:hAnsi="Arial"/>
                <w:sz w:val="18"/>
              </w:rPr>
              <w:t>Las validaciones del servicio son necesarias aunque existan DataAnnotations y controles de pantalla. La API se puede llamar directamente, así que el servidor debe rechazar estados, relaciones o cantidades inválidas.</w:t>
            </w:r>
          </w:p>
        </w:tc>
      </w:tr>
    </w:tbl>
    <w:p>
      <w:pPr>
        <w:spacing w:after="0"/>
      </w:pPr>
    </w:p>
    <w:p>
      <w:r>
        <w:br w:type="page"/>
      </w:r>
    </w:p>
    <w:p>
      <w:pPr>
        <w:pStyle w:val="Heading1"/>
      </w:pPr>
      <w:r>
        <w:t>3. API disponible y contratos relevantes</w:t>
      </w:r>
    </w:p>
    <w:p>
      <w:r>
        <w:rPr>
          <w:i w:val="0"/>
        </w:rPr>
        <w:t>Los controladores API se mapean con autorización global en Program.cs (`MapControllers().RequireAuthorization()`). El login es una excepción explícita con AllowAnonymous. Las rutas de datos de PWA reciben cookies y reglas CORS delimitadas; la API sigue comprobando autenticación y autorización.</w:t>
      </w:r>
    </w:p>
    <w:tbl>
      <w:tblPr>
        <w:tblW w:type="auto" w:w="0"/>
        <w:jc w:val="center"/>
        <w:tblLayout w:type="fixed"/>
        <w:tblLook w:firstColumn="1" w:firstRow="1" w:lastColumn="0" w:lastRow="0" w:noHBand="0" w:noVBand="1" w:val="04A0"/>
        <w:tblBorders>
          <w:top w:val="single" w:sz="5" w:space="0" w:color="D4DEE8"/>
          <w:left w:val="single" w:sz="5" w:space="0" w:color="D4DEE8"/>
          <w:bottom w:val="single" w:sz="5" w:space="0" w:color="D4DEE8"/>
          <w:right w:val="single" w:sz="5" w:space="0" w:color="D4DEE8"/>
          <w:insideH w:val="single" w:sz="5" w:space="0" w:color="D4DEE8"/>
          <w:insideV w:val="single" w:sz="5" w:space="0" w:color="D4DEE8"/>
        </w:tblBorders>
      </w:tblPr>
      <w:tblGrid>
        <w:gridCol w:w="3331"/>
        <w:gridCol w:w="3331"/>
        <w:gridCol w:w="3331"/>
      </w:tblGrid>
      <w:tr>
        <w:trPr>
          <w:tblHeader w:val="true"/>
        </w:trPr>
        <w:tc>
          <w:tcPr>
            <w:tcW w:type="dxa" w:w="2088"/>
            <w:vAlign w:val="center"/>
            <w:tcMar>
              <w:top w:w="90" w:type="dxa"/>
              <w:start w:w="110" w:type="dxa"/>
              <w:bottom w:w="90" w:type="dxa"/>
              <w:end w:w="110" w:type="dxa"/>
            </w:tcMar>
            <w:shd w:fill="123E67"/>
          </w:tcPr>
          <w:p>
            <w:pPr>
              <w:spacing w:after="0" w:line="252" w:lineRule="auto"/>
            </w:pPr>
            <w:r/>
            <w:r>
              <w:rPr>
                <w:rFonts w:ascii="Arial" w:hAnsi="Arial"/>
                <w:b/>
                <w:color w:val="FFFFFF"/>
                <w:sz w:val="15"/>
              </w:rPr>
              <w:t>Área / método</w:t>
            </w:r>
          </w:p>
        </w:tc>
        <w:tc>
          <w:tcPr>
            <w:tcW w:type="dxa" w:w="4104"/>
            <w:vAlign w:val="center"/>
            <w:tcMar>
              <w:top w:w="90" w:type="dxa"/>
              <w:start w:w="110" w:type="dxa"/>
              <w:bottom w:w="90" w:type="dxa"/>
              <w:end w:w="110" w:type="dxa"/>
            </w:tcMar>
            <w:shd w:fill="123E67"/>
          </w:tcPr>
          <w:p>
            <w:pPr>
              <w:spacing w:after="0" w:line="252" w:lineRule="auto"/>
            </w:pPr>
            <w:r/>
            <w:r>
              <w:rPr>
                <w:rFonts w:ascii="Arial" w:hAnsi="Arial"/>
                <w:b/>
                <w:color w:val="FFFFFF"/>
                <w:sz w:val="15"/>
              </w:rPr>
              <w:t>Ruta de ejemplo</w:t>
            </w:r>
          </w:p>
        </w:tc>
        <w:tc>
          <w:tcPr>
            <w:tcW w:type="dxa" w:w="4032"/>
            <w:vAlign w:val="center"/>
            <w:tcMar>
              <w:top w:w="90" w:type="dxa"/>
              <w:start w:w="110" w:type="dxa"/>
              <w:bottom w:w="90" w:type="dxa"/>
              <w:end w:w="110" w:type="dxa"/>
            </w:tcMar>
            <w:shd w:fill="123E67"/>
          </w:tcPr>
          <w:p>
            <w:pPr>
              <w:spacing w:after="0" w:line="252" w:lineRule="auto"/>
            </w:pPr>
            <w:r/>
            <w:r>
              <w:rPr>
                <w:rFonts w:ascii="Arial" w:hAnsi="Arial"/>
                <w:b/>
                <w:color w:val="FFFFFF"/>
                <w:sz w:val="15"/>
              </w:rPr>
              <w:t>Uso</w:t>
            </w:r>
          </w:p>
        </w:tc>
      </w:tr>
      <w:tr>
        <w:tc>
          <w:tcPr>
            <w:tcW w:type="dxa" w:w="2088"/>
            <w:vAlign w:val="center"/>
            <w:tcMar>
              <w:top w:w="90" w:type="dxa"/>
              <w:start w:w="110" w:type="dxa"/>
              <w:bottom w:w="90" w:type="dxa"/>
              <w:end w:w="110" w:type="dxa"/>
            </w:tcMar>
          </w:tcPr>
          <w:p>
            <w:pPr>
              <w:spacing w:after="0" w:line="252" w:lineRule="auto"/>
            </w:pPr>
            <w:r/>
            <w:r>
              <w:rPr>
                <w:rFonts w:ascii="Arial" w:hAnsi="Arial"/>
                <w:b w:val="0"/>
                <w:color w:val="1E2935"/>
                <w:sz w:val="15"/>
              </w:rPr>
              <w:t>Sesión · POST</w:t>
            </w:r>
          </w:p>
        </w:tc>
        <w:tc>
          <w:tcPr>
            <w:tcW w:type="dxa" w:w="4104"/>
            <w:vAlign w:val="center"/>
            <w:tcMar>
              <w:top w:w="90" w:type="dxa"/>
              <w:start w:w="110" w:type="dxa"/>
              <w:bottom w:w="90" w:type="dxa"/>
              <w:end w:w="110" w:type="dxa"/>
            </w:tcMar>
          </w:tcPr>
          <w:p>
            <w:pPr>
              <w:spacing w:after="0" w:line="252" w:lineRule="auto"/>
            </w:pPr>
            <w:r/>
            <w:r>
              <w:rPr>
                <w:rFonts w:ascii="Arial" w:hAnsi="Arial"/>
                <w:b w:val="0"/>
                <w:color w:val="1E2935"/>
                <w:sz w:val="15"/>
              </w:rPr>
              <w:t>/api/auth/login</w:t>
            </w:r>
          </w:p>
        </w:tc>
        <w:tc>
          <w:tcPr>
            <w:tcW w:type="dxa" w:w="4032"/>
            <w:vAlign w:val="center"/>
            <w:tcMar>
              <w:top w:w="90" w:type="dxa"/>
              <w:start w:w="110" w:type="dxa"/>
              <w:bottom w:w="90" w:type="dxa"/>
              <w:end w:w="110" w:type="dxa"/>
            </w:tcMar>
          </w:tcPr>
          <w:p>
            <w:pPr>
              <w:spacing w:after="0" w:line="252" w:lineRule="auto"/>
            </w:pPr>
            <w:r/>
            <w:r>
              <w:rPr>
                <w:rFonts w:ascii="Arial" w:hAnsi="Arial"/>
                <w:b w:val="0"/>
                <w:color w:val="1E2935"/>
                <w:sz w:val="15"/>
              </w:rPr>
              <w:t>Valida credenciales y emite cookie de administrador u operador según rol y origen.</w:t>
            </w:r>
          </w:p>
        </w:tc>
      </w:tr>
      <w:tr>
        <w:tc>
          <w:tcPr>
            <w:tcW w:type="dxa" w:w="2088"/>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Sesión · POST</w:t>
            </w:r>
          </w:p>
        </w:tc>
        <w:tc>
          <w:tcPr>
            <w:tcW w:type="dxa" w:w="4104"/>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/api/auth/logout</w:t>
            </w:r>
          </w:p>
        </w:tc>
        <w:tc>
          <w:tcPr>
            <w:tcW w:type="dxa" w:w="4032"/>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Cierra la cookie del cliente correspondiente.</w:t>
            </w:r>
          </w:p>
        </w:tc>
      </w:tr>
      <w:tr>
        <w:tc>
          <w:tcPr>
            <w:tcW w:type="dxa" w:w="2088"/>
            <w:vAlign w:val="center"/>
            <w:tcMar>
              <w:top w:w="90" w:type="dxa"/>
              <w:start w:w="110" w:type="dxa"/>
              <w:bottom w:w="90" w:type="dxa"/>
              <w:end w:w="110" w:type="dxa"/>
            </w:tcMar>
          </w:tcPr>
          <w:p>
            <w:pPr>
              <w:spacing w:after="0" w:line="252" w:lineRule="auto"/>
            </w:pPr>
            <w:r/>
            <w:r>
              <w:rPr>
                <w:rFonts w:ascii="Arial" w:hAnsi="Arial"/>
                <w:b w:val="0"/>
                <w:color w:val="1E2935"/>
                <w:sz w:val="15"/>
              </w:rPr>
              <w:t>Guías · GET</w:t>
            </w:r>
          </w:p>
        </w:tc>
        <w:tc>
          <w:tcPr>
            <w:tcW w:type="dxa" w:w="4104"/>
            <w:vAlign w:val="center"/>
            <w:tcMar>
              <w:top w:w="90" w:type="dxa"/>
              <w:start w:w="110" w:type="dxa"/>
              <w:bottom w:w="90" w:type="dxa"/>
              <w:end w:w="110" w:type="dxa"/>
            </w:tcMar>
          </w:tcPr>
          <w:p>
            <w:pPr>
              <w:spacing w:after="0" w:line="252" w:lineRule="auto"/>
            </w:pPr>
            <w:r/>
            <w:r>
              <w:rPr>
                <w:rFonts w:ascii="Arial" w:hAnsi="Arial"/>
                <w:b w:val="0"/>
                <w:color w:val="1E2935"/>
                <w:sz w:val="15"/>
              </w:rPr>
              <w:t>/api/guias?idTipoOperacionGuia=1&amp;idEstadoGuia=1</w:t>
            </w:r>
          </w:p>
        </w:tc>
        <w:tc>
          <w:tcPr>
            <w:tcW w:type="dxa" w:w="4032"/>
            <w:vAlign w:val="center"/>
            <w:tcMar>
              <w:top w:w="90" w:type="dxa"/>
              <w:start w:w="110" w:type="dxa"/>
              <w:bottom w:w="90" w:type="dxa"/>
              <w:end w:w="110" w:type="dxa"/>
            </w:tcMar>
          </w:tcPr>
          <w:p>
            <w:pPr>
              <w:spacing w:after="0" w:line="252" w:lineRule="auto"/>
            </w:pPr>
            <w:r/>
            <w:r>
              <w:rPr>
                <w:rFonts w:ascii="Arial" w:hAnsi="Arial"/>
                <w:b w:val="0"/>
                <w:color w:val="1E2935"/>
                <w:sz w:val="15"/>
              </w:rPr>
              <w:t>Lista guías por operación y estado.</w:t>
            </w:r>
          </w:p>
        </w:tc>
      </w:tr>
      <w:tr>
        <w:tc>
          <w:tcPr>
            <w:tcW w:type="dxa" w:w="2088"/>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Guías · GET</w:t>
            </w:r>
          </w:p>
        </w:tc>
        <w:tc>
          <w:tcPr>
            <w:tcW w:type="dxa" w:w="4104"/>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/api/guias/{id}</w:t>
            </w:r>
          </w:p>
        </w:tc>
        <w:tc>
          <w:tcPr>
            <w:tcW w:type="dxa" w:w="4032"/>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Consulta el detalle para mostrar y confirmar una guía.</w:t>
            </w:r>
          </w:p>
        </w:tc>
      </w:tr>
      <w:tr>
        <w:tc>
          <w:tcPr>
            <w:tcW w:type="dxa" w:w="2088"/>
            <w:vAlign w:val="center"/>
            <w:tcMar>
              <w:top w:w="90" w:type="dxa"/>
              <w:start w:w="110" w:type="dxa"/>
              <w:bottom w:w="90" w:type="dxa"/>
              <w:end w:w="110" w:type="dxa"/>
            </w:tcMar>
          </w:tcPr>
          <w:p>
            <w:pPr>
              <w:spacing w:after="0" w:line="252" w:lineRule="auto"/>
            </w:pPr>
            <w:r/>
            <w:r>
              <w:rPr>
                <w:rFonts w:ascii="Arial" w:hAnsi="Arial"/>
                <w:b w:val="0"/>
                <w:color w:val="1E2935"/>
                <w:sz w:val="15"/>
              </w:rPr>
              <w:t>Guías · POST/PUT</w:t>
            </w:r>
          </w:p>
        </w:tc>
        <w:tc>
          <w:tcPr>
            <w:tcW w:type="dxa" w:w="4104"/>
            <w:vAlign w:val="center"/>
            <w:tcMar>
              <w:top w:w="90" w:type="dxa"/>
              <w:start w:w="110" w:type="dxa"/>
              <w:bottom w:w="90" w:type="dxa"/>
              <w:end w:w="110" w:type="dxa"/>
            </w:tcMar>
          </w:tcPr>
          <w:p>
            <w:pPr>
              <w:spacing w:after="0" w:line="252" w:lineRule="auto"/>
            </w:pPr>
            <w:r/>
            <w:r>
              <w:rPr>
                <w:rFonts w:ascii="Arial" w:hAnsi="Arial"/>
                <w:b w:val="0"/>
                <w:color w:val="1E2935"/>
                <w:sz w:val="15"/>
              </w:rPr>
              <w:t>/api/guias y /api/guias/{id}</w:t>
            </w:r>
          </w:p>
        </w:tc>
        <w:tc>
          <w:tcPr>
            <w:tcW w:type="dxa" w:w="4032"/>
            <w:vAlign w:val="center"/>
            <w:tcMar>
              <w:top w:w="90" w:type="dxa"/>
              <w:start w:w="110" w:type="dxa"/>
              <w:bottom w:w="90" w:type="dxa"/>
              <w:end w:w="110" w:type="dxa"/>
            </w:tcMar>
          </w:tcPr>
          <w:p>
            <w:pPr>
              <w:spacing w:after="0" w:line="252" w:lineRule="auto"/>
            </w:pPr>
            <w:r/>
            <w:r>
              <w:rPr>
                <w:rFonts w:ascii="Arial" w:hAnsi="Arial"/>
                <w:b w:val="0"/>
                <w:color w:val="1E2935"/>
                <w:sz w:val="15"/>
              </w:rPr>
              <w:t>Crea y actualiza guías desde el panel que corresponda.</w:t>
            </w:r>
          </w:p>
        </w:tc>
      </w:tr>
      <w:tr>
        <w:tc>
          <w:tcPr>
            <w:tcW w:type="dxa" w:w="2088"/>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Catálogos · GET</w:t>
            </w:r>
          </w:p>
        </w:tc>
        <w:tc>
          <w:tcPr>
            <w:tcW w:type="dxa" w:w="4104"/>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/api/ProductoApi, /api/AlmacenApi, /api/ProveedorApi, /api/ClienteApi</w:t>
            </w:r>
          </w:p>
        </w:tc>
        <w:tc>
          <w:tcPr>
            <w:tcW w:type="dxa" w:w="4032"/>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Carga nombres/datos asociados a IDs.</w:t>
            </w:r>
          </w:p>
        </w:tc>
      </w:tr>
      <w:tr>
        <w:tc>
          <w:tcPr>
            <w:tcW w:type="dxa" w:w="2088"/>
            <w:vAlign w:val="center"/>
            <w:tcMar>
              <w:top w:w="90" w:type="dxa"/>
              <w:start w:w="110" w:type="dxa"/>
              <w:bottom w:w="90" w:type="dxa"/>
              <w:end w:w="110" w:type="dxa"/>
            </w:tcMar>
          </w:tcPr>
          <w:p>
            <w:pPr>
              <w:spacing w:after="0" w:line="252" w:lineRule="auto"/>
            </w:pPr>
            <w:r/>
            <w:r>
              <w:rPr>
                <w:rFonts w:ascii="Arial" w:hAnsi="Arial"/>
                <w:b w:val="0"/>
                <w:color w:val="1E2935"/>
                <w:sz w:val="15"/>
              </w:rPr>
              <w:t>Ubicaciones · GET</w:t>
            </w:r>
          </w:p>
        </w:tc>
        <w:tc>
          <w:tcPr>
            <w:tcW w:type="dxa" w:w="4104"/>
            <w:vAlign w:val="center"/>
            <w:tcMar>
              <w:top w:w="90" w:type="dxa"/>
              <w:start w:w="110" w:type="dxa"/>
              <w:bottom w:w="90" w:type="dxa"/>
              <w:end w:w="110" w:type="dxa"/>
            </w:tcMar>
          </w:tcPr>
          <w:p>
            <w:pPr>
              <w:spacing w:after="0" w:line="252" w:lineRule="auto"/>
            </w:pPr>
            <w:r/>
            <w:r>
              <w:rPr>
                <w:rFonts w:ascii="Arial" w:hAnsi="Arial"/>
                <w:b w:val="0"/>
                <w:color w:val="1E2935"/>
                <w:sz w:val="15"/>
              </w:rPr>
              <w:t>/api/UbicacionApi?idAlmacen=4&amp;soloActivas=true</w:t>
            </w:r>
          </w:p>
        </w:tc>
        <w:tc>
          <w:tcPr>
            <w:tcW w:type="dxa" w:w="4032"/>
            <w:vAlign w:val="center"/>
            <w:tcMar>
              <w:top w:w="90" w:type="dxa"/>
              <w:start w:w="110" w:type="dxa"/>
              <w:bottom w:w="90" w:type="dxa"/>
              <w:end w:w="110" w:type="dxa"/>
            </w:tcMar>
          </w:tcPr>
          <w:p>
            <w:pPr>
              <w:spacing w:after="0" w:line="252" w:lineRule="auto"/>
            </w:pPr>
            <w:r/>
            <w:r>
              <w:rPr>
                <w:rFonts w:ascii="Arial" w:hAnsi="Arial"/>
                <w:b w:val="0"/>
                <w:color w:val="1E2935"/>
                <w:sz w:val="15"/>
              </w:rPr>
              <w:t>Devuelve ubicaciones válidas del almacén.</w:t>
            </w:r>
          </w:p>
        </w:tc>
      </w:tr>
      <w:tr>
        <w:tc>
          <w:tcPr>
            <w:tcW w:type="dxa" w:w="2088"/>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Operador · GET</w:t>
            </w:r>
          </w:p>
        </w:tc>
        <w:tc>
          <w:tcPr>
            <w:tcW w:type="dxa" w:w="4104"/>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/api/simulacion/guias/mias?idEstadoGuia=2</w:t>
            </w:r>
          </w:p>
        </w:tc>
        <w:tc>
          <w:tcPr>
            <w:tcW w:type="dxa" w:w="4032"/>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Lista únicamente las guías del operador autenticado.</w:t>
            </w:r>
          </w:p>
        </w:tc>
      </w:tr>
      <w:tr>
        <w:tc>
          <w:tcPr>
            <w:tcW w:type="dxa" w:w="2088"/>
            <w:vAlign w:val="center"/>
            <w:tcMar>
              <w:top w:w="90" w:type="dxa"/>
              <w:start w:w="110" w:type="dxa"/>
              <w:bottom w:w="90" w:type="dxa"/>
              <w:end w:w="110" w:type="dxa"/>
            </w:tcMar>
          </w:tcPr>
          <w:p>
            <w:pPr>
              <w:spacing w:after="0" w:line="252" w:lineRule="auto"/>
            </w:pPr>
            <w:r/>
            <w:r>
              <w:rPr>
                <w:rFonts w:ascii="Arial" w:hAnsi="Arial"/>
                <w:b w:val="0"/>
                <w:color w:val="1E2935"/>
                <w:sz w:val="15"/>
              </w:rPr>
              <w:t>Operador · GET</w:t>
            </w:r>
          </w:p>
        </w:tc>
        <w:tc>
          <w:tcPr>
            <w:tcW w:type="dxa" w:w="4104"/>
            <w:vAlign w:val="center"/>
            <w:tcMar>
              <w:top w:w="90" w:type="dxa"/>
              <w:start w:w="110" w:type="dxa"/>
              <w:bottom w:w="90" w:type="dxa"/>
              <w:end w:w="110" w:type="dxa"/>
            </w:tcMar>
          </w:tcPr>
          <w:p>
            <w:pPr>
              <w:spacing w:after="0" w:line="252" w:lineRule="auto"/>
            </w:pPr>
            <w:r/>
            <w:r>
              <w:rPr>
                <w:rFonts w:ascii="Arial" w:hAnsi="Arial"/>
                <w:b w:val="0"/>
                <w:color w:val="1E2935"/>
                <w:sz w:val="15"/>
              </w:rPr>
              <w:t>/api/simulacion/guias/mias/{idGuia}</w:t>
            </w:r>
          </w:p>
        </w:tc>
        <w:tc>
          <w:tcPr>
            <w:tcW w:type="dxa" w:w="4032"/>
            <w:vAlign w:val="center"/>
            <w:tcMar>
              <w:top w:w="90" w:type="dxa"/>
              <w:start w:w="110" w:type="dxa"/>
              <w:bottom w:w="90" w:type="dxa"/>
              <w:end w:w="110" w:type="dxa"/>
            </w:tcMar>
          </w:tcPr>
          <w:p>
            <w:pPr>
              <w:spacing w:after="0" w:line="252" w:lineRule="auto"/>
            </w:pPr>
            <w:r/>
            <w:r>
              <w:rPr>
                <w:rFonts w:ascii="Arial" w:hAnsi="Arial"/>
                <w:b w:val="0"/>
                <w:color w:val="1E2935"/>
                <w:sz w:val="15"/>
              </w:rPr>
              <w:t>Detalle sujeto a pertenencia a la guía.</w:t>
            </w:r>
          </w:p>
        </w:tc>
      </w:tr>
      <w:tr>
        <w:tc>
          <w:tcPr>
            <w:tcW w:type="dxa" w:w="2088"/>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Operador · POST</w:t>
            </w:r>
          </w:p>
        </w:tc>
        <w:tc>
          <w:tcPr>
            <w:tcW w:type="dxa" w:w="4104"/>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/api/simulacion/guias/{idGuia}/tomar</w:t>
            </w:r>
          </w:p>
        </w:tc>
        <w:tc>
          <w:tcPr>
            <w:tcW w:type="dxa" w:w="4032"/>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Asigna una guía pendiente al operador actual.</w:t>
            </w:r>
          </w:p>
        </w:tc>
      </w:tr>
      <w:tr>
        <w:tc>
          <w:tcPr>
            <w:tcW w:type="dxa" w:w="2088"/>
            <w:vAlign w:val="center"/>
            <w:tcMar>
              <w:top w:w="90" w:type="dxa"/>
              <w:start w:w="110" w:type="dxa"/>
              <w:bottom w:w="90" w:type="dxa"/>
              <w:end w:w="110" w:type="dxa"/>
            </w:tcMar>
          </w:tcPr>
          <w:p>
            <w:pPr>
              <w:spacing w:after="0" w:line="252" w:lineRule="auto"/>
            </w:pPr>
            <w:r/>
            <w:r>
              <w:rPr>
                <w:rFonts w:ascii="Arial" w:hAnsi="Arial"/>
                <w:b w:val="0"/>
                <w:color w:val="1E2935"/>
                <w:sz w:val="15"/>
              </w:rPr>
              <w:t>Operador · POST/GET</w:t>
            </w:r>
          </w:p>
        </w:tc>
        <w:tc>
          <w:tcPr>
            <w:tcW w:type="dxa" w:w="4104"/>
            <w:vAlign w:val="center"/>
            <w:tcMar>
              <w:top w:w="90" w:type="dxa"/>
              <w:start w:w="110" w:type="dxa"/>
              <w:bottom w:w="90" w:type="dxa"/>
              <w:end w:w="110" w:type="dxa"/>
            </w:tcMar>
          </w:tcPr>
          <w:p>
            <w:pPr>
              <w:spacing w:after="0" w:line="252" w:lineRule="auto"/>
            </w:pPr>
            <w:r/>
            <w:r>
              <w:rPr>
                <w:rFonts w:ascii="Arial" w:hAnsi="Arial"/>
                <w:b w:val="0"/>
                <w:color w:val="1E2935"/>
                <w:sz w:val="15"/>
              </w:rPr>
              <w:t>/api/simulacion/guias/{idGuia}/lecturas</w:t>
            </w:r>
          </w:p>
        </w:tc>
        <w:tc>
          <w:tcPr>
            <w:tcW w:type="dxa" w:w="4032"/>
            <w:vAlign w:val="center"/>
            <w:tcMar>
              <w:top w:w="90" w:type="dxa"/>
              <w:start w:w="110" w:type="dxa"/>
              <w:bottom w:w="90" w:type="dxa"/>
              <w:end w:w="110" w:type="dxa"/>
            </w:tcMar>
          </w:tcPr>
          <w:p>
            <w:pPr>
              <w:spacing w:after="0" w:line="252" w:lineRule="auto"/>
            </w:pPr>
            <w:r/>
            <w:r>
              <w:rPr>
                <w:rFonts w:ascii="Arial" w:hAnsi="Arial"/>
                <w:b w:val="0"/>
                <w:color w:val="1E2935"/>
                <w:sz w:val="15"/>
              </w:rPr>
              <w:t>Persiste una captura o consulta historial.</w:t>
            </w:r>
          </w:p>
        </w:tc>
      </w:tr>
      <w:tr>
        <w:tc>
          <w:tcPr>
            <w:tcW w:type="dxa" w:w="2088"/>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Operador · POST</w:t>
            </w:r>
          </w:p>
        </w:tc>
        <w:tc>
          <w:tcPr>
            <w:tcW w:type="dxa" w:w="4104"/>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/api/simulacion/guias/{idGuia}/finalizar</w:t>
            </w:r>
          </w:p>
        </w:tc>
        <w:tc>
          <w:tcPr>
            <w:tcW w:type="dxa" w:w="4032"/>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Aplica movimientos, existencias y estado en una transacción.</w:t>
            </w:r>
          </w:p>
        </w:tc>
      </w:tr>
      <w:tr>
        <w:tc>
          <w:tcPr>
            <w:tcW w:type="dxa" w:w="2088"/>
            <w:vAlign w:val="center"/>
            <w:tcMar>
              <w:top w:w="90" w:type="dxa"/>
              <w:start w:w="110" w:type="dxa"/>
              <w:bottom w:w="90" w:type="dxa"/>
              <w:end w:w="110" w:type="dxa"/>
            </w:tcMar>
          </w:tcPr>
          <w:p>
            <w:pPr>
              <w:spacing w:after="0" w:line="252" w:lineRule="auto"/>
            </w:pPr>
            <w:r/>
            <w:r>
              <w:rPr>
                <w:rFonts w:ascii="Arial" w:hAnsi="Arial"/>
                <w:b w:val="0"/>
                <w:color w:val="1E2935"/>
                <w:sz w:val="15"/>
              </w:rPr>
              <w:t>Inventario · GET</w:t>
            </w:r>
          </w:p>
        </w:tc>
        <w:tc>
          <w:tcPr>
            <w:tcW w:type="dxa" w:w="4104"/>
            <w:vAlign w:val="center"/>
            <w:tcMar>
              <w:top w:w="90" w:type="dxa"/>
              <w:start w:w="110" w:type="dxa"/>
              <w:bottom w:w="90" w:type="dxa"/>
              <w:end w:w="110" w:type="dxa"/>
            </w:tcMar>
          </w:tcPr>
          <w:p>
            <w:pPr>
              <w:spacing w:after="0" w:line="252" w:lineRule="auto"/>
            </w:pPr>
            <w:r/>
            <w:r>
              <w:rPr>
                <w:rFonts w:ascii="Arial" w:hAnsi="Arial"/>
                <w:b w:val="0"/>
                <w:color w:val="1E2935"/>
                <w:sz w:val="15"/>
              </w:rPr>
              <w:t>/api/stocks?idAlmacen=4&amp;idProducto=23</w:t>
            </w:r>
          </w:p>
        </w:tc>
        <w:tc>
          <w:tcPr>
            <w:tcW w:type="dxa" w:w="4032"/>
            <w:vAlign w:val="center"/>
            <w:tcMar>
              <w:top w:w="90" w:type="dxa"/>
              <w:start w:w="110" w:type="dxa"/>
              <w:bottom w:w="90" w:type="dxa"/>
              <w:end w:w="110" w:type="dxa"/>
            </w:tcMar>
          </w:tcPr>
          <w:p>
            <w:pPr>
              <w:spacing w:after="0" w:line="252" w:lineRule="auto"/>
            </w:pPr>
            <w:r/>
            <w:r>
              <w:rPr>
                <w:rFonts w:ascii="Arial" w:hAnsi="Arial"/>
                <w:b w:val="0"/>
                <w:color w:val="1E2935"/>
                <w:sz w:val="15"/>
              </w:rPr>
              <w:t>Consulta saldos por almacén/producto.</w:t>
            </w:r>
          </w:p>
        </w:tc>
      </w:tr>
      <w:tr>
        <w:tc>
          <w:tcPr>
            <w:tcW w:type="dxa" w:w="2088"/>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Movimientos · GET</w:t>
            </w:r>
          </w:p>
        </w:tc>
        <w:tc>
          <w:tcPr>
            <w:tcW w:type="dxa" w:w="4104"/>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/api/movimientos-stock?idGuia=9</w:t>
            </w:r>
          </w:p>
        </w:tc>
        <w:tc>
          <w:tcPr>
            <w:tcW w:type="dxa" w:w="4032"/>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Consulta trazabilidad histórica con filtros opcionales.</w:t>
            </w:r>
          </w:p>
        </w:tc>
      </w:tr>
    </w:tbl>
    <w:p>
      <w:pPr>
        <w:spacing w:after="0"/>
      </w:pPr>
    </w:p>
    <w:p>
      <w:pPr>
        <w:pStyle w:val="Heading2"/>
      </w:pPr>
      <w:r>
        <w:t>Estados y operaciones</w:t>
      </w:r>
    </w:p>
    <w:tbl>
      <w:tblPr>
        <w:tblW w:type="auto" w:w="0"/>
        <w:jc w:val="center"/>
        <w:tblLayout w:type="fixed"/>
        <w:tblLook w:firstColumn="1" w:firstRow="1" w:lastColumn="0" w:lastRow="0" w:noHBand="0" w:noVBand="1" w:val="04A0"/>
        <w:tblBorders>
          <w:top w:val="single" w:sz="5" w:space="0" w:color="D4DEE8"/>
          <w:left w:val="single" w:sz="5" w:space="0" w:color="D4DEE8"/>
          <w:bottom w:val="single" w:sz="5" w:space="0" w:color="D4DEE8"/>
          <w:right w:val="single" w:sz="5" w:space="0" w:color="D4DEE8"/>
          <w:insideH w:val="single" w:sz="5" w:space="0" w:color="D4DEE8"/>
          <w:insideV w:val="single" w:sz="5" w:space="0" w:color="D4DEE8"/>
        </w:tblBorders>
      </w:tblPr>
      <w:tblGrid>
        <w:gridCol w:w="2498"/>
        <w:gridCol w:w="2498"/>
        <w:gridCol w:w="2498"/>
        <w:gridCol w:w="2498"/>
      </w:tblGrid>
      <w:tr>
        <w:trPr>
          <w:tblHeader w:val="true"/>
        </w:trPr>
        <w:tc>
          <w:tcPr>
            <w:tcW w:type="dxa" w:w="792"/>
            <w:vAlign w:val="center"/>
            <w:tcMar>
              <w:top w:w="90" w:type="dxa"/>
              <w:start w:w="110" w:type="dxa"/>
              <w:bottom w:w="90" w:type="dxa"/>
              <w:end w:w="110" w:type="dxa"/>
            </w:tcMar>
            <w:shd w:fill="123E67"/>
          </w:tcPr>
          <w:p>
            <w:pPr>
              <w:spacing w:after="0" w:line="252" w:lineRule="auto"/>
            </w:pPr>
            <w:r/>
            <w:r>
              <w:rPr>
                <w:rFonts w:ascii="Arial" w:hAnsi="Arial"/>
                <w:b/>
                <w:color w:val="FFFFFF"/>
                <w:sz w:val="16"/>
              </w:rPr>
              <w:t>ID</w:t>
            </w:r>
          </w:p>
        </w:tc>
        <w:tc>
          <w:tcPr>
            <w:tcW w:type="dxa" w:w="3528"/>
            <w:vAlign w:val="center"/>
            <w:tcMar>
              <w:top w:w="90" w:type="dxa"/>
              <w:start w:w="110" w:type="dxa"/>
              <w:bottom w:w="90" w:type="dxa"/>
              <w:end w:w="110" w:type="dxa"/>
            </w:tcMar>
            <w:shd w:fill="123E67"/>
          </w:tcPr>
          <w:p>
            <w:pPr>
              <w:spacing w:after="0" w:line="252" w:lineRule="auto"/>
            </w:pPr>
            <w:r/>
            <w:r>
              <w:rPr>
                <w:rFonts w:ascii="Arial" w:hAnsi="Arial"/>
                <w:b/>
                <w:color w:val="FFFFFF"/>
                <w:sz w:val="16"/>
              </w:rPr>
              <w:t>Operación</w:t>
            </w:r>
          </w:p>
        </w:tc>
        <w:tc>
          <w:tcPr>
            <w:tcW w:type="dxa" w:w="792"/>
            <w:vAlign w:val="center"/>
            <w:tcMar>
              <w:top w:w="90" w:type="dxa"/>
              <w:start w:w="110" w:type="dxa"/>
              <w:bottom w:w="90" w:type="dxa"/>
              <w:end w:w="110" w:type="dxa"/>
            </w:tcMar>
            <w:shd w:fill="123E67"/>
          </w:tcPr>
          <w:p>
            <w:pPr>
              <w:spacing w:after="0" w:line="252" w:lineRule="auto"/>
            </w:pPr>
            <w:r/>
            <w:r>
              <w:rPr>
                <w:rFonts w:ascii="Arial" w:hAnsi="Arial"/>
                <w:b/>
                <w:color w:val="FFFFFF"/>
                <w:sz w:val="16"/>
              </w:rPr>
              <w:t>ID</w:t>
            </w:r>
          </w:p>
        </w:tc>
        <w:tc>
          <w:tcPr>
            <w:tcW w:type="dxa" w:w="5112"/>
            <w:vAlign w:val="center"/>
            <w:tcMar>
              <w:top w:w="90" w:type="dxa"/>
              <w:start w:w="110" w:type="dxa"/>
              <w:bottom w:w="90" w:type="dxa"/>
              <w:end w:w="110" w:type="dxa"/>
            </w:tcMar>
            <w:shd w:fill="123E67"/>
          </w:tcPr>
          <w:p>
            <w:pPr>
              <w:spacing w:after="0" w:line="252" w:lineRule="auto"/>
            </w:pPr>
            <w:r/>
            <w:r>
              <w:rPr>
                <w:rFonts w:ascii="Arial" w:hAnsi="Arial"/>
                <w:b/>
                <w:color w:val="FFFFFF"/>
                <w:sz w:val="16"/>
              </w:rPr>
              <w:t>Estado de guía</w:t>
            </w:r>
          </w:p>
        </w:tc>
      </w:tr>
      <w:tr>
        <w:tc>
          <w:tcPr>
            <w:tcW w:type="dxa" w:w="792"/>
            <w:vAlign w:val="center"/>
            <w:tcMar>
              <w:top w:w="90" w:type="dxa"/>
              <w:start w:w="110" w:type="dxa"/>
              <w:bottom w:w="90" w:type="dxa"/>
              <w:end w:w="110" w:type="dxa"/>
            </w:tcMar>
          </w:tcPr>
          <w:p>
            <w:pPr>
              <w:spacing w:after="0" w:line="252" w:lineRule="auto"/>
            </w:pPr>
            <w:r/>
            <w:r>
              <w:rPr>
                <w:rFonts w:ascii="Arial" w:hAnsi="Arial"/>
                <w:b w:val="0"/>
                <w:color w:val="1E2935"/>
                <w:sz w:val="16"/>
              </w:rPr>
              <w:t>1</w:t>
            </w:r>
          </w:p>
        </w:tc>
        <w:tc>
          <w:tcPr>
            <w:tcW w:type="dxa" w:w="3528"/>
            <w:vAlign w:val="center"/>
            <w:tcMar>
              <w:top w:w="90" w:type="dxa"/>
              <w:start w:w="110" w:type="dxa"/>
              <w:bottom w:w="90" w:type="dxa"/>
              <w:end w:w="110" w:type="dxa"/>
            </w:tcMar>
          </w:tcPr>
          <w:p>
            <w:pPr>
              <w:spacing w:after="0" w:line="252" w:lineRule="auto"/>
            </w:pPr>
            <w:r/>
            <w:r>
              <w:rPr>
                <w:rFonts w:ascii="Arial" w:hAnsi="Arial"/>
                <w:b w:val="0"/>
                <w:color w:val="1E2935"/>
                <w:sz w:val="16"/>
              </w:rPr>
              <w:t>Entrada / Recepción</w:t>
            </w:r>
          </w:p>
        </w:tc>
        <w:tc>
          <w:tcPr>
            <w:tcW w:type="dxa" w:w="792"/>
            <w:vAlign w:val="center"/>
            <w:tcMar>
              <w:top w:w="90" w:type="dxa"/>
              <w:start w:w="110" w:type="dxa"/>
              <w:bottom w:w="90" w:type="dxa"/>
              <w:end w:w="110" w:type="dxa"/>
            </w:tcMar>
          </w:tcPr>
          <w:p>
            <w:pPr>
              <w:spacing w:after="0" w:line="252" w:lineRule="auto"/>
            </w:pPr>
            <w:r/>
            <w:r>
              <w:rPr>
                <w:rFonts w:ascii="Arial" w:hAnsi="Arial"/>
                <w:b w:val="0"/>
                <w:color w:val="1E2935"/>
                <w:sz w:val="16"/>
              </w:rPr>
              <w:t>1</w:t>
            </w:r>
          </w:p>
        </w:tc>
        <w:tc>
          <w:tcPr>
            <w:tcW w:type="dxa" w:w="5112"/>
            <w:vAlign w:val="center"/>
            <w:tcMar>
              <w:top w:w="90" w:type="dxa"/>
              <w:start w:w="110" w:type="dxa"/>
              <w:bottom w:w="90" w:type="dxa"/>
              <w:end w:w="110" w:type="dxa"/>
            </w:tcMar>
          </w:tcPr>
          <w:p>
            <w:pPr>
              <w:spacing w:after="0" w:line="252" w:lineRule="auto"/>
            </w:pPr>
            <w:r/>
            <w:r>
              <w:rPr>
                <w:rFonts w:ascii="Arial" w:hAnsi="Arial"/>
                <w:b w:val="0"/>
                <w:color w:val="1E2935"/>
                <w:sz w:val="16"/>
              </w:rPr>
              <w:t>Pendiente</w:t>
            </w:r>
          </w:p>
        </w:tc>
      </w:tr>
      <w:tr>
        <w:tc>
          <w:tcPr>
            <w:tcW w:type="dxa" w:w="792"/>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2</w:t>
            </w:r>
          </w:p>
        </w:tc>
        <w:tc>
          <w:tcPr>
            <w:tcW w:type="dxa" w:w="3528"/>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Salida / Despacho</w:t>
            </w:r>
          </w:p>
        </w:tc>
        <w:tc>
          <w:tcPr>
            <w:tcW w:type="dxa" w:w="792"/>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2</w:t>
            </w:r>
          </w:p>
        </w:tc>
        <w:tc>
          <w:tcPr>
            <w:tcW w:type="dxa" w:w="5112"/>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En proceso</w:t>
            </w:r>
          </w:p>
        </w:tc>
      </w:tr>
      <w:tr>
        <w:tc>
          <w:tcPr>
            <w:tcW w:type="dxa" w:w="792"/>
            <w:vAlign w:val="center"/>
            <w:tcMar>
              <w:top w:w="90" w:type="dxa"/>
              <w:start w:w="110" w:type="dxa"/>
              <w:bottom w:w="90" w:type="dxa"/>
              <w:end w:w="110" w:type="dxa"/>
            </w:tcMar>
          </w:tcPr>
          <w:p>
            <w:pPr>
              <w:spacing w:after="0" w:line="252" w:lineRule="auto"/>
            </w:pPr>
            <w:r/>
            <w:r>
              <w:rPr>
                <w:rFonts w:ascii="Arial" w:hAnsi="Arial"/>
                <w:b w:val="0"/>
                <w:color w:val="1E2935"/>
                <w:sz w:val="16"/>
              </w:rPr>
              <w:t>3</w:t>
            </w:r>
          </w:p>
        </w:tc>
        <w:tc>
          <w:tcPr>
            <w:tcW w:type="dxa" w:w="3528"/>
            <w:vAlign w:val="center"/>
            <w:tcMar>
              <w:top w:w="90" w:type="dxa"/>
              <w:start w:w="110" w:type="dxa"/>
              <w:bottom w:w="90" w:type="dxa"/>
              <w:end w:w="110" w:type="dxa"/>
            </w:tcMar>
          </w:tcPr>
          <w:p>
            <w:pPr>
              <w:spacing w:after="0" w:line="252" w:lineRule="auto"/>
            </w:pPr>
            <w:r/>
            <w:r>
              <w:rPr>
                <w:rFonts w:ascii="Arial" w:hAnsi="Arial"/>
                <w:b w:val="0"/>
                <w:color w:val="1E2935"/>
                <w:sz w:val="16"/>
              </w:rPr>
              <w:t>Traslado</w:t>
            </w:r>
          </w:p>
        </w:tc>
        <w:tc>
          <w:tcPr>
            <w:tcW w:type="dxa" w:w="792"/>
            <w:vAlign w:val="center"/>
            <w:tcMar>
              <w:top w:w="90" w:type="dxa"/>
              <w:start w:w="110" w:type="dxa"/>
              <w:bottom w:w="90" w:type="dxa"/>
              <w:end w:w="110" w:type="dxa"/>
            </w:tcMar>
          </w:tcPr>
          <w:p>
            <w:pPr>
              <w:spacing w:after="0" w:line="252" w:lineRule="auto"/>
            </w:pPr>
            <w:r/>
            <w:r>
              <w:rPr>
                <w:rFonts w:ascii="Arial" w:hAnsi="Arial"/>
                <w:b w:val="0"/>
                <w:color w:val="1E2935"/>
                <w:sz w:val="16"/>
              </w:rPr>
              <w:t>3</w:t>
            </w:r>
          </w:p>
        </w:tc>
        <w:tc>
          <w:tcPr>
            <w:tcW w:type="dxa" w:w="5112"/>
            <w:vAlign w:val="center"/>
            <w:tcMar>
              <w:top w:w="90" w:type="dxa"/>
              <w:start w:w="110" w:type="dxa"/>
              <w:bottom w:w="90" w:type="dxa"/>
              <w:end w:w="110" w:type="dxa"/>
            </w:tcMar>
          </w:tcPr>
          <w:p>
            <w:pPr>
              <w:spacing w:after="0" w:line="252" w:lineRule="auto"/>
            </w:pPr>
            <w:r/>
            <w:r>
              <w:rPr>
                <w:rFonts w:ascii="Arial" w:hAnsi="Arial"/>
                <w:b w:val="0"/>
                <w:color w:val="1E2935"/>
                <w:sz w:val="16"/>
              </w:rPr>
              <w:t>Atendida</w:t>
            </w:r>
          </w:p>
        </w:tc>
      </w:tr>
      <w:tr>
        <w:tc>
          <w:tcPr>
            <w:tcW w:type="dxa" w:w="792"/>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r>
          </w:p>
        </w:tc>
        <w:tc>
          <w:tcPr>
            <w:tcW w:type="dxa" w:w="3528"/>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r>
          </w:p>
        </w:tc>
        <w:tc>
          <w:tcPr>
            <w:tcW w:type="dxa" w:w="792"/>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4</w:t>
            </w:r>
          </w:p>
        </w:tc>
        <w:tc>
          <w:tcPr>
            <w:tcW w:type="dxa" w:w="5112"/>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Cancelada</w:t>
            </w:r>
          </w:p>
        </w:tc>
      </w:tr>
    </w:tbl>
    <w:p>
      <w:pPr>
        <w:spacing w:after="0"/>
      </w:pPr>
    </w:p>
    <w:p>
      <w:r>
        <w:rPr>
          <w:i w:val="0"/>
        </w:rPr>
        <w:t>Las constantes están en `TipoOperacionGuiaIds` y `EstadoGuiasIds`. En UI pueden traducirse a Recepción/Despacho/Traslado y Pendiente/En proceso/Terminada. Conviene usar las constantes en C# y mantener un mapeo explícito en JavaScript para no dispersar números mágicos.</w:t>
      </w:r>
    </w:p>
    <w:p>
      <w:pPr>
        <w:pStyle w:val="Heading2"/>
      </w:pPr>
      <w:r>
        <w:t>Respuestas y errores</w:t>
      </w:r>
    </w:p>
    <w:p>
      <w:r>
        <w:rPr>
          <w:i w:val="0"/>
        </w:rPr>
        <w:t>La API devuelve JSON y, cuando falla, Problem Details con `status`, `title`, `detail`, la propiedad española `mensaje` y `traceId`. ApiExceptionHandler convierte errores conocidos a respuestas seguras: regla inválida 400, faltante 404, conflicto de negocio/datos 409 y error inesperado 500. El detalle interno del 500 se registra en el servidor, no se revela al cliente.</w:t>
      </w:r>
    </w:p>
    <w:tbl>
      <w:tblPr>
        <w:tblW w:type="auto" w:w="0"/>
        <w:jc w:val="center"/>
        <w:tblLayout w:type="fixed"/>
        <w:tblLook w:firstColumn="1" w:firstRow="1" w:lastColumn="0" w:lastRow="0" w:noHBand="0" w:noVBand="1" w:val="04A0"/>
        <w:tblBorders>
          <w:top w:val="single" w:sz="5" w:space="0" w:color="D4DEE8"/>
          <w:left w:val="single" w:sz="5" w:space="0" w:color="D4DEE8"/>
          <w:bottom w:val="single" w:sz="5" w:space="0" w:color="D4DEE8"/>
          <w:right w:val="single" w:sz="5" w:space="0" w:color="D4DEE8"/>
          <w:insideH w:val="single" w:sz="5" w:space="0" w:color="D4DEE8"/>
          <w:insideV w:val="single" w:sz="5" w:space="0" w:color="D4DEE8"/>
        </w:tblBorders>
      </w:tblPr>
      <w:tblGrid>
        <w:gridCol w:w="4997"/>
        <w:gridCol w:w="4997"/>
      </w:tblGrid>
      <w:tr>
        <w:trPr>
          <w:tblHeader w:val="true"/>
        </w:trPr>
        <w:tc>
          <w:tcPr>
            <w:tcW w:type="dxa" w:w="1152"/>
            <w:vAlign w:val="center"/>
            <w:tcMar>
              <w:top w:w="90" w:type="dxa"/>
              <w:start w:w="110" w:type="dxa"/>
              <w:bottom w:w="90" w:type="dxa"/>
              <w:end w:w="110" w:type="dxa"/>
            </w:tcMar>
            <w:shd w:fill="123E67"/>
          </w:tcPr>
          <w:p>
            <w:pPr>
              <w:spacing w:after="0" w:line="252" w:lineRule="auto"/>
            </w:pPr>
            <w:r/>
            <w:r>
              <w:rPr>
                <w:rFonts w:ascii="Arial" w:hAnsi="Arial"/>
                <w:b/>
                <w:color w:val="FFFFFF"/>
                <w:sz w:val="16"/>
              </w:rPr>
              <w:t>HTTP</w:t>
            </w:r>
          </w:p>
        </w:tc>
        <w:tc>
          <w:tcPr>
            <w:tcW w:type="dxa" w:w="9072"/>
            <w:vAlign w:val="center"/>
            <w:tcMar>
              <w:top w:w="90" w:type="dxa"/>
              <w:start w:w="110" w:type="dxa"/>
              <w:bottom w:w="90" w:type="dxa"/>
              <w:end w:w="110" w:type="dxa"/>
            </w:tcMar>
            <w:shd w:fill="123E67"/>
          </w:tcPr>
          <w:p>
            <w:pPr>
              <w:spacing w:after="0" w:line="252" w:lineRule="auto"/>
            </w:pPr>
            <w:r/>
            <w:r>
              <w:rPr>
                <w:rFonts w:ascii="Arial" w:hAnsi="Arial"/>
                <w:b/>
                <w:color w:val="FFFFFF"/>
                <w:sz w:val="16"/>
              </w:rPr>
              <w:t>Interpretación para el cliente</w:t>
            </w:r>
          </w:p>
        </w:tc>
      </w:tr>
      <w:tr>
        <w:tc>
          <w:tcPr>
            <w:tcW w:type="dxa" w:w="1152"/>
            <w:vAlign w:val="center"/>
            <w:tcMar>
              <w:top w:w="90" w:type="dxa"/>
              <w:start w:w="110" w:type="dxa"/>
              <w:bottom w:w="90" w:type="dxa"/>
              <w:end w:w="110" w:type="dxa"/>
            </w:tcMar>
          </w:tcPr>
          <w:p>
            <w:pPr>
              <w:spacing w:after="0" w:line="252" w:lineRule="auto"/>
            </w:pPr>
            <w:r/>
            <w:r>
              <w:rPr>
                <w:rFonts w:ascii="Arial" w:hAnsi="Arial"/>
                <w:b w:val="0"/>
                <w:color w:val="1E2935"/>
                <w:sz w:val="16"/>
              </w:rPr>
              <w:t>400</w:t>
            </w:r>
          </w:p>
        </w:tc>
        <w:tc>
          <w:tcPr>
            <w:tcW w:type="dxa" w:w="9072"/>
            <w:vAlign w:val="center"/>
            <w:tcMar>
              <w:top w:w="90" w:type="dxa"/>
              <w:start w:w="110" w:type="dxa"/>
              <w:bottom w:w="90" w:type="dxa"/>
              <w:end w:w="110" w:type="dxa"/>
            </w:tcMar>
          </w:tcPr>
          <w:p>
            <w:pPr>
              <w:spacing w:after="0" w:line="252" w:lineRule="auto"/>
            </w:pPr>
            <w:r/>
            <w:r>
              <w:rPr>
                <w:rFonts w:ascii="Arial" w:hAnsi="Arial"/>
                <w:b w:val="0"/>
                <w:color w:val="1E2935"/>
                <w:sz w:val="16"/>
              </w:rPr>
              <w:t>El request o las reglas del negocio no se cumplen; mostrar mensaje entendible.</w:t>
            </w:r>
          </w:p>
        </w:tc>
      </w:tr>
      <w:tr>
        <w:tc>
          <w:tcPr>
            <w:tcW w:type="dxa" w:w="1152"/>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401</w:t>
            </w:r>
          </w:p>
        </w:tc>
        <w:tc>
          <w:tcPr>
            <w:tcW w:type="dxa" w:w="9072"/>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No hay sesión válida; volver al acceso.</w:t>
            </w:r>
          </w:p>
        </w:tc>
      </w:tr>
      <w:tr>
        <w:tc>
          <w:tcPr>
            <w:tcW w:type="dxa" w:w="1152"/>
            <w:vAlign w:val="center"/>
            <w:tcMar>
              <w:top w:w="90" w:type="dxa"/>
              <w:start w:w="110" w:type="dxa"/>
              <w:bottom w:w="90" w:type="dxa"/>
              <w:end w:w="110" w:type="dxa"/>
            </w:tcMar>
          </w:tcPr>
          <w:p>
            <w:pPr>
              <w:spacing w:after="0" w:line="252" w:lineRule="auto"/>
            </w:pPr>
            <w:r/>
            <w:r>
              <w:rPr>
                <w:rFonts w:ascii="Arial" w:hAnsi="Arial"/>
                <w:b w:val="0"/>
                <w:color w:val="1E2935"/>
                <w:sz w:val="16"/>
              </w:rPr>
              <w:t>403</w:t>
            </w:r>
          </w:p>
        </w:tc>
        <w:tc>
          <w:tcPr>
            <w:tcW w:type="dxa" w:w="9072"/>
            <w:vAlign w:val="center"/>
            <w:tcMar>
              <w:top w:w="90" w:type="dxa"/>
              <w:start w:w="110" w:type="dxa"/>
              <w:bottom w:w="90" w:type="dxa"/>
              <w:end w:w="110" w:type="dxa"/>
            </w:tcMar>
          </w:tcPr>
          <w:p>
            <w:pPr>
              <w:spacing w:after="0" w:line="252" w:lineRule="auto"/>
            </w:pPr>
            <w:r/>
            <w:r>
              <w:rPr>
                <w:rFonts w:ascii="Arial" w:hAnsi="Arial"/>
                <w:b w:val="0"/>
                <w:color w:val="1E2935"/>
                <w:sz w:val="16"/>
              </w:rPr>
              <w:t>La cuenta o el rol no tiene permiso para esa aplicación/acción.</w:t>
            </w:r>
          </w:p>
        </w:tc>
      </w:tr>
      <w:tr>
        <w:tc>
          <w:tcPr>
            <w:tcW w:type="dxa" w:w="1152"/>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404</w:t>
            </w:r>
          </w:p>
        </w:tc>
        <w:tc>
          <w:tcPr>
            <w:tcW w:type="dxa" w:w="9072"/>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El ID ya no existe o no pertenece a la vista del operador.</w:t>
            </w:r>
          </w:p>
        </w:tc>
      </w:tr>
      <w:tr>
        <w:tc>
          <w:tcPr>
            <w:tcW w:type="dxa" w:w="1152"/>
            <w:vAlign w:val="center"/>
            <w:tcMar>
              <w:top w:w="90" w:type="dxa"/>
              <w:start w:w="110" w:type="dxa"/>
              <w:bottom w:w="90" w:type="dxa"/>
              <w:end w:w="110" w:type="dxa"/>
            </w:tcMar>
          </w:tcPr>
          <w:p>
            <w:pPr>
              <w:spacing w:after="0" w:line="252" w:lineRule="auto"/>
            </w:pPr>
            <w:r/>
            <w:r>
              <w:rPr>
                <w:rFonts w:ascii="Arial" w:hAnsi="Arial"/>
                <w:b w:val="0"/>
                <w:color w:val="1E2935"/>
                <w:sz w:val="16"/>
              </w:rPr>
              <w:t>409</w:t>
            </w:r>
          </w:p>
        </w:tc>
        <w:tc>
          <w:tcPr>
            <w:tcW w:type="dxa" w:w="9072"/>
            <w:vAlign w:val="center"/>
            <w:tcMar>
              <w:top w:w="90" w:type="dxa"/>
              <w:start w:w="110" w:type="dxa"/>
              <w:bottom w:w="90" w:type="dxa"/>
              <w:end w:w="110" w:type="dxa"/>
            </w:tcMar>
          </w:tcPr>
          <w:p>
            <w:pPr>
              <w:spacing w:after="0" w:line="252" w:lineRule="auto"/>
            </w:pPr>
            <w:r/>
            <w:r>
              <w:rPr>
                <w:rFonts w:ascii="Arial" w:hAnsi="Arial"/>
                <w:b w:val="0"/>
                <w:color w:val="1E2935"/>
                <w:sz w:val="16"/>
              </w:rPr>
              <w:t>Conflicto de estado, stock insuficiente o duplicidad.</w:t>
            </w:r>
          </w:p>
        </w:tc>
      </w:tr>
      <w:tr>
        <w:tc>
          <w:tcPr>
            <w:tcW w:type="dxa" w:w="1152"/>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429</w:t>
            </w:r>
          </w:p>
        </w:tc>
        <w:tc>
          <w:tcPr>
            <w:tcW w:type="dxa" w:w="9072"/>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El limitador rechazó intentos de login demasiado frecuentes.</w:t>
            </w:r>
          </w:p>
        </w:tc>
      </w:tr>
      <w:tr>
        <w:tc>
          <w:tcPr>
            <w:tcW w:type="dxa" w:w="1152"/>
            <w:vAlign w:val="center"/>
            <w:tcMar>
              <w:top w:w="90" w:type="dxa"/>
              <w:start w:w="110" w:type="dxa"/>
              <w:bottom w:w="90" w:type="dxa"/>
              <w:end w:w="110" w:type="dxa"/>
            </w:tcMar>
          </w:tcPr>
          <w:p>
            <w:pPr>
              <w:spacing w:after="0" w:line="252" w:lineRule="auto"/>
            </w:pPr>
            <w:r/>
            <w:r>
              <w:rPr>
                <w:rFonts w:ascii="Arial" w:hAnsi="Arial"/>
                <w:b w:val="0"/>
                <w:color w:val="1E2935"/>
                <w:sz w:val="16"/>
              </w:rPr>
              <w:t>500</w:t>
            </w:r>
          </w:p>
        </w:tc>
        <w:tc>
          <w:tcPr>
            <w:tcW w:type="dxa" w:w="9072"/>
            <w:vAlign w:val="center"/>
            <w:tcMar>
              <w:top w:w="90" w:type="dxa"/>
              <w:start w:w="110" w:type="dxa"/>
              <w:bottom w:w="90" w:type="dxa"/>
              <w:end w:w="110" w:type="dxa"/>
            </w:tcMar>
          </w:tcPr>
          <w:p>
            <w:pPr>
              <w:spacing w:after="0" w:line="252" w:lineRule="auto"/>
            </w:pPr>
            <w:r/>
            <w:r>
              <w:rPr>
                <w:rFonts w:ascii="Arial" w:hAnsi="Arial"/>
                <w:b w:val="0"/>
                <w:color w:val="1E2935"/>
                <w:sz w:val="16"/>
              </w:rPr>
              <w:t>Fallo no previsto; informar el traceId si soporte necesita correlacionarlo.</w:t>
            </w:r>
          </w:p>
        </w:tc>
      </w:tr>
    </w:tbl>
    <w:p>
      <w:pPr>
        <w:spacing w:after="0"/>
      </w:pPr>
    </w:p>
    <w:p>
      <w:r>
        <w:br w:type="page"/>
      </w:r>
    </w:p>
    <w:p>
      <w:pPr>
        <w:pStyle w:val="Heading1"/>
      </w:pPr>
      <w:r>
        <w:t>4. Flujo real de una guía de operador</w:t>
      </w:r>
    </w:p>
    <w:p>
      <w:pPr>
        <w:pStyle w:val="Heading2"/>
      </w:pPr>
      <w:r>
        <w:t>De Pendiente a En proceso</w:t>
      </w:r>
    </w:p>
    <w:p>
      <w:pPr>
        <w:pStyle w:val="ListNumber"/>
        <w:spacing w:after="40"/>
      </w:pPr>
      <w:r>
        <w:t>La PWA consulta tres listados de guías con `getGuides(tipo)` y filtra estado 1.</w:t>
      </w:r>
    </w:p>
    <w:p>
      <w:pPr>
        <w:pStyle w:val="ListNumber"/>
        <w:spacing w:after="40"/>
      </w:pPr>
      <w:r>
        <w:t>En la pantalla de operación, al tocar una tarjeta, `selectGuide` vuelve a consultar `GET /api/guias/{id}` para leer estado/código/fecha actuales.</w:t>
      </w:r>
    </w:p>
    <w:p>
      <w:pPr>
        <w:pStyle w:val="ListNumber"/>
        <w:spacing w:after="40"/>
      </w:pPr>
      <w:r>
        <w:t>Se muestra el diálogo de confirmación. Cancelar no modifica el backend.</w:t>
      </w:r>
    </w:p>
    <w:p>
      <w:pPr>
        <w:pStyle w:val="ListNumber"/>
        <w:spacing w:after="40"/>
      </w:pPr>
      <w:r>
        <w:t>Al aceptar, la PWA hace POST `/api/simulacion/guias/{id}/tomar`. El repositorio abre una transacción serializable, revalida que siga Pendiente, asigna usuario operador autenticado y cambia a En proceso.</w:t>
      </w:r>
    </w:p>
    <w:p>
      <w:pPr>
        <w:pStyle w:val="ListNumber"/>
        <w:spacing w:after="40"/>
      </w:pPr>
      <w:r>
        <w:t>La guía aparece en Mis guías del operador actual. El filtro del servidor usa el ID de usuario obtenido de claims, no un ID suministrado por el navegador.</w:t>
      </w:r>
    </w:p>
    <w:tbl>
      <w:tblPr>
        <w:tblW w:type="auto" w:w="0"/>
        <w:jc w:val="center"/>
        <w:tblLook w:firstColumn="1" w:firstRow="1" w:lastColumn="0" w:lastRow="0" w:noHBand="0" w:noVBand="1" w:val="04A0"/>
        <w:tblBorders>
          <w:top w:val="single" w:sz="5" w:space="0" w:color="D4DEE8"/>
          <w:left w:val="single" w:sz="5" w:space="0" w:color="D4DEE8"/>
          <w:bottom w:val="single" w:sz="5" w:space="0" w:color="D4DEE8"/>
          <w:right w:val="single" w:sz="5" w:space="0" w:color="D4DEE8"/>
          <w:insideH w:val="single" w:sz="5" w:space="0" w:color="D4DEE8"/>
          <w:insideV w:val="single" w:sz="5" w:space="0" w:color="D4DEE8"/>
        </w:tblBorders>
      </w:tblPr>
      <w:tblGrid>
        <w:gridCol w:w="9994"/>
      </w:tblGrid>
      <w:tr>
        <w:tc>
          <w:tcPr>
            <w:tcW w:type="dxa" w:w="9994"/>
            <w:shd w:fill="EDF4FA"/>
            <w:tcMar>
              <w:top w:w="130" w:type="dxa"/>
              <w:start w:w="160" w:type="dxa"/>
              <w:bottom w:w="130" w:type="dxa"/>
              <w:end w:w="160" w:type="dxa"/>
            </w:tcMar>
          </w:tcPr>
          <w:p>
            <w:pPr>
              <w:spacing w:after="20"/>
            </w:pPr>
            <w:r/>
            <w:r>
              <w:rPr>
                <w:rFonts w:ascii="Arial" w:hAnsi="Arial"/>
                <w:b/>
                <w:color w:val="123E67"/>
                <w:sz w:val="18"/>
              </w:rPr>
              <w:t xml:space="preserve">Por qué consulta dos veces  </w:t>
            </w:r>
            <w:r>
              <w:rPr>
                <w:rFonts w:ascii="Arial" w:hAnsi="Arial"/>
                <w:sz w:val="18"/>
              </w:rPr>
              <w:t>El listado puede quedar desactualizado mientras otro operador toma la guía. El GET de detalle actualiza la confirmación y el backend vuelve a validar dentro de la transacción antes de asignarla.</w:t>
            </w:r>
          </w:p>
        </w:tc>
      </w:tr>
    </w:tbl>
    <w:p>
      <w:pPr>
        <w:spacing w:after="0"/>
      </w:pPr>
    </w:p>
    <w:p>
      <w:pPr>
        <w:pStyle w:val="Heading2"/>
      </w:pPr>
      <w:r>
        <w:t>Capturar lecturas sin aplicar aún el stock</w:t>
      </w:r>
    </w:p>
    <w:p>
      <w:r>
        <w:rPr>
          <w:i w:val="0"/>
        </w:rPr>
        <w:t>La PWA carga el detalle asignado, catálogo, ubicaciones e historial. Escanear PDA (actúa como teclado) o cámara identifica el producto de la guía. Enviar registro crea una fila `LecturaGuia`: producto, código validado, cantidad, operador, lote/serie, observación, ubicación y fecha UTC. Cada captura queda persistida y recuperable, pero todavía no cambia el inventario.</w:t>
      </w:r>
    </w:p>
    <w:p>
      <w:pPr>
        <w:spacing w:before="60" w:after="160" w:line="240" w:lineRule="auto"/>
        <w:ind w:left="173" w:right="115"/>
        <w:shd w:fill="F1F5F9"/>
        <w:pBdr>
          <w:left w:val="single" w:sz="18" w:space="7" w:color="2879BF"/>
        </w:pBdr>
      </w:pPr>
      <w:r>
        <w:rPr>
          <w:rFonts w:ascii="Consolas" w:hAnsi="Consolas" w:eastAsia="Consolas"/>
          <w:color w:val="23364A"/>
          <w:sz w:val="16"/>
        </w:rPr>
        <w:t>{</w:t>
        <w:br/>
        <w:t xml:space="preserve">  "idProducto": 23,</w:t>
        <w:br/>
        <w:t xml:space="preserve">  "cantidad": 4,</w:t>
        <w:br/>
        <w:t xml:space="preserve">  "codigoLeido": "SKU-023",</w:t>
        <w:br/>
        <w:t xml:space="preserve">  "lote": "L-2026-10",</w:t>
        <w:br/>
        <w:t xml:space="preserve">  "serie": null,</w:t>
        <w:br/>
        <w:t xml:space="preserve">  "observacion": "Caja revisada",</w:t>
        <w:br/>
        <w:t xml:space="preserve">  "idUbicacionOrigen": null,</w:t>
        <w:br/>
        <w:t xml:space="preserve">  "idUbicacionDestino": 7</w:t>
        <w:br/>
        <w:t>}</w:t>
      </w:r>
    </w:p>
    <w:p>
      <w:r>
        <w:rPr>
          <w:i w:val="0"/>
        </w:rPr>
        <w:t>La lista de historial permite verificar capturas anteriores. El avance suma cantidades por producto. Las ubicaciones se validan por tipo de operación: entrada requiere destino; salida requiere origen; traslado requiere ambas.</w:t>
      </w:r>
    </w:p>
    <w:p>
      <w:pPr>
        <w:pStyle w:val="Heading2"/>
      </w:pPr>
      <w:r>
        <w:t>Finalizar y aplicar stock</w:t>
      </w:r>
    </w:p>
    <w:p>
      <w:pPr>
        <w:pStyle w:val="ListNumber"/>
        <w:spacing w:after="40"/>
      </w:pPr>
      <w:r>
        <w:t>El operador revisa esperado, leído y diferencia en el cuadro de confirmación.</w:t>
      </w:r>
    </w:p>
    <w:p>
      <w:pPr>
        <w:pStyle w:val="ListNumber"/>
        <w:spacing w:after="40"/>
      </w:pPr>
      <w:r>
        <w:t>La API verifica pertenencia, estado En proceso, producto por producto, cantidad entera y ubicaciones activas del almacén correcto.</w:t>
      </w:r>
    </w:p>
    <w:p>
      <w:pPr>
        <w:pStyle w:val="ListNumber"/>
        <w:spacing w:after="40"/>
      </w:pPr>
      <w:r>
        <w:t>El repositorio en transacción serializable aplica entradas/salidas/traslados a `StockUbicacion`, sincroniza `StockAlmacen` y agrega un `MovimientoStock` por producto.</w:t>
      </w:r>
    </w:p>
    <w:p>
      <w:pPr>
        <w:pStyle w:val="ListNumber"/>
        <w:spacing w:after="40"/>
      </w:pPr>
      <w:r>
        <w:t>Solo después de guardar todo cambia la guía a Atendida. Si falla una validación o el stock de origen no alcanza, se revierte la transacción completa.</w:t>
      </w:r>
    </w:p>
    <w:tbl>
      <w:tblPr>
        <w:tblW w:type="auto" w:w="0"/>
        <w:jc w:val="center"/>
        <w:tblLook w:firstColumn="1" w:firstRow="1" w:lastColumn="0" w:lastRow="0" w:noHBand="0" w:noVBand="1" w:val="04A0"/>
        <w:tblBorders>
          <w:top w:val="single" w:sz="5" w:space="0" w:color="D4DEE8"/>
          <w:left w:val="single" w:sz="5" w:space="0" w:color="D4DEE8"/>
          <w:bottom w:val="single" w:sz="5" w:space="0" w:color="D4DEE8"/>
          <w:right w:val="single" w:sz="5" w:space="0" w:color="D4DEE8"/>
          <w:insideH w:val="single" w:sz="5" w:space="0" w:color="D4DEE8"/>
          <w:insideV w:val="single" w:sz="5" w:space="0" w:color="D4DEE8"/>
        </w:tblBorders>
      </w:tblPr>
      <w:tblGrid>
        <w:gridCol w:w="9994"/>
      </w:tblGrid>
      <w:tr>
        <w:tc>
          <w:tcPr>
            <w:tcW w:type="dxa" w:w="9994"/>
            <w:shd w:fill="EDF4FA"/>
            <w:tcMar>
              <w:top w:w="130" w:type="dxa"/>
              <w:start w:w="160" w:type="dxa"/>
              <w:bottom w:w="130" w:type="dxa"/>
              <w:end w:w="160" w:type="dxa"/>
            </w:tcMar>
          </w:tcPr>
          <w:p>
            <w:pPr>
              <w:spacing w:after="20"/>
            </w:pPr>
            <w:r/>
            <w:r>
              <w:rPr>
                <w:rFonts w:ascii="Arial" w:hAnsi="Arial"/>
                <w:b/>
                <w:color w:val="123E67"/>
                <w:sz w:val="18"/>
              </w:rPr>
              <w:t xml:space="preserve">La diferencia no es la cantidad a mover  </w:t>
            </w:r>
            <w:r>
              <w:rPr>
                <w:rFonts w:ascii="Arial" w:hAnsi="Arial"/>
                <w:sz w:val="18"/>
              </w:rPr>
              <w:t>El movimiento usa el total leído; `CantidadDiferenciada` guarda leído menos esperado como dato de auditoría. La UI informa la diferencia antes de finalizar, pero el cierre no exige igualdad exacta.</w:t>
            </w:r>
          </w:p>
        </w:tc>
      </w:tr>
    </w:tbl>
    <w:p>
      <w:pPr>
        <w:spacing w:after="0"/>
      </w:pPr>
    </w:p>
    <w:p>
      <w:pPr>
        <w:pStyle w:val="Heading2"/>
      </w:pPr>
      <w:r>
        <w:t>Ejemplo de secuencia desde PWA</w:t>
      </w:r>
    </w:p>
    <w:p>
      <w:pPr>
        <w:spacing w:before="60" w:after="160" w:line="240" w:lineRule="auto"/>
        <w:ind w:left="173" w:right="115"/>
        <w:shd w:fill="F1F5F9"/>
        <w:pBdr>
          <w:left w:val="single" w:sz="18" w:space="7" w:color="2879BF"/>
        </w:pBdr>
      </w:pPr>
      <w:r>
        <w:rPr>
          <w:rFonts w:ascii="Consolas" w:hAnsi="Consolas" w:eastAsia="Consolas"/>
          <w:color w:val="23364A"/>
          <w:sz w:val="16"/>
        </w:rPr>
        <w:t>// Funciones centralizadas en modules/operaciones/guias.js</w:t>
        <w:br/>
        <w:t>const guia = await getMyGuideById(9);</w:t>
        <w:br/>
        <w:t>const lectura = await registerGuideReading(9, request);</w:t>
        <w:br/>
        <w:t>const historial = await getGuideReadingHistory(9);</w:t>
        <w:br/>
        <w:t>await finalizeGuideReadings(9);</w:t>
      </w:r>
    </w:p>
    <w:p>
      <w:r>
        <w:rPr>
          <w:i w:val="0"/>
        </w:rPr>
        <w:t>La secuencia completa también depende de cookie vigente, permiso de Operador, asignación del ID de usuario, estado y reglas del servidor. El ejemplo no permite omitir esos controles.</w:t>
      </w:r>
    </w:p>
    <w:p>
      <w:r>
        <w:br w:type="page"/>
      </w:r>
    </w:p>
    <w:p>
      <w:pPr>
        <w:pStyle w:val="Heading1"/>
      </w:pPr>
      <w:r>
        <w:t>5. Movimiento de stock y consultas</w:t>
      </w:r>
    </w:p>
    <w:p>
      <w:pPr>
        <w:pStyle w:val="Heading2"/>
      </w:pPr>
      <w:r>
        <w:t>MovimientoStockService</w:t>
      </w:r>
    </w:p>
    <w:p>
      <w:r>
        <w:rPr>
          <w:i w:val="0"/>
        </w:rPr>
        <w:t>Orquesta el caso de uso. En operaciones de operador comprueba que la cuenta esté activa y tenga rol Operador; luego delega persistencia. Para reportes convierte entidades a `MovimientoStockDto`, incluyendo códigos/nombres de producto, almacén, guía, ubicaciones y usuario.</w:t>
      </w:r>
    </w:p>
    <w:tbl>
      <w:tblPr>
        <w:tblW w:type="auto" w:w="0"/>
        <w:jc w:val="center"/>
        <w:tblLayout w:type="fixed"/>
        <w:tblLook w:firstColumn="1" w:firstRow="1" w:lastColumn="0" w:lastRow="0" w:noHBand="0" w:noVBand="1" w:val="04A0"/>
        <w:tblBorders>
          <w:top w:val="single" w:sz="5" w:space="0" w:color="D4DEE8"/>
          <w:left w:val="single" w:sz="5" w:space="0" w:color="D4DEE8"/>
          <w:bottom w:val="single" w:sz="5" w:space="0" w:color="D4DEE8"/>
          <w:right w:val="single" w:sz="5" w:space="0" w:color="D4DEE8"/>
          <w:insideH w:val="single" w:sz="5" w:space="0" w:color="D4DEE8"/>
          <w:insideV w:val="single" w:sz="5" w:space="0" w:color="D4DEE8"/>
        </w:tblBorders>
      </w:tblPr>
      <w:tblGrid>
        <w:gridCol w:w="4997"/>
        <w:gridCol w:w="4997"/>
      </w:tblGrid>
      <w:tr>
        <w:trPr>
          <w:tblHeader w:val="true"/>
        </w:trPr>
        <w:tc>
          <w:tcPr>
            <w:tcW w:type="dxa" w:w="2736"/>
            <w:vAlign w:val="center"/>
            <w:tcMar>
              <w:top w:w="90" w:type="dxa"/>
              <w:start w:w="110" w:type="dxa"/>
              <w:bottom w:w="90" w:type="dxa"/>
              <w:end w:w="110" w:type="dxa"/>
            </w:tcMar>
            <w:shd w:fill="123E67"/>
          </w:tcPr>
          <w:p>
            <w:pPr>
              <w:spacing w:after="0" w:line="252" w:lineRule="auto"/>
            </w:pPr>
            <w:r/>
            <w:r>
              <w:rPr>
                <w:rFonts w:ascii="Arial" w:hAnsi="Arial"/>
                <w:b/>
                <w:color w:val="FFFFFF"/>
                <w:sz w:val="16"/>
              </w:rPr>
              <w:t>Método</w:t>
            </w:r>
          </w:p>
        </w:tc>
        <w:tc>
          <w:tcPr>
            <w:tcW w:type="dxa" w:w="7488"/>
            <w:vAlign w:val="center"/>
            <w:tcMar>
              <w:top w:w="90" w:type="dxa"/>
              <w:start w:w="110" w:type="dxa"/>
              <w:bottom w:w="90" w:type="dxa"/>
              <w:end w:w="110" w:type="dxa"/>
            </w:tcMar>
            <w:shd w:fill="123E67"/>
          </w:tcPr>
          <w:p>
            <w:pPr>
              <w:spacing w:after="0" w:line="252" w:lineRule="auto"/>
            </w:pPr>
            <w:r/>
            <w:r>
              <w:rPr>
                <w:rFonts w:ascii="Arial" w:hAnsi="Arial"/>
                <w:b/>
                <w:color w:val="FFFFFF"/>
                <w:sz w:val="16"/>
              </w:rPr>
              <w:t>Responsabilidad</w:t>
            </w:r>
          </w:p>
        </w:tc>
      </w:tr>
      <w:tr>
        <w:tc>
          <w:tcPr>
            <w:tcW w:type="dxa" w:w="2736"/>
            <w:vAlign w:val="center"/>
            <w:tcMar>
              <w:top w:w="90" w:type="dxa"/>
              <w:start w:w="110" w:type="dxa"/>
              <w:bottom w:w="90" w:type="dxa"/>
              <w:end w:w="110" w:type="dxa"/>
            </w:tcMar>
          </w:tcPr>
          <w:p>
            <w:pPr>
              <w:spacing w:after="0" w:line="252" w:lineRule="auto"/>
            </w:pPr>
            <w:r/>
            <w:r>
              <w:rPr>
                <w:rFonts w:ascii="Arial" w:hAnsi="Arial"/>
                <w:b w:val="0"/>
                <w:color w:val="1E2935"/>
                <w:sz w:val="16"/>
              </w:rPr>
              <w:t>TomarGuiaAsync</w:t>
            </w:r>
          </w:p>
        </w:tc>
        <w:tc>
          <w:tcPr>
            <w:tcW w:type="dxa" w:w="7488"/>
            <w:vAlign w:val="center"/>
            <w:tcMar>
              <w:top w:w="90" w:type="dxa"/>
              <w:start w:w="110" w:type="dxa"/>
              <w:bottom w:w="90" w:type="dxa"/>
              <w:end w:w="110" w:type="dxa"/>
            </w:tcMar>
          </w:tcPr>
          <w:p>
            <w:pPr>
              <w:spacing w:after="0" w:line="252" w:lineRule="auto"/>
            </w:pPr>
            <w:r/>
            <w:r>
              <w:rPr>
                <w:rFonts w:ascii="Arial" w:hAnsi="Arial"/>
                <w:b w:val="0"/>
                <w:color w:val="1E2935"/>
                <w:sz w:val="16"/>
              </w:rPr>
              <w:t>Valida operador y delega asignación atómica.</w:t>
            </w:r>
          </w:p>
        </w:tc>
      </w:tr>
      <w:tr>
        <w:tc>
          <w:tcPr>
            <w:tcW w:type="dxa" w:w="2736"/>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ListarMisGuiasAsync</w:t>
            </w:r>
          </w:p>
        </w:tc>
        <w:tc>
          <w:tcPr>
            <w:tcW w:type="dxa" w:w="7488"/>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Admite solo estados En proceso o Atendida y limita por usuario autenticado.</w:t>
            </w:r>
          </w:p>
        </w:tc>
      </w:tr>
      <w:tr>
        <w:tc>
          <w:tcPr>
            <w:tcW w:type="dxa" w:w="2736"/>
            <w:vAlign w:val="center"/>
            <w:tcMar>
              <w:top w:w="90" w:type="dxa"/>
              <w:start w:w="110" w:type="dxa"/>
              <w:bottom w:w="90" w:type="dxa"/>
              <w:end w:w="110" w:type="dxa"/>
            </w:tcMar>
          </w:tcPr>
          <w:p>
            <w:pPr>
              <w:spacing w:after="0" w:line="252" w:lineRule="auto"/>
            </w:pPr>
            <w:r/>
            <w:r>
              <w:rPr>
                <w:rFonts w:ascii="Arial" w:hAnsi="Arial"/>
                <w:b w:val="0"/>
                <w:color w:val="1E2935"/>
                <w:sz w:val="16"/>
              </w:rPr>
              <w:t>ObtenerMiGuiaAsync</w:t>
            </w:r>
          </w:p>
        </w:tc>
        <w:tc>
          <w:tcPr>
            <w:tcW w:type="dxa" w:w="7488"/>
            <w:vAlign w:val="center"/>
            <w:tcMar>
              <w:top w:w="90" w:type="dxa"/>
              <w:start w:w="110" w:type="dxa"/>
              <w:bottom w:w="90" w:type="dxa"/>
              <w:end w:w="110" w:type="dxa"/>
            </w:tcMar>
          </w:tcPr>
          <w:p>
            <w:pPr>
              <w:spacing w:after="0" w:line="252" w:lineRule="auto"/>
            </w:pPr>
            <w:r/>
            <w:r>
              <w:rPr>
                <w:rFonts w:ascii="Arial" w:hAnsi="Arial"/>
                <w:b w:val="0"/>
                <w:color w:val="1E2935"/>
                <w:sz w:val="16"/>
              </w:rPr>
              <w:t>Consulta una guía del operador; evita que un ID arbitrario dé acceso a otras guías.</w:t>
            </w:r>
          </w:p>
        </w:tc>
      </w:tr>
      <w:tr>
        <w:tc>
          <w:tcPr>
            <w:tcW w:type="dxa" w:w="2736"/>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RegistrarLecturaAsync</w:t>
            </w:r>
          </w:p>
        </w:tc>
        <w:tc>
          <w:tcPr>
            <w:tcW w:type="dxa" w:w="7488"/>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Autoriza, valida la lectura a través del repositorio y la devuelve como DTO.</w:t>
            </w:r>
          </w:p>
        </w:tc>
      </w:tr>
      <w:tr>
        <w:tc>
          <w:tcPr>
            <w:tcW w:type="dxa" w:w="2736"/>
            <w:vAlign w:val="center"/>
            <w:tcMar>
              <w:top w:w="90" w:type="dxa"/>
              <w:start w:w="110" w:type="dxa"/>
              <w:bottom w:w="90" w:type="dxa"/>
              <w:end w:w="110" w:type="dxa"/>
            </w:tcMar>
          </w:tcPr>
          <w:p>
            <w:pPr>
              <w:spacing w:after="0" w:line="252" w:lineRule="auto"/>
            </w:pPr>
            <w:r/>
            <w:r>
              <w:rPr>
                <w:rFonts w:ascii="Arial" w:hAnsi="Arial"/>
                <w:b w:val="0"/>
                <w:color w:val="1E2935"/>
                <w:sz w:val="16"/>
              </w:rPr>
              <w:t>ListarLecturasAsync</w:t>
            </w:r>
          </w:p>
        </w:tc>
        <w:tc>
          <w:tcPr>
            <w:tcW w:type="dxa" w:w="7488"/>
            <w:vAlign w:val="center"/>
            <w:tcMar>
              <w:top w:w="90" w:type="dxa"/>
              <w:start w:w="110" w:type="dxa"/>
              <w:bottom w:w="90" w:type="dxa"/>
              <w:end w:w="110" w:type="dxa"/>
            </w:tcMar>
          </w:tcPr>
          <w:p>
            <w:pPr>
              <w:spacing w:after="0" w:line="252" w:lineRule="auto"/>
            </w:pPr>
            <w:r/>
            <w:r>
              <w:rPr>
                <w:rFonts w:ascii="Arial" w:hAnsi="Arial"/>
                <w:b w:val="0"/>
                <w:color w:val="1E2935"/>
                <w:sz w:val="16"/>
              </w:rPr>
              <w:t>Devuelve historial ordenado para una guía del operador.</w:t>
            </w:r>
          </w:p>
        </w:tc>
      </w:tr>
      <w:tr>
        <w:tc>
          <w:tcPr>
            <w:tcW w:type="dxa" w:w="2736"/>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FinalizarLecturaAsync</w:t>
            </w:r>
          </w:p>
        </w:tc>
        <w:tc>
          <w:tcPr>
            <w:tcW w:type="dxa" w:w="7488"/>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Comprueba forma de guía/operación/cantidades y ordena aplicar movimiento.</w:t>
            </w:r>
          </w:p>
        </w:tc>
      </w:tr>
      <w:tr>
        <w:tc>
          <w:tcPr>
            <w:tcW w:type="dxa" w:w="2736"/>
            <w:vAlign w:val="center"/>
            <w:tcMar>
              <w:top w:w="90" w:type="dxa"/>
              <w:start w:w="110" w:type="dxa"/>
              <w:bottom w:w="90" w:type="dxa"/>
              <w:end w:w="110" w:type="dxa"/>
            </w:tcMar>
          </w:tcPr>
          <w:p>
            <w:pPr>
              <w:spacing w:after="0" w:line="252" w:lineRule="auto"/>
            </w:pPr>
            <w:r/>
            <w:r>
              <w:rPr>
                <w:rFonts w:ascii="Arial" w:hAnsi="Arial"/>
                <w:b w:val="0"/>
                <w:color w:val="1E2935"/>
                <w:sz w:val="16"/>
              </w:rPr>
              <w:t>ListarAsync</w:t>
            </w:r>
          </w:p>
        </w:tc>
        <w:tc>
          <w:tcPr>
            <w:tcW w:type="dxa" w:w="7488"/>
            <w:vAlign w:val="center"/>
            <w:tcMar>
              <w:top w:w="90" w:type="dxa"/>
              <w:start w:w="110" w:type="dxa"/>
              <w:bottom w:w="90" w:type="dxa"/>
              <w:end w:w="110" w:type="dxa"/>
            </w:tcMar>
          </w:tcPr>
          <w:p>
            <w:pPr>
              <w:spacing w:after="0" w:line="252" w:lineRule="auto"/>
            </w:pPr>
            <w:r/>
            <w:r>
              <w:rPr>
                <w:rFonts w:ascii="Arial" w:hAnsi="Arial"/>
                <w:b w:val="0"/>
                <w:color w:val="1E2935"/>
                <w:sz w:val="16"/>
              </w:rPr>
              <w:t>Consulta movimientos con filtros de guía, almacén u operación; normalmente se usa en reportes administrativos.</w:t>
            </w:r>
          </w:p>
        </w:tc>
      </w:tr>
    </w:tbl>
    <w:p>
      <w:pPr>
        <w:spacing w:after="0"/>
      </w:pPr>
    </w:p>
    <w:p>
      <w:pPr>
        <w:pStyle w:val="Heading2"/>
      </w:pPr>
      <w:r>
        <w:t>MovimientoStockRepository</w:t>
      </w:r>
    </w:p>
    <w:p>
      <w:pPr>
        <w:pStyle w:val="ListBullet"/>
        <w:spacing w:after="40"/>
      </w:pPr>
      <w:r>
        <w:t>Usa `AsNoTracking()` en lecturas que no modificarán entidades: menos carga del ChangeTracker.</w:t>
      </w:r>
    </w:p>
    <w:p>
      <w:pPr>
        <w:pStyle w:val="ListBullet"/>
        <w:spacing w:after="40"/>
      </w:pPr>
      <w:r>
        <w:t>Usa `Include` cuando el DTO necesita propiedades relacionadas, por ejemplo el código de producto o ubicación.</w:t>
      </w:r>
    </w:p>
    <w:p>
      <w:pPr>
        <w:pStyle w:val="ListBullet"/>
        <w:spacing w:after="40"/>
      </w:pPr>
      <w:r>
        <w:t>Envuelve tomar/finalizar en `BeginTransactionAsync(IsolationLevel.Serializable)`. Esa operación es crítica porque dos procesos concurrentes podrían leer el mismo estado/stock.</w:t>
      </w:r>
    </w:p>
    <w:p>
      <w:pPr>
        <w:pStyle w:val="ListBullet"/>
        <w:spacing w:after="40"/>
      </w:pPr>
      <w:r>
        <w:t>`ValidarGuiaEnProceso` asegura estado y responsable; `ValidarUbicacionesAsync` verifica que la ubicación pertenezca al almacén y continúe activa.</w:t>
      </w:r>
    </w:p>
    <w:p>
      <w:pPr>
        <w:pStyle w:val="ListBullet"/>
        <w:spacing w:after="40"/>
      </w:pPr>
      <w:r>
        <w:t>`AjustarStockUbicacionAsync` impide saldos negativos, duplicados o desbordamiento de int.</w:t>
      </w:r>
    </w:p>
    <w:p>
      <w:pPr>
        <w:pStyle w:val="ListBullet"/>
        <w:spacing w:after="40"/>
      </w:pPr>
      <w:r>
        <w:t>`SincronizarStockAlmacenAsync` calcula el total desde saldos por ubicación. Es un método interno: solo se necesita al aplicar movimientos, no en una lectura normal de stock.</w:t>
      </w:r>
    </w:p>
    <w:p>
      <w:pPr>
        <w:pStyle w:val="Heading2"/>
      </w:pPr>
      <w:r>
        <w:t>Qué diferencia a los dos saldos</w:t>
      </w:r>
    </w:p>
    <w:tbl>
      <w:tblPr>
        <w:tblW w:type="auto" w:w="0"/>
        <w:jc w:val="center"/>
        <w:tblLayout w:type="fixed"/>
        <w:tblLook w:firstColumn="1" w:firstRow="1" w:lastColumn="0" w:lastRow="0" w:noHBand="0" w:noVBand="1" w:val="04A0"/>
        <w:tblBorders>
          <w:top w:val="single" w:sz="5" w:space="0" w:color="D4DEE8"/>
          <w:left w:val="single" w:sz="5" w:space="0" w:color="D4DEE8"/>
          <w:bottom w:val="single" w:sz="5" w:space="0" w:color="D4DEE8"/>
          <w:right w:val="single" w:sz="5" w:space="0" w:color="D4DEE8"/>
          <w:insideH w:val="single" w:sz="5" w:space="0" w:color="D4DEE8"/>
          <w:insideV w:val="single" w:sz="5" w:space="0" w:color="D4DEE8"/>
        </w:tblBorders>
      </w:tblPr>
      <w:tblGrid>
        <w:gridCol w:w="3331"/>
        <w:gridCol w:w="3331"/>
        <w:gridCol w:w="3331"/>
      </w:tblGrid>
      <w:tr>
        <w:trPr>
          <w:tblHeader w:val="true"/>
        </w:trPr>
        <w:tc>
          <w:tcPr>
            <w:tcW w:type="dxa" w:w="2088"/>
            <w:vAlign w:val="center"/>
            <w:tcMar>
              <w:top w:w="90" w:type="dxa"/>
              <w:start w:w="110" w:type="dxa"/>
              <w:bottom w:w="90" w:type="dxa"/>
              <w:end w:w="110" w:type="dxa"/>
            </w:tcMar>
            <w:shd w:fill="123E67"/>
          </w:tcPr>
          <w:p>
            <w:pPr>
              <w:spacing w:after="0" w:line="252" w:lineRule="auto"/>
            </w:pPr>
            <w:r/>
            <w:r>
              <w:rPr>
                <w:rFonts w:ascii="Arial" w:hAnsi="Arial"/>
                <w:b/>
                <w:color w:val="FFFFFF"/>
                <w:sz w:val="16"/>
              </w:rPr>
              <w:t>Entidad</w:t>
            </w:r>
          </w:p>
        </w:tc>
        <w:tc>
          <w:tcPr>
            <w:tcW w:type="dxa" w:w="2880"/>
            <w:vAlign w:val="center"/>
            <w:tcMar>
              <w:top w:w="90" w:type="dxa"/>
              <w:start w:w="110" w:type="dxa"/>
              <w:bottom w:w="90" w:type="dxa"/>
              <w:end w:w="110" w:type="dxa"/>
            </w:tcMar>
            <w:shd w:fill="123E67"/>
          </w:tcPr>
          <w:p>
            <w:pPr>
              <w:spacing w:after="0" w:line="252" w:lineRule="auto"/>
            </w:pPr>
            <w:r/>
            <w:r>
              <w:rPr>
                <w:rFonts w:ascii="Arial" w:hAnsi="Arial"/>
                <w:b/>
                <w:color w:val="FFFFFF"/>
                <w:sz w:val="16"/>
              </w:rPr>
              <w:t>Grano de dato</w:t>
            </w:r>
          </w:p>
        </w:tc>
        <w:tc>
          <w:tcPr>
            <w:tcW w:type="dxa" w:w="5256"/>
            <w:vAlign w:val="center"/>
            <w:tcMar>
              <w:top w:w="90" w:type="dxa"/>
              <w:start w:w="110" w:type="dxa"/>
              <w:bottom w:w="90" w:type="dxa"/>
              <w:end w:w="110" w:type="dxa"/>
            </w:tcMar>
            <w:shd w:fill="123E67"/>
          </w:tcPr>
          <w:p>
            <w:pPr>
              <w:spacing w:after="0" w:line="252" w:lineRule="auto"/>
            </w:pPr>
            <w:r/>
            <w:r>
              <w:rPr>
                <w:rFonts w:ascii="Arial" w:hAnsi="Arial"/>
                <w:b/>
                <w:color w:val="FFFFFF"/>
                <w:sz w:val="16"/>
              </w:rPr>
              <w:t>Uso</w:t>
            </w:r>
          </w:p>
        </w:tc>
      </w:tr>
      <w:tr>
        <w:tc>
          <w:tcPr>
            <w:tcW w:type="dxa" w:w="2088"/>
            <w:vAlign w:val="center"/>
            <w:tcMar>
              <w:top w:w="90" w:type="dxa"/>
              <w:start w:w="110" w:type="dxa"/>
              <w:bottom w:w="90" w:type="dxa"/>
              <w:end w:w="110" w:type="dxa"/>
            </w:tcMar>
          </w:tcPr>
          <w:p>
            <w:pPr>
              <w:spacing w:after="0" w:line="252" w:lineRule="auto"/>
            </w:pPr>
            <w:r/>
            <w:r>
              <w:rPr>
                <w:rFonts w:ascii="Arial" w:hAnsi="Arial"/>
                <w:b w:val="0"/>
                <w:color w:val="1E2935"/>
                <w:sz w:val="16"/>
              </w:rPr>
              <w:t>StockUbicacion</w:t>
            </w:r>
          </w:p>
        </w:tc>
        <w:tc>
          <w:tcPr>
            <w:tcW w:type="dxa" w:w="2880"/>
            <w:vAlign w:val="center"/>
            <w:tcMar>
              <w:top w:w="90" w:type="dxa"/>
              <w:start w:w="110" w:type="dxa"/>
              <w:bottom w:w="90" w:type="dxa"/>
              <w:end w:w="110" w:type="dxa"/>
            </w:tcMar>
          </w:tcPr>
          <w:p>
            <w:pPr>
              <w:spacing w:after="0" w:line="252" w:lineRule="auto"/>
            </w:pPr>
            <w:r/>
            <w:r>
              <w:rPr>
                <w:rFonts w:ascii="Arial" w:hAnsi="Arial"/>
                <w:b w:val="0"/>
                <w:color w:val="1E2935"/>
                <w:sz w:val="16"/>
              </w:rPr>
              <w:t>Producto + ubicación</w:t>
            </w:r>
          </w:p>
        </w:tc>
        <w:tc>
          <w:tcPr>
            <w:tcW w:type="dxa" w:w="5256"/>
            <w:vAlign w:val="center"/>
            <w:tcMar>
              <w:top w:w="90" w:type="dxa"/>
              <w:start w:w="110" w:type="dxa"/>
              <w:bottom w:w="90" w:type="dxa"/>
              <w:end w:w="110" w:type="dxa"/>
            </w:tcMar>
          </w:tcPr>
          <w:p>
            <w:pPr>
              <w:spacing w:after="0" w:line="252" w:lineRule="auto"/>
            </w:pPr>
            <w:r/>
            <w:r>
              <w:rPr>
                <w:rFonts w:ascii="Arial" w:hAnsi="Arial"/>
                <w:b w:val="0"/>
                <w:color w:val="1E2935"/>
                <w:sz w:val="16"/>
              </w:rPr>
              <w:t>Saldo operativo detallado para picking/recepción; el par es único.</w:t>
            </w:r>
          </w:p>
        </w:tc>
      </w:tr>
      <w:tr>
        <w:tc>
          <w:tcPr>
            <w:tcW w:type="dxa" w:w="2088"/>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StockAlmacen</w:t>
            </w:r>
          </w:p>
        </w:tc>
        <w:tc>
          <w:tcPr>
            <w:tcW w:type="dxa" w:w="2880"/>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Producto + almacén</w:t>
            </w:r>
          </w:p>
        </w:tc>
        <w:tc>
          <w:tcPr>
            <w:tcW w:type="dxa" w:w="5256"/>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Resumen derivado de ubicaciones; se sincroniza al finalizar el movimiento.</w:t>
            </w:r>
          </w:p>
        </w:tc>
      </w:tr>
      <w:tr>
        <w:tc>
          <w:tcPr>
            <w:tcW w:type="dxa" w:w="2088"/>
            <w:vAlign w:val="center"/>
            <w:tcMar>
              <w:top w:w="90" w:type="dxa"/>
              <w:start w:w="110" w:type="dxa"/>
              <w:bottom w:w="90" w:type="dxa"/>
              <w:end w:w="110" w:type="dxa"/>
            </w:tcMar>
          </w:tcPr>
          <w:p>
            <w:pPr>
              <w:spacing w:after="0" w:line="252" w:lineRule="auto"/>
            </w:pPr>
            <w:r/>
            <w:r>
              <w:rPr>
                <w:rFonts w:ascii="Arial" w:hAnsi="Arial"/>
                <w:b w:val="0"/>
                <w:color w:val="1E2935"/>
                <w:sz w:val="16"/>
              </w:rPr>
              <w:t>MovimientoStock</w:t>
            </w:r>
          </w:p>
        </w:tc>
        <w:tc>
          <w:tcPr>
            <w:tcW w:type="dxa" w:w="2880"/>
            <w:vAlign w:val="center"/>
            <w:tcMar>
              <w:top w:w="90" w:type="dxa"/>
              <w:start w:w="110" w:type="dxa"/>
              <w:bottom w:w="90" w:type="dxa"/>
              <w:end w:w="110" w:type="dxa"/>
            </w:tcMar>
          </w:tcPr>
          <w:p>
            <w:pPr>
              <w:spacing w:after="0" w:line="252" w:lineRule="auto"/>
            </w:pPr>
            <w:r/>
            <w:r>
              <w:rPr>
                <w:rFonts w:ascii="Arial" w:hAnsi="Arial"/>
                <w:b w:val="0"/>
                <w:color w:val="1E2935"/>
                <w:sz w:val="16"/>
              </w:rPr>
              <w:t>Guía + producto por cierre</w:t>
            </w:r>
          </w:p>
        </w:tc>
        <w:tc>
          <w:tcPr>
            <w:tcW w:type="dxa" w:w="5256"/>
            <w:vAlign w:val="center"/>
            <w:tcMar>
              <w:top w:w="90" w:type="dxa"/>
              <w:start w:w="110" w:type="dxa"/>
              <w:bottom w:w="90" w:type="dxa"/>
              <w:end w:w="110" w:type="dxa"/>
            </w:tcMar>
          </w:tcPr>
          <w:p>
            <w:pPr>
              <w:spacing w:after="0" w:line="252" w:lineRule="auto"/>
            </w:pPr>
            <w:r/>
            <w:r>
              <w:rPr>
                <w:rFonts w:ascii="Arial" w:hAnsi="Arial"/>
                <w:b w:val="0"/>
                <w:color w:val="1E2935"/>
                <w:sz w:val="16"/>
              </w:rPr>
              <w:t>Libro de movimientos y diferencia; el índice único evita duplicar aplicación de una guía/producto.</w:t>
            </w:r>
          </w:p>
        </w:tc>
      </w:tr>
      <w:tr>
        <w:tc>
          <w:tcPr>
            <w:tcW w:type="dxa" w:w="2088"/>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LecturaGuia</w:t>
            </w:r>
          </w:p>
        </w:tc>
        <w:tc>
          <w:tcPr>
            <w:tcW w:type="dxa" w:w="2880"/>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Una fila por captura</w:t>
            </w:r>
          </w:p>
        </w:tc>
        <w:tc>
          <w:tcPr>
            <w:tcW w:type="dxa" w:w="5256"/>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Historial previo al cierre; conserva código, cantidad, lote, serie, ubicación, operador y fecha.</w:t>
            </w:r>
          </w:p>
        </w:tc>
      </w:tr>
    </w:tbl>
    <w:p>
      <w:pPr>
        <w:spacing w:after="0"/>
      </w:pPr>
    </w:p>
    <w:p>
      <w:pPr>
        <w:pStyle w:val="Heading2"/>
      </w:pPr>
      <w:r>
        <w:t>Consultas de stock</w:t>
      </w:r>
    </w:p>
    <w:p>
      <w:r>
        <w:rPr>
          <w:i w:val="0"/>
        </w:rPr>
        <w:t>`StockRepository.ListarAsync` necesita `idAlmacen`; sin este filtro devuelve una lista vacía deliberadamente. Filtra ubicaciones activas y productos activos, carga unidad de medida y ordena por código/ubicación. `StockService` proyecta esos datos a DTO. `GET /api/stocks?idAlmacen=4&amp;idProducto=23` es un ejemplo de consulta compacta para pantalla/reportes.</w:t>
      </w:r>
    </w:p>
    <w:p>
      <w:r>
        <w:br w:type="page"/>
      </w:r>
    </w:p>
    <w:p>
      <w:pPr>
        <w:pStyle w:val="Heading1"/>
      </w:pPr>
      <w:r>
        <w:t>6. Seguridad, sesión y errores</w:t>
      </w:r>
    </w:p>
    <w:p>
      <w:pPr>
        <w:pStyle w:val="Heading2"/>
      </w:pPr>
      <w:r>
        <w:t>Cookies distintas por tipo de cliente</w:t>
      </w:r>
    </w:p>
    <w:p>
      <w:r>
        <w:rPr>
          <w:i w:val="0"/>
        </w:rPr>
        <w:t>`AuthCookieSchemes` define cookies separadas: `ProjectAW.Admin.Auth` y `ProjectAW.Operador.Auth`. Durante login, `AuthApiController` valida credenciales, evalúa origen y rol, crea claims (`NameIdentifier`, usuario, `IdRol`) y firma solo el esquema correspondiente. La cookie es HttpOnly y Secure en HTTPS. No se guarda token en localStorage o sessionStorage.</w:t>
      </w:r>
    </w:p>
    <w:p>
      <w:pPr>
        <w:pStyle w:val="ListBullet"/>
        <w:spacing w:after="40"/>
      </w:pPr>
      <w:r>
        <w:t>La cookie HttpOnly reduce la exposición a JavaScript, pero no elimina XSS/CSRF ni sustituye controles de autorización.</w:t>
      </w:r>
    </w:p>
    <w:p>
      <w:pPr>
        <w:pStyle w:val="ListBullet"/>
        <w:spacing w:after="40"/>
      </w:pPr>
      <w:r>
        <w:t>El selector de esquema usa el Origin configurado de la PWA para seleccionar Operador; un Origin propio del backend selecciona Admin; otros orígenes se rechazan.</w:t>
      </w:r>
    </w:p>
    <w:p>
      <w:pPr>
        <w:pStyle w:val="ListBullet"/>
        <w:spacing w:after="40"/>
      </w:pPr>
      <w:r>
        <w:t>Las cookies pueden compartirse entre puertos del mismo host según reglas del navegador; nombres distintos hacen que el login de operador no reemplace la sesión de administrador.</w:t>
      </w:r>
    </w:p>
    <w:p>
      <w:pPr>
        <w:pStyle w:val="ListBullet"/>
        <w:spacing w:after="40"/>
      </w:pPr>
      <w:r>
        <w:t>CORS lista orígenes permitidos y métodos/headers necesarios; evitar `AllowAnyOrigin` cuando se envían credenciales.</w:t>
      </w:r>
    </w:p>
    <w:p>
      <w:pPr>
        <w:pStyle w:val="ListBullet"/>
        <w:spacing w:after="40"/>
      </w:pPr>
      <w:r>
        <w:t>En `LecturasApiController` se marca `[Authorize]`; además el servicio comprueba rol activo y propiedad de la guía. Autenticación, rol y pertenencia son chequeos distintos.</w:t>
      </w:r>
    </w:p>
    <w:p>
      <w:pPr>
        <w:pStyle w:val="Heading2"/>
      </w:pPr>
      <w:r>
        <w:t>Limitación de intentos y logging</w:t>
      </w:r>
    </w:p>
    <w:p>
      <w:r>
        <w:rPr>
          <w:i w:val="0"/>
        </w:rPr>
        <w:t>Program.cs define una ventana fija para login de 5 intentos por IP cada minuto, sin cola; excederla devuelve 429. `ApiExceptionHandler` registra el error completo en servidor con TraceId, mientras da una respuesta segura al navegador. En producción todavía se necesita protección perimetral, monitoreo, límites de tamaño, alertas y controles contra abuso a nivel de hosting/firewall: el limitador de login no es protección DDoS general.</w:t>
      </w:r>
    </w:p>
    <w:p>
      <w:pPr>
        <w:pStyle w:val="Heading2"/>
      </w:pPr>
      <w:r>
        <w:t>Qué revisar en una llamada no autorizada</w:t>
      </w:r>
    </w:p>
    <w:p>
      <w:pPr>
        <w:pStyle w:val="ListNumber"/>
        <w:spacing w:after="40"/>
      </w:pPr>
      <w:r>
        <w:t>¿La cookie correcta se emitió y el fetch usa `credentials: "include"`?</w:t>
      </w:r>
    </w:p>
    <w:p>
      <w:pPr>
        <w:pStyle w:val="ListNumber"/>
        <w:spacing w:after="40"/>
      </w:pPr>
      <w:r>
        <w:t>¿La URL y el origen están en HTTPS y `Cors:AllowedOrigins` coincide exactamente?</w:t>
      </w:r>
    </w:p>
    <w:p>
      <w:pPr>
        <w:pStyle w:val="ListNumber"/>
        <w:spacing w:after="40"/>
      </w:pPr>
      <w:r>
        <w:t>¿El rol coincide con la aplicación (Operador para PWA y rol de administración para web admin)?</w:t>
      </w:r>
    </w:p>
    <w:p>
      <w:pPr>
        <w:pStyle w:val="ListNumber"/>
        <w:spacing w:after="40"/>
      </w:pPr>
      <w:r>
        <w:t>¿El servicio obtiene el usuario desde `ICurrentUserService` y no desde un campo enviado por el cliente?</w:t>
      </w:r>
    </w:p>
    <w:p>
      <w:pPr>
        <w:pStyle w:val="Heading2"/>
      </w:pPr>
      <w:r>
        <w:t>Desarrollo futuro de permisos</w:t>
      </w:r>
    </w:p>
    <w:p>
      <w:r>
        <w:rPr>
          <w:i w:val="0"/>
        </w:rPr>
        <w:t>Hoy la API global exige usuario autenticado, y el flujo de lectura también verifica rol Operador y asignación de guía. Para futuros módulos administrativos con roles más finos conviene introducir políticas o autorización por rol/claim en endpoints, además de reglas de propiedad en servicios. No basta con ocultar tarjetas en HTML.</w:t>
      </w:r>
    </w:p>
    <w:p>
      <w:r>
        <w:br w:type="page"/>
      </w:r>
    </w:p>
    <w:p>
      <w:pPr>
        <w:pStyle w:val="Heading1"/>
      </w:pPr>
      <w:r>
        <w:t>7. Funciones del cliente PWA</w:t>
      </w:r>
    </w:p>
    <w:p>
      <w:pPr>
        <w:pStyle w:val="Heading2"/>
      </w:pPr>
      <w:r>
        <w:t>Cliente HTTP: api-client.js</w:t>
      </w:r>
    </w:p>
    <w:tbl>
      <w:tblPr>
        <w:tblW w:type="auto" w:w="0"/>
        <w:jc w:val="center"/>
        <w:tblLayout w:type="fixed"/>
        <w:tblLook w:firstColumn="1" w:firstRow="1" w:lastColumn="0" w:lastRow="0" w:noHBand="0" w:noVBand="1" w:val="04A0"/>
        <w:tblBorders>
          <w:top w:val="single" w:sz="5" w:space="0" w:color="D4DEE8"/>
          <w:left w:val="single" w:sz="5" w:space="0" w:color="D4DEE8"/>
          <w:bottom w:val="single" w:sz="5" w:space="0" w:color="D4DEE8"/>
          <w:right w:val="single" w:sz="5" w:space="0" w:color="D4DEE8"/>
          <w:insideH w:val="single" w:sz="5" w:space="0" w:color="D4DEE8"/>
          <w:insideV w:val="single" w:sz="5" w:space="0" w:color="D4DEE8"/>
        </w:tblBorders>
      </w:tblPr>
      <w:tblGrid>
        <w:gridCol w:w="4997"/>
        <w:gridCol w:w="4997"/>
      </w:tblGrid>
      <w:tr>
        <w:trPr>
          <w:tblHeader w:val="true"/>
        </w:trPr>
        <w:tc>
          <w:tcPr>
            <w:tcW w:type="dxa" w:w="2880"/>
            <w:vAlign w:val="center"/>
            <w:tcMar>
              <w:top w:w="90" w:type="dxa"/>
              <w:start w:w="110" w:type="dxa"/>
              <w:bottom w:w="90" w:type="dxa"/>
              <w:end w:w="110" w:type="dxa"/>
            </w:tcMar>
            <w:shd w:fill="123E67"/>
          </w:tcPr>
          <w:p>
            <w:pPr>
              <w:spacing w:after="0" w:line="252" w:lineRule="auto"/>
            </w:pPr>
            <w:r/>
            <w:r>
              <w:rPr>
                <w:rFonts w:ascii="Arial" w:hAnsi="Arial"/>
                <w:b/>
                <w:color w:val="FFFFFF"/>
                <w:sz w:val="16"/>
              </w:rPr>
              <w:t>Función</w:t>
            </w:r>
          </w:p>
        </w:tc>
        <w:tc>
          <w:tcPr>
            <w:tcW w:type="dxa" w:w="7344"/>
            <w:vAlign w:val="center"/>
            <w:tcMar>
              <w:top w:w="90" w:type="dxa"/>
              <w:start w:w="110" w:type="dxa"/>
              <w:bottom w:w="90" w:type="dxa"/>
              <w:end w:w="110" w:type="dxa"/>
            </w:tcMar>
            <w:shd w:fill="123E67"/>
          </w:tcPr>
          <w:p>
            <w:pPr>
              <w:spacing w:after="0" w:line="252" w:lineRule="auto"/>
            </w:pPr>
            <w:r/>
            <w:r>
              <w:rPr>
                <w:rFonts w:ascii="Arial" w:hAnsi="Arial"/>
                <w:b/>
                <w:color w:val="FFFFFF"/>
                <w:sz w:val="16"/>
              </w:rPr>
              <w:t>Uso</w:t>
            </w:r>
          </w:p>
        </w:tc>
      </w:tr>
      <w:tr>
        <w:tc>
          <w:tcPr>
            <w:tcW w:type="dxa" w:w="2880"/>
            <w:vAlign w:val="center"/>
            <w:tcMar>
              <w:top w:w="90" w:type="dxa"/>
              <w:start w:w="110" w:type="dxa"/>
              <w:bottom w:w="90" w:type="dxa"/>
              <w:end w:w="110" w:type="dxa"/>
            </w:tcMar>
          </w:tcPr>
          <w:p>
            <w:pPr>
              <w:spacing w:after="0" w:line="252" w:lineRule="auto"/>
            </w:pPr>
            <w:r/>
            <w:r>
              <w:rPr>
                <w:rFonts w:ascii="Arial" w:hAnsi="Arial"/>
                <w:b w:val="0"/>
                <w:color w:val="1E2935"/>
                <w:sz w:val="16"/>
              </w:rPr>
              <w:t>requestJson(path, options)</w:t>
            </w:r>
          </w:p>
        </w:tc>
        <w:tc>
          <w:tcPr>
            <w:tcW w:type="dxa" w:w="7344"/>
            <w:vAlign w:val="center"/>
            <w:tcMar>
              <w:top w:w="90" w:type="dxa"/>
              <w:start w:w="110" w:type="dxa"/>
              <w:bottom w:w="90" w:type="dxa"/>
              <w:end w:w="110" w:type="dxa"/>
            </w:tcMar>
          </w:tcPr>
          <w:p>
            <w:pPr>
              <w:spacing w:after="0" w:line="252" w:lineRule="auto"/>
            </w:pPr>
            <w:r/>
            <w:r>
              <w:rPr>
                <w:rFonts w:ascii="Arial" w:hAnsi="Arial"/>
                <w:b w:val="0"/>
                <w:color w:val="1E2935"/>
                <w:sz w:val="16"/>
              </w:rPr>
              <w:t>Privada. Une base URL + ruta, envía credenciales, negocia JSON/Problem Details y normaliza errores como ApiError.</w:t>
            </w:r>
          </w:p>
        </w:tc>
      </w:tr>
      <w:tr>
        <w:tc>
          <w:tcPr>
            <w:tcW w:type="dxa" w:w="2880"/>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getJson(path)</w:t>
            </w:r>
          </w:p>
        </w:tc>
        <w:tc>
          <w:tcPr>
            <w:tcW w:type="dxa" w:w="7344"/>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GET JSON para listados, catálogos, detalle e historial.</w:t>
            </w:r>
          </w:p>
        </w:tc>
      </w:tr>
      <w:tr>
        <w:tc>
          <w:tcPr>
            <w:tcW w:type="dxa" w:w="2880"/>
            <w:vAlign w:val="center"/>
            <w:tcMar>
              <w:top w:w="90" w:type="dxa"/>
              <w:start w:w="110" w:type="dxa"/>
              <w:bottom w:w="90" w:type="dxa"/>
              <w:end w:w="110" w:type="dxa"/>
            </w:tcMar>
          </w:tcPr>
          <w:p>
            <w:pPr>
              <w:spacing w:after="0" w:line="252" w:lineRule="auto"/>
            </w:pPr>
            <w:r/>
            <w:r>
              <w:rPr>
                <w:rFonts w:ascii="Arial" w:hAnsi="Arial"/>
                <w:b w:val="0"/>
                <w:color w:val="1E2935"/>
                <w:sz w:val="16"/>
              </w:rPr>
              <w:t>postJson(path, body)</w:t>
            </w:r>
          </w:p>
        </w:tc>
        <w:tc>
          <w:tcPr>
            <w:tcW w:type="dxa" w:w="7344"/>
            <w:vAlign w:val="center"/>
            <w:tcMar>
              <w:top w:w="90" w:type="dxa"/>
              <w:start w:w="110" w:type="dxa"/>
              <w:bottom w:w="90" w:type="dxa"/>
              <w:end w:w="110" w:type="dxa"/>
            </w:tcMar>
          </w:tcPr>
          <w:p>
            <w:pPr>
              <w:spacing w:after="0" w:line="252" w:lineRule="auto"/>
            </w:pPr>
            <w:r/>
            <w:r>
              <w:rPr>
                <w:rFonts w:ascii="Arial" w:hAnsi="Arial"/>
                <w:b w:val="0"/>
                <w:color w:val="1E2935"/>
                <w:sz w:val="16"/>
              </w:rPr>
              <w:t>POST con JSON para login y registrar lectura.</w:t>
            </w:r>
          </w:p>
        </w:tc>
      </w:tr>
      <w:tr>
        <w:tc>
          <w:tcPr>
            <w:tcW w:type="dxa" w:w="2880"/>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post(path)</w:t>
            </w:r>
          </w:p>
        </w:tc>
        <w:tc>
          <w:tcPr>
            <w:tcW w:type="dxa" w:w="7344"/>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POST sin cuerpo para tomar, cerrar sesión y finalizar.</w:t>
            </w:r>
          </w:p>
        </w:tc>
      </w:tr>
      <w:tr>
        <w:tc>
          <w:tcPr>
            <w:tcW w:type="dxa" w:w="2880"/>
            <w:vAlign w:val="center"/>
            <w:tcMar>
              <w:top w:w="90" w:type="dxa"/>
              <w:start w:w="110" w:type="dxa"/>
              <w:bottom w:w="90" w:type="dxa"/>
              <w:end w:w="110" w:type="dxa"/>
            </w:tcMar>
          </w:tcPr>
          <w:p>
            <w:pPr>
              <w:spacing w:after="0" w:line="252" w:lineRule="auto"/>
            </w:pPr>
            <w:r/>
            <w:r>
              <w:rPr>
                <w:rFonts w:ascii="Arial" w:hAnsi="Arial"/>
                <w:b w:val="0"/>
                <w:color w:val="1E2935"/>
                <w:sz w:val="16"/>
              </w:rPr>
              <w:t>checkApiReachability(timeoutMs)</w:t>
            </w:r>
          </w:p>
        </w:tc>
        <w:tc>
          <w:tcPr>
            <w:tcW w:type="dxa" w:w="7344"/>
            <w:vAlign w:val="center"/>
            <w:tcMar>
              <w:top w:w="90" w:type="dxa"/>
              <w:start w:w="110" w:type="dxa"/>
              <w:bottom w:w="90" w:type="dxa"/>
              <w:end w:w="110" w:type="dxa"/>
            </w:tcMar>
          </w:tcPr>
          <w:p>
            <w:pPr>
              <w:spacing w:after="0" w:line="252" w:lineRule="auto"/>
            </w:pPr>
            <w:r/>
            <w:r>
              <w:rPr>
                <w:rFonts w:ascii="Arial" w:hAnsi="Arial"/>
                <w:b w:val="0"/>
                <w:color w:val="1E2935"/>
                <w:sz w:val="16"/>
              </w:rPr>
              <w:t>Prueba si el host API responde por HTTPS con timeout; no comprueba login ni endpoint de negocio.</w:t>
            </w:r>
          </w:p>
        </w:tc>
      </w:tr>
    </w:tbl>
    <w:p>
      <w:pPr>
        <w:spacing w:after="0"/>
      </w:pPr>
    </w:p>
    <w:p>
      <w:pPr>
        <w:pStyle w:val="Heading2"/>
      </w:pPr>
      <w:r>
        <w:t>Funciones compartidas para guías: guias.js</w:t>
      </w:r>
    </w:p>
    <w:tbl>
      <w:tblPr>
        <w:tblW w:type="auto" w:w="0"/>
        <w:jc w:val="center"/>
        <w:tblLayout w:type="fixed"/>
        <w:tblLook w:firstColumn="1" w:firstRow="1" w:lastColumn="0" w:lastRow="0" w:noHBand="0" w:noVBand="1" w:val="04A0"/>
        <w:tblBorders>
          <w:top w:val="single" w:sz="5" w:space="0" w:color="D4DEE8"/>
          <w:left w:val="single" w:sz="5" w:space="0" w:color="D4DEE8"/>
          <w:bottom w:val="single" w:sz="5" w:space="0" w:color="D4DEE8"/>
          <w:right w:val="single" w:sz="5" w:space="0" w:color="D4DEE8"/>
          <w:insideH w:val="single" w:sz="5" w:space="0" w:color="D4DEE8"/>
          <w:insideV w:val="single" w:sz="5" w:space="0" w:color="D4DEE8"/>
        </w:tblBorders>
      </w:tblPr>
      <w:tblGrid>
        <w:gridCol w:w="4997"/>
        <w:gridCol w:w="4997"/>
      </w:tblGrid>
      <w:tr>
        <w:trPr>
          <w:tblHeader w:val="true"/>
        </w:trPr>
        <w:tc>
          <w:tcPr>
            <w:tcW w:type="dxa" w:w="3168"/>
            <w:vAlign w:val="center"/>
            <w:tcMar>
              <w:top w:w="90" w:type="dxa"/>
              <w:start w:w="110" w:type="dxa"/>
              <w:bottom w:w="90" w:type="dxa"/>
              <w:end w:w="110" w:type="dxa"/>
            </w:tcMar>
            <w:shd w:fill="123E67"/>
          </w:tcPr>
          <w:p>
            <w:pPr>
              <w:spacing w:after="0" w:line="252" w:lineRule="auto"/>
            </w:pPr>
            <w:r/>
            <w:r>
              <w:rPr>
                <w:rFonts w:ascii="Arial" w:hAnsi="Arial"/>
                <w:b/>
                <w:color w:val="FFFFFF"/>
                <w:sz w:val="15"/>
              </w:rPr>
              <w:t>Función</w:t>
            </w:r>
          </w:p>
        </w:tc>
        <w:tc>
          <w:tcPr>
            <w:tcW w:type="dxa" w:w="7056"/>
            <w:vAlign w:val="center"/>
            <w:tcMar>
              <w:top w:w="90" w:type="dxa"/>
              <w:start w:w="110" w:type="dxa"/>
              <w:bottom w:w="90" w:type="dxa"/>
              <w:end w:w="110" w:type="dxa"/>
            </w:tcMar>
            <w:shd w:fill="123E67"/>
          </w:tcPr>
          <w:p>
            <w:pPr>
              <w:spacing w:after="0" w:line="252" w:lineRule="auto"/>
            </w:pPr>
            <w:r/>
            <w:r>
              <w:rPr>
                <w:rFonts w:ascii="Arial" w:hAnsi="Arial"/>
                <w:b/>
                <w:color w:val="FFFFFF"/>
                <w:sz w:val="15"/>
              </w:rPr>
              <w:t>Cuándo usarla</w:t>
            </w:r>
          </w:p>
        </w:tc>
      </w:tr>
      <w:tr>
        <w:tc>
          <w:tcPr>
            <w:tcW w:type="dxa" w:w="3168"/>
            <w:vAlign w:val="center"/>
            <w:tcMar>
              <w:top w:w="90" w:type="dxa"/>
              <w:start w:w="110" w:type="dxa"/>
              <w:bottom w:w="90" w:type="dxa"/>
              <w:end w:w="110" w:type="dxa"/>
            </w:tcMar>
          </w:tcPr>
          <w:p>
            <w:pPr>
              <w:spacing w:after="0" w:line="252" w:lineRule="auto"/>
            </w:pPr>
            <w:r/>
            <w:r>
              <w:rPr>
                <w:rFonts w:ascii="Arial" w:hAnsi="Arial"/>
                <w:b w:val="0"/>
                <w:color w:val="1E2935"/>
                <w:sz w:val="15"/>
              </w:rPr>
              <w:t>getGuides(tipo, estado)</w:t>
            </w:r>
          </w:p>
        </w:tc>
        <w:tc>
          <w:tcPr>
            <w:tcW w:type="dxa" w:w="7056"/>
            <w:vAlign w:val="center"/>
            <w:tcMar>
              <w:top w:w="90" w:type="dxa"/>
              <w:start w:w="110" w:type="dxa"/>
              <w:bottom w:w="90" w:type="dxa"/>
              <w:end w:w="110" w:type="dxa"/>
            </w:tcMar>
          </w:tcPr>
          <w:p>
            <w:pPr>
              <w:spacing w:after="0" w:line="252" w:lineRule="auto"/>
            </w:pPr>
            <w:r/>
            <w:r>
              <w:rPr>
                <w:rFonts w:ascii="Arial" w:hAnsi="Arial"/>
                <w:b w:val="0"/>
                <w:color w:val="1E2935"/>
                <w:sz w:val="15"/>
              </w:rPr>
              <w:t>Listar guías por operación/estado y ordenar por fecha programada.</w:t>
            </w:r>
          </w:p>
        </w:tc>
      </w:tr>
      <w:tr>
        <w:tc>
          <w:tcPr>
            <w:tcW w:type="dxa" w:w="3168"/>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getGuideById(id)</w:t>
            </w:r>
          </w:p>
        </w:tc>
        <w:tc>
          <w:tcPr>
            <w:tcW w:type="dxa" w:w="7056"/>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Volver a comprobar el detalle antes de pedir que se tome.</w:t>
            </w:r>
          </w:p>
        </w:tc>
      </w:tr>
      <w:tr>
        <w:tc>
          <w:tcPr>
            <w:tcW w:type="dxa" w:w="3168"/>
            <w:vAlign w:val="center"/>
            <w:tcMar>
              <w:top w:w="90" w:type="dxa"/>
              <w:start w:w="110" w:type="dxa"/>
              <w:bottom w:w="90" w:type="dxa"/>
              <w:end w:w="110" w:type="dxa"/>
            </w:tcMar>
          </w:tcPr>
          <w:p>
            <w:pPr>
              <w:spacing w:after="0" w:line="252" w:lineRule="auto"/>
            </w:pPr>
            <w:r/>
            <w:r>
              <w:rPr>
                <w:rFonts w:ascii="Arial" w:hAnsi="Arial"/>
                <w:b w:val="0"/>
                <w:color w:val="1E2935"/>
                <w:sz w:val="15"/>
              </w:rPr>
              <w:t>takeGuide(id)</w:t>
            </w:r>
          </w:p>
        </w:tc>
        <w:tc>
          <w:tcPr>
            <w:tcW w:type="dxa" w:w="7056"/>
            <w:vAlign w:val="center"/>
            <w:tcMar>
              <w:top w:w="90" w:type="dxa"/>
              <w:start w:w="110" w:type="dxa"/>
              <w:bottom w:w="90" w:type="dxa"/>
              <w:end w:w="110" w:type="dxa"/>
            </w:tcMar>
          </w:tcPr>
          <w:p>
            <w:pPr>
              <w:spacing w:after="0" w:line="252" w:lineRule="auto"/>
            </w:pPr>
            <w:r/>
            <w:r>
              <w:rPr>
                <w:rFonts w:ascii="Arial" w:hAnsi="Arial"/>
                <w:b w:val="0"/>
                <w:color w:val="1E2935"/>
                <w:sz w:val="15"/>
              </w:rPr>
              <w:t>Asignar una guía pendiente a operador autenticado.</w:t>
            </w:r>
          </w:p>
        </w:tc>
      </w:tr>
      <w:tr>
        <w:tc>
          <w:tcPr>
            <w:tcW w:type="dxa" w:w="3168"/>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getMyGuides(estado)</w:t>
            </w:r>
          </w:p>
        </w:tc>
        <w:tc>
          <w:tcPr>
            <w:tcW w:type="dxa" w:w="7056"/>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Consultar Mis guías con filtro opcional por estado.</w:t>
            </w:r>
          </w:p>
        </w:tc>
      </w:tr>
      <w:tr>
        <w:tc>
          <w:tcPr>
            <w:tcW w:type="dxa" w:w="3168"/>
            <w:vAlign w:val="center"/>
            <w:tcMar>
              <w:top w:w="90" w:type="dxa"/>
              <w:start w:w="110" w:type="dxa"/>
              <w:bottom w:w="90" w:type="dxa"/>
              <w:end w:w="110" w:type="dxa"/>
            </w:tcMar>
          </w:tcPr>
          <w:p>
            <w:pPr>
              <w:spacing w:after="0" w:line="252" w:lineRule="auto"/>
            </w:pPr>
            <w:r/>
            <w:r>
              <w:rPr>
                <w:rFonts w:ascii="Arial" w:hAnsi="Arial"/>
                <w:b w:val="0"/>
                <w:color w:val="1E2935"/>
                <w:sz w:val="15"/>
              </w:rPr>
              <w:t>getMyGuideById(id)</w:t>
            </w:r>
          </w:p>
        </w:tc>
        <w:tc>
          <w:tcPr>
            <w:tcW w:type="dxa" w:w="7056"/>
            <w:vAlign w:val="center"/>
            <w:tcMar>
              <w:top w:w="90" w:type="dxa"/>
              <w:start w:w="110" w:type="dxa"/>
              <w:bottom w:w="90" w:type="dxa"/>
              <w:end w:w="110" w:type="dxa"/>
            </w:tcMar>
          </w:tcPr>
          <w:p>
            <w:pPr>
              <w:spacing w:after="0" w:line="252" w:lineRule="auto"/>
            </w:pPr>
            <w:r/>
            <w:r>
              <w:rPr>
                <w:rFonts w:ascii="Arial" w:hAnsi="Arial"/>
                <w:b w:val="0"/>
                <w:color w:val="1E2935"/>
                <w:sz w:val="15"/>
              </w:rPr>
              <w:t>Detalle seguro de una guía asignada.</w:t>
            </w:r>
          </w:p>
        </w:tc>
      </w:tr>
      <w:tr>
        <w:tc>
          <w:tcPr>
            <w:tcW w:type="dxa" w:w="3168"/>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registerGuideReading(id, request)</w:t>
            </w:r>
          </w:p>
        </w:tc>
        <w:tc>
          <w:tcPr>
            <w:tcW w:type="dxa" w:w="7056"/>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Guardar una captura JSON individual.</w:t>
            </w:r>
          </w:p>
        </w:tc>
      </w:tr>
      <w:tr>
        <w:tc>
          <w:tcPr>
            <w:tcW w:type="dxa" w:w="3168"/>
            <w:vAlign w:val="center"/>
            <w:tcMar>
              <w:top w:w="90" w:type="dxa"/>
              <w:start w:w="110" w:type="dxa"/>
              <w:bottom w:w="90" w:type="dxa"/>
              <w:end w:w="110" w:type="dxa"/>
            </w:tcMar>
          </w:tcPr>
          <w:p>
            <w:pPr>
              <w:spacing w:after="0" w:line="252" w:lineRule="auto"/>
            </w:pPr>
            <w:r/>
            <w:r>
              <w:rPr>
                <w:rFonts w:ascii="Arial" w:hAnsi="Arial"/>
                <w:b w:val="0"/>
                <w:color w:val="1E2935"/>
                <w:sz w:val="15"/>
              </w:rPr>
              <w:t>getGuideReadingHistory(id)</w:t>
            </w:r>
          </w:p>
        </w:tc>
        <w:tc>
          <w:tcPr>
            <w:tcW w:type="dxa" w:w="7056"/>
            <w:vAlign w:val="center"/>
            <w:tcMar>
              <w:top w:w="90" w:type="dxa"/>
              <w:start w:w="110" w:type="dxa"/>
              <w:bottom w:w="90" w:type="dxa"/>
              <w:end w:w="110" w:type="dxa"/>
            </w:tcMar>
          </w:tcPr>
          <w:p>
            <w:pPr>
              <w:spacing w:after="0" w:line="252" w:lineRule="auto"/>
            </w:pPr>
            <w:r/>
            <w:r>
              <w:rPr>
                <w:rFonts w:ascii="Arial" w:hAnsi="Arial"/>
                <w:b w:val="0"/>
                <w:color w:val="1E2935"/>
                <w:sz w:val="15"/>
              </w:rPr>
              <w:t>Recuperar el historial persistido.</w:t>
            </w:r>
          </w:p>
        </w:tc>
      </w:tr>
      <w:tr>
        <w:tc>
          <w:tcPr>
            <w:tcW w:type="dxa" w:w="3168"/>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finalizeGuideReadings(id)</w:t>
            </w:r>
          </w:p>
        </w:tc>
        <w:tc>
          <w:tcPr>
            <w:tcW w:type="dxa" w:w="7056"/>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Pedir el cierre transaccional al backend.</w:t>
            </w:r>
          </w:p>
        </w:tc>
      </w:tr>
      <w:tr>
        <w:tc>
          <w:tcPr>
            <w:tcW w:type="dxa" w:w="3168"/>
            <w:vAlign w:val="center"/>
            <w:tcMar>
              <w:top w:w="90" w:type="dxa"/>
              <w:start w:w="110" w:type="dxa"/>
              <w:bottom w:w="90" w:type="dxa"/>
              <w:end w:w="110" w:type="dxa"/>
            </w:tcMar>
          </w:tcPr>
          <w:p>
            <w:pPr>
              <w:spacing w:after="0" w:line="252" w:lineRule="auto"/>
            </w:pPr>
            <w:r/>
            <w:r>
              <w:rPr>
                <w:rFonts w:ascii="Arial" w:hAnsi="Arial"/>
                <w:b w:val="0"/>
                <w:color w:val="1E2935"/>
                <w:sz w:val="15"/>
              </w:rPr>
              <w:t>getActiveLocations(almacen)</w:t>
            </w:r>
          </w:p>
        </w:tc>
        <w:tc>
          <w:tcPr>
            <w:tcW w:type="dxa" w:w="7056"/>
            <w:vAlign w:val="center"/>
            <w:tcMar>
              <w:top w:w="90" w:type="dxa"/>
              <w:start w:w="110" w:type="dxa"/>
              <w:bottom w:w="90" w:type="dxa"/>
              <w:end w:w="110" w:type="dxa"/>
            </w:tcMar>
          </w:tcPr>
          <w:p>
            <w:pPr>
              <w:spacing w:after="0" w:line="252" w:lineRule="auto"/>
            </w:pPr>
            <w:r/>
            <w:r>
              <w:rPr>
                <w:rFonts w:ascii="Arial" w:hAnsi="Arial"/>
                <w:b w:val="0"/>
                <w:color w:val="1E2935"/>
                <w:sz w:val="15"/>
              </w:rPr>
              <w:t>Cargar datalist de ubicaciones activas.</w:t>
            </w:r>
          </w:p>
        </w:tc>
      </w:tr>
      <w:tr>
        <w:tc>
          <w:tcPr>
            <w:tcW w:type="dxa" w:w="3168"/>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getReceptionLookups()</w:t>
            </w:r>
          </w:p>
        </w:tc>
        <w:tc>
          <w:tcPr>
            <w:tcW w:type="dxa" w:w="7056"/>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Enriquecer solo Recepción con nombres de proveedor y almacén.</w:t>
            </w:r>
          </w:p>
        </w:tc>
      </w:tr>
      <w:tr>
        <w:tc>
          <w:tcPr>
            <w:tcW w:type="dxa" w:w="3168"/>
            <w:vAlign w:val="center"/>
            <w:tcMar>
              <w:top w:w="90" w:type="dxa"/>
              <w:start w:w="110" w:type="dxa"/>
              <w:bottom w:w="90" w:type="dxa"/>
              <w:end w:w="110" w:type="dxa"/>
            </w:tcMar>
          </w:tcPr>
          <w:p>
            <w:pPr>
              <w:spacing w:after="0" w:line="252" w:lineRule="auto"/>
            </w:pPr>
            <w:r/>
            <w:r>
              <w:rPr>
                <w:rFonts w:ascii="Arial" w:hAnsi="Arial"/>
                <w:b w:val="0"/>
                <w:color w:val="1E2935"/>
                <w:sz w:val="15"/>
              </w:rPr>
              <w:t>getGuideDetailLookups(tipo, knownProducts?)</w:t>
            </w:r>
          </w:p>
        </w:tc>
        <w:tc>
          <w:tcPr>
            <w:tcW w:type="dxa" w:w="7056"/>
            <w:vAlign w:val="center"/>
            <w:tcMar>
              <w:top w:w="90" w:type="dxa"/>
              <w:start w:w="110" w:type="dxa"/>
              <w:bottom w:w="90" w:type="dxa"/>
              <w:end w:w="110" w:type="dxa"/>
            </w:tcMar>
          </w:tcPr>
          <w:p>
            <w:pPr>
              <w:spacing w:after="0" w:line="252" w:lineRule="auto"/>
            </w:pPr>
            <w:r/>
            <w:r>
              <w:rPr>
                <w:rFonts w:ascii="Arial" w:hAnsi="Arial"/>
                <w:b w:val="0"/>
                <w:color w:val="1E2935"/>
                <w:sz w:val="15"/>
              </w:rPr>
              <w:t>Enriquecer detalle/registro; permite reutilizar catálogo ya cargado.</w:t>
            </w:r>
          </w:p>
        </w:tc>
      </w:tr>
      <w:tr>
        <w:tc>
          <w:tcPr>
            <w:tcW w:type="dxa" w:w="3168"/>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showApiError(error), isUnauthorized(error)</w:t>
            </w:r>
          </w:p>
        </w:tc>
        <w:tc>
          <w:tcPr>
            <w:tcW w:type="dxa" w:w="7056"/>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Unificar mensajes y detectar expiración de sesión.</w:t>
            </w:r>
          </w:p>
        </w:tc>
      </w:tr>
      <w:tr>
        <w:tc>
          <w:tcPr>
            <w:tcW w:type="dxa" w:w="3168"/>
            <w:vAlign w:val="center"/>
            <w:tcMar>
              <w:top w:w="90" w:type="dxa"/>
              <w:start w:w="110" w:type="dxa"/>
              <w:bottom w:w="90" w:type="dxa"/>
              <w:end w:w="110" w:type="dxa"/>
            </w:tcMar>
          </w:tcPr>
          <w:p>
            <w:pPr>
              <w:spacing w:after="0" w:line="252" w:lineRule="auto"/>
            </w:pPr>
            <w:r/>
            <w:r>
              <w:rPr>
                <w:rFonts w:ascii="Arial" w:hAnsi="Arial"/>
                <w:b w:val="0"/>
                <w:color w:val="1E2935"/>
                <w:sz w:val="15"/>
              </w:rPr>
              <w:t>formatScheduledAt(value)</w:t>
            </w:r>
          </w:p>
        </w:tc>
        <w:tc>
          <w:tcPr>
            <w:tcW w:type="dxa" w:w="7056"/>
            <w:vAlign w:val="center"/>
            <w:tcMar>
              <w:top w:w="90" w:type="dxa"/>
              <w:start w:w="110" w:type="dxa"/>
              <w:bottom w:w="90" w:type="dxa"/>
              <w:end w:w="110" w:type="dxa"/>
            </w:tcMar>
          </w:tcPr>
          <w:p>
            <w:pPr>
              <w:spacing w:after="0" w:line="252" w:lineRule="auto"/>
            </w:pPr>
            <w:r/>
            <w:r>
              <w:rPr>
                <w:rFonts w:ascii="Arial" w:hAnsi="Arial"/>
                <w:b w:val="0"/>
                <w:color w:val="1E2935"/>
                <w:sz w:val="15"/>
              </w:rPr>
              <w:t>Dar formato local es-PE para fecha y hora.</w:t>
            </w:r>
          </w:p>
        </w:tc>
      </w:tr>
    </w:tbl>
    <w:p>
      <w:pPr>
        <w:spacing w:after="0"/>
      </w:pPr>
    </w:p>
    <w:p>
      <w:pPr>
        <w:pStyle w:val="Heading2"/>
      </w:pPr>
      <w:r>
        <w:t>Pantallas principales</w:t>
      </w:r>
    </w:p>
    <w:tbl>
      <w:tblPr>
        <w:tblW w:type="auto" w:w="0"/>
        <w:jc w:val="center"/>
        <w:tblLayout w:type="fixed"/>
        <w:tblLook w:firstColumn="1" w:firstRow="1" w:lastColumn="0" w:lastRow="0" w:noHBand="0" w:noVBand="1" w:val="04A0"/>
        <w:tblBorders>
          <w:top w:val="single" w:sz="5" w:space="0" w:color="D4DEE8"/>
          <w:left w:val="single" w:sz="5" w:space="0" w:color="D4DEE8"/>
          <w:bottom w:val="single" w:sz="5" w:space="0" w:color="D4DEE8"/>
          <w:right w:val="single" w:sz="5" w:space="0" w:color="D4DEE8"/>
          <w:insideH w:val="single" w:sz="5" w:space="0" w:color="D4DEE8"/>
          <w:insideV w:val="single" w:sz="5" w:space="0" w:color="D4DEE8"/>
        </w:tblBorders>
      </w:tblPr>
      <w:tblGrid>
        <w:gridCol w:w="4997"/>
        <w:gridCol w:w="4997"/>
      </w:tblGrid>
      <w:tr>
        <w:trPr>
          <w:tblHeader w:val="true"/>
        </w:trPr>
        <w:tc>
          <w:tcPr>
            <w:tcW w:type="dxa" w:w="2880"/>
            <w:vAlign w:val="center"/>
            <w:tcMar>
              <w:top w:w="90" w:type="dxa"/>
              <w:start w:w="110" w:type="dxa"/>
              <w:bottom w:w="90" w:type="dxa"/>
              <w:end w:w="110" w:type="dxa"/>
            </w:tcMar>
            <w:shd w:fill="123E67"/>
          </w:tcPr>
          <w:p>
            <w:pPr>
              <w:spacing w:after="0" w:line="252" w:lineRule="auto"/>
            </w:pPr>
            <w:r/>
            <w:r>
              <w:rPr>
                <w:rFonts w:ascii="Arial" w:hAnsi="Arial"/>
                <w:b/>
                <w:color w:val="FFFFFF"/>
                <w:sz w:val="16"/>
              </w:rPr>
              <w:t>Archivo</w:t>
            </w:r>
          </w:p>
        </w:tc>
        <w:tc>
          <w:tcPr>
            <w:tcW w:type="dxa" w:w="7344"/>
            <w:vAlign w:val="center"/>
            <w:tcMar>
              <w:top w:w="90" w:type="dxa"/>
              <w:start w:w="110" w:type="dxa"/>
              <w:bottom w:w="90" w:type="dxa"/>
              <w:end w:w="110" w:type="dxa"/>
            </w:tcMar>
            <w:shd w:fill="123E67"/>
          </w:tcPr>
          <w:p>
            <w:pPr>
              <w:spacing w:after="0" w:line="252" w:lineRule="auto"/>
            </w:pPr>
            <w:r/>
            <w:r>
              <w:rPr>
                <w:rFonts w:ascii="Arial" w:hAnsi="Arial"/>
                <w:b/>
                <w:color w:val="FFFFFF"/>
                <w:sz w:val="16"/>
              </w:rPr>
              <w:t>Función principal</w:t>
            </w:r>
          </w:p>
        </w:tc>
      </w:tr>
      <w:tr>
        <w:tc>
          <w:tcPr>
            <w:tcW w:type="dxa" w:w="2880"/>
            <w:vAlign w:val="center"/>
            <w:tcMar>
              <w:top w:w="90" w:type="dxa"/>
              <w:start w:w="110" w:type="dxa"/>
              <w:bottom w:w="90" w:type="dxa"/>
              <w:end w:w="110" w:type="dxa"/>
            </w:tcMar>
          </w:tcPr>
          <w:p>
            <w:pPr>
              <w:spacing w:after="0" w:line="252" w:lineRule="auto"/>
            </w:pPr>
            <w:r/>
            <w:r>
              <w:rPr>
                <w:rFonts w:ascii="Arial" w:hAnsi="Arial"/>
                <w:b w:val="0"/>
                <w:color w:val="1E2935"/>
                <w:sz w:val="16"/>
              </w:rPr>
              <w:t>inicio/home.js</w:t>
            </w:r>
          </w:p>
        </w:tc>
        <w:tc>
          <w:tcPr>
            <w:tcW w:type="dxa" w:w="7344"/>
            <w:vAlign w:val="center"/>
            <w:tcMar>
              <w:top w:w="90" w:type="dxa"/>
              <w:start w:w="110" w:type="dxa"/>
              <w:bottom w:w="90" w:type="dxa"/>
              <w:end w:w="110" w:type="dxa"/>
            </w:tcMar>
          </w:tcPr>
          <w:p>
            <w:pPr>
              <w:spacing w:after="0" w:line="252" w:lineRule="auto"/>
            </w:pPr>
            <w:r/>
            <w:r>
              <w:rPr>
                <w:rFonts w:ascii="Arial" w:hAnsi="Arial"/>
                <w:b w:val="0"/>
                <w:color w:val="1E2935"/>
                <w:sz w:val="16"/>
              </w:rPr>
              <w:t>Crea cards de Recepción/Despacho/Traslado, consulta conteos con Promise.allSettled y lleva a login ante 401.</w:t>
            </w:r>
          </w:p>
        </w:tc>
      </w:tr>
      <w:tr>
        <w:tc>
          <w:tcPr>
            <w:tcW w:type="dxa" w:w="2880"/>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guias/listado.js</w:t>
            </w:r>
          </w:p>
        </w:tc>
        <w:tc>
          <w:tcPr>
            <w:tcW w:type="dxa" w:w="7344"/>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Carga una operación, presenta tarjetas y confirma antes de tomar la guía.</w:t>
            </w:r>
          </w:p>
        </w:tc>
      </w:tr>
      <w:tr>
        <w:tc>
          <w:tcPr>
            <w:tcW w:type="dxa" w:w="2880"/>
            <w:vAlign w:val="center"/>
            <w:tcMar>
              <w:top w:w="90" w:type="dxa"/>
              <w:start w:w="110" w:type="dxa"/>
              <w:bottom w:w="90" w:type="dxa"/>
              <w:end w:w="110" w:type="dxa"/>
            </w:tcMar>
          </w:tcPr>
          <w:p>
            <w:pPr>
              <w:spacing w:after="0" w:line="252" w:lineRule="auto"/>
            </w:pPr>
            <w:r/>
            <w:r>
              <w:rPr>
                <w:rFonts w:ascii="Arial" w:hAnsi="Arial"/>
                <w:b w:val="0"/>
                <w:color w:val="1E2935"/>
                <w:sz w:val="16"/>
              </w:rPr>
              <w:t>guias/mis-guias.js</w:t>
            </w:r>
          </w:p>
        </w:tc>
        <w:tc>
          <w:tcPr>
            <w:tcW w:type="dxa" w:w="7344"/>
            <w:vAlign w:val="center"/>
            <w:tcMar>
              <w:top w:w="90" w:type="dxa"/>
              <w:start w:w="110" w:type="dxa"/>
              <w:bottom w:w="90" w:type="dxa"/>
              <w:end w:w="110" w:type="dxa"/>
            </w:tcMar>
          </w:tcPr>
          <w:p>
            <w:pPr>
              <w:spacing w:after="0" w:line="252" w:lineRule="auto"/>
            </w:pPr>
            <w:r/>
            <w:r>
              <w:rPr>
                <w:rFonts w:ascii="Arial" w:hAnsi="Arial"/>
                <w:b w:val="0"/>
                <w:color w:val="1E2935"/>
                <w:sz w:val="16"/>
              </w:rPr>
              <w:t>Tabs En proceso/Terminadas; permite reabrir detalle con el ID.</w:t>
            </w:r>
          </w:p>
        </w:tc>
      </w:tr>
      <w:tr>
        <w:tc>
          <w:tcPr>
            <w:tcW w:type="dxa" w:w="2880"/>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guias/detalle.js</w:t>
            </w:r>
          </w:p>
        </w:tc>
        <w:tc>
          <w:tcPr>
            <w:tcW w:type="dxa" w:w="7344"/>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Carga solo guías propias y ofrece Empezar registro si está en proceso.</w:t>
            </w:r>
          </w:p>
        </w:tc>
      </w:tr>
      <w:tr>
        <w:tc>
          <w:tcPr>
            <w:tcW w:type="dxa" w:w="2880"/>
            <w:vAlign w:val="center"/>
            <w:tcMar>
              <w:top w:w="90" w:type="dxa"/>
              <w:start w:w="110" w:type="dxa"/>
              <w:bottom w:w="90" w:type="dxa"/>
              <w:end w:w="110" w:type="dxa"/>
            </w:tcMar>
          </w:tcPr>
          <w:p>
            <w:pPr>
              <w:spacing w:after="0" w:line="252" w:lineRule="auto"/>
            </w:pPr>
            <w:r/>
            <w:r>
              <w:rPr>
                <w:rFonts w:ascii="Arial" w:hAnsi="Arial"/>
                <w:b w:val="0"/>
                <w:color w:val="1E2935"/>
                <w:sz w:val="16"/>
              </w:rPr>
              <w:t>guias/registro.js</w:t>
            </w:r>
          </w:p>
        </w:tc>
        <w:tc>
          <w:tcPr>
            <w:tcW w:type="dxa" w:w="7344"/>
            <w:vAlign w:val="center"/>
            <w:tcMar>
              <w:top w:w="90" w:type="dxa"/>
              <w:start w:w="110" w:type="dxa"/>
              <w:bottom w:w="90" w:type="dxa"/>
              <w:end w:w="110" w:type="dxa"/>
            </w:tcMar>
          </w:tcPr>
          <w:p>
            <w:pPr>
              <w:spacing w:after="0" w:line="252" w:lineRule="auto"/>
            </w:pPr>
            <w:r/>
            <w:r>
              <w:rPr>
                <w:rFonts w:ascii="Arial" w:hAnsi="Arial"/>
                <w:b w:val="0"/>
                <w:color w:val="1E2935"/>
                <w:sz w:val="16"/>
              </w:rPr>
              <w:t>Configura captura, catálogo, ubicaciones, historial, avance y finalización.</w:t>
            </w:r>
          </w:p>
        </w:tc>
      </w:tr>
      <w:tr>
        <w:tc>
          <w:tcPr>
            <w:tcW w:type="dxa" w:w="2880"/>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ajustes/ajustes.js</w:t>
            </w:r>
          </w:p>
        </w:tc>
        <w:tc>
          <w:tcPr>
            <w:tcW w:type="dxa" w:w="7344"/>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Guarda preferencia PDA/cámara en localStorage; no almacena credenciales.</w:t>
            </w:r>
          </w:p>
        </w:tc>
      </w:tr>
    </w:tbl>
    <w:p>
      <w:pPr>
        <w:spacing w:after="0"/>
      </w:pPr>
    </w:p>
    <w:p>
      <w:pPr>
        <w:pStyle w:val="Heading2"/>
      </w:pPr>
      <w:r>
        <w:t>Métodos de captura</w:t>
      </w:r>
    </w:p>
    <w:p>
      <w:r>
        <w:rPr>
          <w:i w:val="0"/>
        </w:rPr>
        <w:t>PDA: el escáner se comporta como teclado, completa `#scan-code` y confirma Enter. `processScannedCode` restringe el código a los productos de esa guía. Cámara: `startCamera` pide permiso solo al activarla, `BarcodeDetector` lee formatos compatibles y `scanFrame` agenda otro intento cada 220 ms. `stopCamera` libera tracks al apagar, ocultar pestaña o abandonarla. La API del navegador puede no existir en ciertos dispositivos; se conserva entrada manual/PDA como alternativa.</w:t>
      </w:r>
    </w:p>
    <w:p>
      <w:r>
        <w:br w:type="page"/>
      </w:r>
    </w:p>
    <w:p>
      <w:pPr>
        <w:pStyle w:val="Heading1"/>
      </w:pPr>
      <w:r>
        <w:t>8. Métodos menos frecuentes y utilidades</w:t>
      </w:r>
    </w:p>
    <w:p>
      <w:r>
        <w:rPr>
          <w:i w:val="0"/>
        </w:rPr>
        <w:t>Estos métodos no son inútiles: su frecuencia depende de una pantalla, una fase del proceso o una condición puntual. El objetivo es saber cuándo modificarlos sin meter responsabilidades que no les corresponden.</w:t>
      </w:r>
    </w:p>
    <w:tbl>
      <w:tblPr>
        <w:tblW w:type="auto" w:w="0"/>
        <w:jc w:val="center"/>
        <w:tblLayout w:type="fixed"/>
        <w:tblLook w:firstColumn="1" w:firstRow="1" w:lastColumn="0" w:lastRow="0" w:noHBand="0" w:noVBand="1" w:val="04A0"/>
        <w:tblBorders>
          <w:top w:val="single" w:sz="5" w:space="0" w:color="D4DEE8"/>
          <w:left w:val="single" w:sz="5" w:space="0" w:color="D4DEE8"/>
          <w:bottom w:val="single" w:sz="5" w:space="0" w:color="D4DEE8"/>
          <w:right w:val="single" w:sz="5" w:space="0" w:color="D4DEE8"/>
          <w:insideH w:val="single" w:sz="5" w:space="0" w:color="D4DEE8"/>
          <w:insideV w:val="single" w:sz="5" w:space="0" w:color="D4DEE8"/>
        </w:tblBorders>
      </w:tblPr>
      <w:tblGrid>
        <w:gridCol w:w="3331"/>
        <w:gridCol w:w="3331"/>
        <w:gridCol w:w="3331"/>
      </w:tblGrid>
      <w:tr>
        <w:trPr>
          <w:tblHeader w:val="true"/>
        </w:trPr>
        <w:tc>
          <w:tcPr>
            <w:tcW w:type="dxa" w:w="2376"/>
            <w:vAlign w:val="center"/>
            <w:tcMar>
              <w:top w:w="90" w:type="dxa"/>
              <w:start w:w="110" w:type="dxa"/>
              <w:bottom w:w="90" w:type="dxa"/>
              <w:end w:w="110" w:type="dxa"/>
            </w:tcMar>
            <w:shd w:fill="123E67"/>
          </w:tcPr>
          <w:p>
            <w:pPr>
              <w:spacing w:after="0" w:line="252" w:lineRule="auto"/>
            </w:pPr>
            <w:r/>
            <w:r>
              <w:rPr>
                <w:rFonts w:ascii="Arial" w:hAnsi="Arial"/>
                <w:b/>
                <w:color w:val="FFFFFF"/>
                <w:sz w:val="15"/>
              </w:rPr>
              <w:t>Método / helper</w:t>
            </w:r>
          </w:p>
        </w:tc>
        <w:tc>
          <w:tcPr>
            <w:tcW w:type="dxa" w:w="3672"/>
            <w:vAlign w:val="center"/>
            <w:tcMar>
              <w:top w:w="90" w:type="dxa"/>
              <w:start w:w="110" w:type="dxa"/>
              <w:bottom w:w="90" w:type="dxa"/>
              <w:end w:w="110" w:type="dxa"/>
            </w:tcMar>
            <w:shd w:fill="123E67"/>
          </w:tcPr>
          <w:p>
            <w:pPr>
              <w:spacing w:after="0" w:line="252" w:lineRule="auto"/>
            </w:pPr>
            <w:r/>
            <w:r>
              <w:rPr>
                <w:rFonts w:ascii="Arial" w:hAnsi="Arial"/>
                <w:b/>
                <w:color w:val="FFFFFF"/>
                <w:sz w:val="15"/>
              </w:rPr>
              <w:t>Frecuencia y uso concreto</w:t>
            </w:r>
          </w:p>
        </w:tc>
        <w:tc>
          <w:tcPr>
            <w:tcW w:type="dxa" w:w="4176"/>
            <w:vAlign w:val="center"/>
            <w:tcMar>
              <w:top w:w="90" w:type="dxa"/>
              <w:start w:w="110" w:type="dxa"/>
              <w:bottom w:w="90" w:type="dxa"/>
              <w:end w:w="110" w:type="dxa"/>
            </w:tcMar>
            <w:shd w:fill="123E67"/>
          </w:tcPr>
          <w:p>
            <w:pPr>
              <w:spacing w:after="0" w:line="252" w:lineRule="auto"/>
            </w:pPr>
            <w:r/>
            <w:r>
              <w:rPr>
                <w:rFonts w:ascii="Arial" w:hAnsi="Arial"/>
                <w:b/>
                <w:color w:val="FFFFFF"/>
                <w:sz w:val="15"/>
              </w:rPr>
              <w:t>Por qué queda aislado</w:t>
            </w:r>
          </w:p>
        </w:tc>
      </w:tr>
      <w:tr>
        <w:tc>
          <w:tcPr>
            <w:tcW w:type="dxa" w:w="2376"/>
            <w:vAlign w:val="center"/>
            <w:tcMar>
              <w:top w:w="90" w:type="dxa"/>
              <w:start w:w="110" w:type="dxa"/>
              <w:bottom w:w="90" w:type="dxa"/>
              <w:end w:w="110" w:type="dxa"/>
            </w:tcMar>
          </w:tcPr>
          <w:p>
            <w:pPr>
              <w:spacing w:after="0" w:line="252" w:lineRule="auto"/>
            </w:pPr>
            <w:r/>
            <w:r>
              <w:rPr>
                <w:rFonts w:ascii="Arial" w:hAnsi="Arial"/>
                <w:b w:val="0"/>
                <w:color w:val="1E2935"/>
                <w:sz w:val="15"/>
              </w:rPr>
              <w:t>checkApiReachability</w:t>
            </w:r>
          </w:p>
        </w:tc>
        <w:tc>
          <w:tcPr>
            <w:tcW w:type="dxa" w:w="3672"/>
            <w:vAlign w:val="center"/>
            <w:tcMar>
              <w:top w:w="90" w:type="dxa"/>
              <w:start w:w="110" w:type="dxa"/>
              <w:bottom w:w="90" w:type="dxa"/>
              <w:end w:w="110" w:type="dxa"/>
            </w:tcMar>
          </w:tcPr>
          <w:p>
            <w:pPr>
              <w:spacing w:after="0" w:line="252" w:lineRule="auto"/>
            </w:pPr>
            <w:r/>
            <w:r>
              <w:rPr>
                <w:rFonts w:ascii="Arial" w:hAnsi="Arial"/>
                <w:b w:val="0"/>
                <w:color w:val="1E2935"/>
                <w:sz w:val="15"/>
              </w:rPr>
              <w:t>Al abrir login, al volver online y cada 30 s mientras login está visible.</w:t>
            </w:r>
          </w:p>
        </w:tc>
        <w:tc>
          <w:tcPr>
            <w:tcW w:type="dxa" w:w="4176"/>
            <w:vAlign w:val="center"/>
            <w:tcMar>
              <w:top w:w="90" w:type="dxa"/>
              <w:start w:w="110" w:type="dxa"/>
              <w:bottom w:w="90" w:type="dxa"/>
              <w:end w:w="110" w:type="dxa"/>
            </w:tcMar>
          </w:tcPr>
          <w:p>
            <w:pPr>
              <w:spacing w:after="0" w:line="252" w:lineRule="auto"/>
            </w:pPr>
            <w:r/>
            <w:r>
              <w:rPr>
                <w:rFonts w:ascii="Arial" w:hAnsi="Arial"/>
                <w:b w:val="0"/>
                <w:color w:val="1E2935"/>
                <w:sz w:val="15"/>
              </w:rPr>
              <w:t>Da un indicador de conectividad, no valida sesión. Un timeout con AbortController evita dejar la comprobación pendiente.</w:t>
            </w:r>
          </w:p>
        </w:tc>
      </w:tr>
      <w:tr>
        <w:tc>
          <w:tcPr>
            <w:tcW w:type="dxa" w:w="2376"/>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getReceptionLookups</w:t>
            </w:r>
          </w:p>
        </w:tc>
        <w:tc>
          <w:tcPr>
            <w:tcW w:type="dxa" w:w="3672"/>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Solo al listar Recepción.</w:t>
            </w:r>
          </w:p>
        </w:tc>
        <w:tc>
          <w:tcPr>
            <w:tcW w:type="dxa" w:w="4176"/>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Proveedor/almacén enriquecen tarjetas; despacho/traslado no necesitan esas consultas extra.</w:t>
            </w:r>
          </w:p>
        </w:tc>
      </w:tr>
      <w:tr>
        <w:tc>
          <w:tcPr>
            <w:tcW w:type="dxa" w:w="2376"/>
            <w:vAlign w:val="center"/>
            <w:tcMar>
              <w:top w:w="90" w:type="dxa"/>
              <w:start w:w="110" w:type="dxa"/>
              <w:bottom w:w="90" w:type="dxa"/>
              <w:end w:w="110" w:type="dxa"/>
            </w:tcMar>
          </w:tcPr>
          <w:p>
            <w:pPr>
              <w:spacing w:after="0" w:line="252" w:lineRule="auto"/>
            </w:pPr>
            <w:r/>
            <w:r>
              <w:rPr>
                <w:rFonts w:ascii="Arial" w:hAnsi="Arial"/>
                <w:b w:val="0"/>
                <w:color w:val="1E2935"/>
                <w:sz w:val="15"/>
              </w:rPr>
              <w:t>getGuideDetailLookups</w:t>
            </w:r>
          </w:p>
        </w:tc>
        <w:tc>
          <w:tcPr>
            <w:tcW w:type="dxa" w:w="3672"/>
            <w:vAlign w:val="center"/>
            <w:tcMar>
              <w:top w:w="90" w:type="dxa"/>
              <w:start w:w="110" w:type="dxa"/>
              <w:bottom w:w="90" w:type="dxa"/>
              <w:end w:w="110" w:type="dxa"/>
            </w:tcMar>
          </w:tcPr>
          <w:p>
            <w:pPr>
              <w:spacing w:after="0" w:line="252" w:lineRule="auto"/>
            </w:pPr>
            <w:r/>
            <w:r>
              <w:rPr>
                <w:rFonts w:ascii="Arial" w:hAnsi="Arial"/>
                <w:b w:val="0"/>
                <w:color w:val="1E2935"/>
                <w:sz w:val="15"/>
              </w:rPr>
              <w:t>En detalle de guía y captura.</w:t>
            </w:r>
          </w:p>
        </w:tc>
        <w:tc>
          <w:tcPr>
            <w:tcW w:type="dxa" w:w="4176"/>
            <w:vAlign w:val="center"/>
            <w:tcMar>
              <w:top w:w="90" w:type="dxa"/>
              <w:start w:w="110" w:type="dxa"/>
              <w:bottom w:w="90" w:type="dxa"/>
              <w:end w:w="110" w:type="dxa"/>
            </w:tcMar>
          </w:tcPr>
          <w:p>
            <w:pPr>
              <w:spacing w:after="0" w:line="252" w:lineRule="auto"/>
            </w:pPr>
            <w:r/>
            <w:r>
              <w:rPr>
                <w:rFonts w:ascii="Arial" w:hAnsi="Arial"/>
                <w:b w:val="0"/>
                <w:color w:val="1E2935"/>
                <w:sz w:val="15"/>
              </w:rPr>
              <w:t>Agrupa catálogos; `knownProducts` permite no volver a solicitar la lista de productos.</w:t>
            </w:r>
          </w:p>
        </w:tc>
      </w:tr>
      <w:tr>
        <w:tc>
          <w:tcPr>
            <w:tcW w:type="dxa" w:w="2376"/>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isUnauthorized</w:t>
            </w:r>
          </w:p>
        </w:tc>
        <w:tc>
          <w:tcPr>
            <w:tcW w:type="dxa" w:w="3672"/>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Se usa en el conteo paralelo de home.</w:t>
            </w:r>
          </w:p>
        </w:tc>
        <w:tc>
          <w:tcPr>
            <w:tcW w:type="dxa" w:w="4176"/>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En otras pantallas el catch necesita tratar otros errores junto con 401.</w:t>
            </w:r>
          </w:p>
        </w:tc>
      </w:tr>
      <w:tr>
        <w:tc>
          <w:tcPr>
            <w:tcW w:type="dxa" w:w="2376"/>
            <w:vAlign w:val="center"/>
            <w:tcMar>
              <w:top w:w="90" w:type="dxa"/>
              <w:start w:w="110" w:type="dxa"/>
              <w:bottom w:w="90" w:type="dxa"/>
              <w:end w:w="110" w:type="dxa"/>
            </w:tcMar>
          </w:tcPr>
          <w:p>
            <w:pPr>
              <w:spacing w:after="0" w:line="252" w:lineRule="auto"/>
            </w:pPr>
            <w:r/>
            <w:r>
              <w:rPr>
                <w:rFonts w:ascii="Arial" w:hAnsi="Arial"/>
                <w:b w:val="0"/>
                <w:color w:val="1E2935"/>
                <w:sz w:val="15"/>
              </w:rPr>
              <w:t>getGuideById</w:t>
            </w:r>
          </w:p>
        </w:tc>
        <w:tc>
          <w:tcPr>
            <w:tcW w:type="dxa" w:w="3672"/>
            <w:vAlign w:val="center"/>
            <w:tcMar>
              <w:top w:w="90" w:type="dxa"/>
              <w:start w:w="110" w:type="dxa"/>
              <w:bottom w:w="90" w:type="dxa"/>
              <w:end w:w="110" w:type="dxa"/>
            </w:tcMar>
          </w:tcPr>
          <w:p>
            <w:pPr>
              <w:spacing w:after="0" w:line="252" w:lineRule="auto"/>
            </w:pPr>
            <w:r/>
            <w:r>
              <w:rPr>
                <w:rFonts w:ascii="Arial" w:hAnsi="Arial"/>
                <w:b w:val="0"/>
                <w:color w:val="1E2935"/>
                <w:sz w:val="15"/>
              </w:rPr>
              <w:t>Antes del diálogo “¿tomar esta guía?”.</w:t>
            </w:r>
          </w:p>
        </w:tc>
        <w:tc>
          <w:tcPr>
            <w:tcW w:type="dxa" w:w="4176"/>
            <w:vAlign w:val="center"/>
            <w:tcMar>
              <w:top w:w="90" w:type="dxa"/>
              <w:start w:w="110" w:type="dxa"/>
              <w:bottom w:w="90" w:type="dxa"/>
              <w:end w:w="110" w:type="dxa"/>
            </w:tcMar>
          </w:tcPr>
          <w:p>
            <w:pPr>
              <w:spacing w:after="0" w:line="252" w:lineRule="auto"/>
            </w:pPr>
            <w:r/>
            <w:r>
              <w:rPr>
                <w:rFonts w:ascii="Arial" w:hAnsi="Arial"/>
                <w:b w:val="0"/>
                <w:color w:val="1E2935"/>
                <w:sz w:val="15"/>
              </w:rPr>
              <w:t>Evita confirmar con un dato viejo del listado.</w:t>
            </w:r>
          </w:p>
        </w:tc>
      </w:tr>
      <w:tr>
        <w:tc>
          <w:tcPr>
            <w:tcW w:type="dxa" w:w="2376"/>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formatScheduledAt</w:t>
            </w:r>
          </w:p>
        </w:tc>
        <w:tc>
          <w:tcPr>
            <w:tcW w:type="dxa" w:w="3672"/>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Varias pantallas; helper puro.</w:t>
            </w:r>
          </w:p>
        </w:tc>
        <w:tc>
          <w:tcPr>
            <w:tcW w:type="dxa" w:w="4176"/>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Mantiene un formato consistente y una salida alternativa si fecha es inválida.</w:t>
            </w:r>
          </w:p>
        </w:tc>
      </w:tr>
      <w:tr>
        <w:tc>
          <w:tcPr>
            <w:tcW w:type="dxa" w:w="2376"/>
            <w:vAlign w:val="center"/>
            <w:tcMar>
              <w:top w:w="90" w:type="dxa"/>
              <w:start w:w="110" w:type="dxa"/>
              <w:bottom w:w="90" w:type="dxa"/>
              <w:end w:w="110" w:type="dxa"/>
            </w:tcMar>
          </w:tcPr>
          <w:p>
            <w:pPr>
              <w:spacing w:after="0" w:line="252" w:lineRule="auto"/>
            </w:pPr>
            <w:r/>
            <w:r>
              <w:rPr>
                <w:rFonts w:ascii="Arial" w:hAnsi="Arial"/>
                <w:b w:val="0"/>
                <w:color w:val="1E2935"/>
                <w:sz w:val="15"/>
              </w:rPr>
              <w:t>ObtenerSiguienteNumeroAsync</w:t>
            </w:r>
          </w:p>
        </w:tc>
        <w:tc>
          <w:tcPr>
            <w:tcW w:type="dxa" w:w="3672"/>
            <w:vAlign w:val="center"/>
            <w:tcMar>
              <w:top w:w="90" w:type="dxa"/>
              <w:start w:w="110" w:type="dxa"/>
              <w:bottom w:w="90" w:type="dxa"/>
              <w:end w:w="110" w:type="dxa"/>
            </w:tcMar>
          </w:tcPr>
          <w:p>
            <w:pPr>
              <w:spacing w:after="0" w:line="252" w:lineRule="auto"/>
            </w:pPr>
            <w:r/>
            <w:r>
              <w:rPr>
                <w:rFonts w:ascii="Arial" w:hAnsi="Arial"/>
                <w:b w:val="0"/>
                <w:color w:val="1E2935"/>
                <w:sz w:val="15"/>
              </w:rPr>
              <w:t>Al crear guía.</w:t>
            </w:r>
          </w:p>
        </w:tc>
        <w:tc>
          <w:tcPr>
            <w:tcW w:type="dxa" w:w="4176"/>
            <w:vAlign w:val="center"/>
            <w:tcMar>
              <w:top w:w="90" w:type="dxa"/>
              <w:start w:w="110" w:type="dxa"/>
              <w:bottom w:w="90" w:type="dxa"/>
              <w:end w:w="110" w:type="dxa"/>
            </w:tcMar>
          </w:tcPr>
          <w:p>
            <w:pPr>
              <w:spacing w:after="0" w:line="252" w:lineRule="auto"/>
            </w:pPr>
            <w:r/>
            <w:r>
              <w:rPr>
                <w:rFonts w:ascii="Arial" w:hAnsi="Arial"/>
                <w:b w:val="0"/>
                <w:color w:val="1E2935"/>
                <w:sz w:val="15"/>
              </w:rPr>
              <w:t>Usa SEQUENCE SQL (ENT/SAL/TRA) con formato de seis dígitos; evita calcular MAX+1 bajo concurrencia.</w:t>
            </w:r>
          </w:p>
        </w:tc>
      </w:tr>
      <w:tr>
        <w:tc>
          <w:tcPr>
            <w:tcW w:type="dxa" w:w="2376"/>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Normalizar</w:t>
            </w:r>
          </w:p>
        </w:tc>
        <w:tc>
          <w:tcPr>
            <w:tcW w:type="dxa" w:w="3672"/>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Al persistir lectura, solo valores opcionales.</w:t>
            </w:r>
          </w:p>
        </w:tc>
        <w:tc>
          <w:tcPr>
            <w:tcW w:type="dxa" w:w="4176"/>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Convierte espacios vacíos a null y recorta texto; mantiene el modelo limpio.</w:t>
            </w:r>
          </w:p>
        </w:tc>
      </w:tr>
      <w:tr>
        <w:tc>
          <w:tcPr>
            <w:tcW w:type="dxa" w:w="2376"/>
            <w:vAlign w:val="center"/>
            <w:tcMar>
              <w:top w:w="90" w:type="dxa"/>
              <w:start w:w="110" w:type="dxa"/>
              <w:bottom w:w="90" w:type="dxa"/>
              <w:end w:w="110" w:type="dxa"/>
            </w:tcMar>
          </w:tcPr>
          <w:p>
            <w:pPr>
              <w:spacing w:after="0" w:line="252" w:lineRule="auto"/>
            </w:pPr>
            <w:r/>
            <w:r>
              <w:rPr>
                <w:rFonts w:ascii="Arial" w:hAnsi="Arial"/>
                <w:b w:val="0"/>
                <w:color w:val="1E2935"/>
                <w:sz w:val="15"/>
              </w:rPr>
              <w:t>SincronizarStockAlmacenAsync</w:t>
            </w:r>
          </w:p>
        </w:tc>
        <w:tc>
          <w:tcPr>
            <w:tcW w:type="dxa" w:w="3672"/>
            <w:vAlign w:val="center"/>
            <w:tcMar>
              <w:top w:w="90" w:type="dxa"/>
              <w:start w:w="110" w:type="dxa"/>
              <w:bottom w:w="90" w:type="dxa"/>
              <w:end w:w="110" w:type="dxa"/>
            </w:tcMar>
          </w:tcPr>
          <w:p>
            <w:pPr>
              <w:spacing w:after="0" w:line="252" w:lineRule="auto"/>
            </w:pPr>
            <w:r/>
            <w:r>
              <w:rPr>
                <w:rFonts w:ascii="Arial" w:hAnsi="Arial"/>
                <w:b w:val="0"/>
                <w:color w:val="1E2935"/>
                <w:sz w:val="15"/>
              </w:rPr>
              <w:t>Durante el cierre, después de mutar ubicaciones.</w:t>
            </w:r>
          </w:p>
        </w:tc>
        <w:tc>
          <w:tcPr>
            <w:tcW w:type="dxa" w:w="4176"/>
            <w:vAlign w:val="center"/>
            <w:tcMar>
              <w:top w:w="90" w:type="dxa"/>
              <w:start w:w="110" w:type="dxa"/>
              <w:bottom w:w="90" w:type="dxa"/>
              <w:end w:w="110" w:type="dxa"/>
            </w:tcMar>
          </w:tcPr>
          <w:p>
            <w:pPr>
              <w:spacing w:after="0" w:line="252" w:lineRule="auto"/>
            </w:pPr>
            <w:r/>
            <w:r>
              <w:rPr>
                <w:rFonts w:ascii="Arial" w:hAnsi="Arial"/>
                <w:b w:val="0"/>
                <w:color w:val="1E2935"/>
                <w:sz w:val="15"/>
              </w:rPr>
              <w:t>El resumen se deriva del detalle por ubicación; no hace falta recalcularlo al hacer GET.</w:t>
            </w:r>
          </w:p>
        </w:tc>
      </w:tr>
      <w:tr>
        <w:tc>
          <w:tcPr>
            <w:tcW w:type="dxa" w:w="2376"/>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ToGuiaOperadorDto / ToLecturaDto</w:t>
            </w:r>
          </w:p>
        </w:tc>
        <w:tc>
          <w:tcPr>
            <w:tcW w:type="dxa" w:w="3672"/>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En cada respuesta del flujo de operador.</w:t>
            </w:r>
          </w:p>
        </w:tc>
        <w:tc>
          <w:tcPr>
            <w:tcW w:type="dxa" w:w="4176"/>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Expone solo campos adecuados al cliente y no serializa navegación EF completa.</w:t>
            </w:r>
          </w:p>
        </w:tc>
      </w:tr>
      <w:tr>
        <w:tc>
          <w:tcPr>
            <w:tcW w:type="dxa" w:w="2376"/>
            <w:vAlign w:val="center"/>
            <w:tcMar>
              <w:top w:w="90" w:type="dxa"/>
              <w:start w:w="110" w:type="dxa"/>
              <w:bottom w:w="90" w:type="dxa"/>
              <w:end w:w="110" w:type="dxa"/>
            </w:tcMar>
          </w:tcPr>
          <w:p>
            <w:pPr>
              <w:spacing w:after="0" w:line="252" w:lineRule="auto"/>
            </w:pPr>
            <w:r/>
            <w:r>
              <w:rPr>
                <w:rFonts w:ascii="Arial" w:hAnsi="Arial"/>
                <w:b w:val="0"/>
                <w:color w:val="1E2935"/>
                <w:sz w:val="15"/>
              </w:rPr>
              <w:t>Resolver (AuthCookieSchemes)</w:t>
            </w:r>
          </w:p>
        </w:tc>
        <w:tc>
          <w:tcPr>
            <w:tcW w:type="dxa" w:w="3672"/>
            <w:vAlign w:val="center"/>
            <w:tcMar>
              <w:top w:w="90" w:type="dxa"/>
              <w:start w:w="110" w:type="dxa"/>
              <w:bottom w:w="90" w:type="dxa"/>
              <w:end w:w="110" w:type="dxa"/>
            </w:tcMar>
          </w:tcPr>
          <w:p>
            <w:pPr>
              <w:spacing w:after="0" w:line="252" w:lineRule="auto"/>
            </w:pPr>
            <w:r/>
            <w:r>
              <w:rPr>
                <w:rFonts w:ascii="Arial" w:hAnsi="Arial"/>
                <w:b w:val="0"/>
                <w:color w:val="1E2935"/>
                <w:sz w:val="15"/>
              </w:rPr>
              <w:t>Durante autenticación de una request.</w:t>
            </w:r>
          </w:p>
        </w:tc>
        <w:tc>
          <w:tcPr>
            <w:tcW w:type="dxa" w:w="4176"/>
            <w:vAlign w:val="center"/>
            <w:tcMar>
              <w:top w:w="90" w:type="dxa"/>
              <w:start w:w="110" w:type="dxa"/>
              <w:bottom w:w="90" w:type="dxa"/>
              <w:end w:w="110" w:type="dxa"/>
            </w:tcMar>
          </w:tcPr>
          <w:p>
            <w:pPr>
              <w:spacing w:after="0" w:line="252" w:lineRule="auto"/>
            </w:pPr>
            <w:r/>
            <w:r>
              <w:rPr>
                <w:rFonts w:ascii="Arial" w:hAnsi="Arial"/>
                <w:b w:val="0"/>
                <w:color w:val="1E2935"/>
                <w:sz w:val="15"/>
              </w:rPr>
              <w:t>Elige esquema de cookie según origen configurado; se centraliza para evitar reglas distintas por controlador.</w:t>
            </w:r>
          </w:p>
        </w:tc>
      </w:tr>
      <w:tr>
        <w:tc>
          <w:tcPr>
            <w:tcW w:type="dxa" w:w="2376"/>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Map(exception)</w:t>
            </w:r>
          </w:p>
        </w:tc>
        <w:tc>
          <w:tcPr>
            <w:tcW w:type="dxa" w:w="3672"/>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Solo cuando un request falla.</w:t>
            </w:r>
          </w:p>
        </w:tc>
        <w:tc>
          <w:tcPr>
            <w:tcW w:type="dxa" w:w="4176"/>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Traduce errores de dominio/SQL a códigos HTTP estables y mensajes seguros.</w:t>
            </w:r>
          </w:p>
        </w:tc>
      </w:tr>
    </w:tbl>
    <w:p>
      <w:pPr>
        <w:spacing w:after="0"/>
      </w:pPr>
    </w:p>
    <w:p>
      <w:pPr>
        <w:pStyle w:val="Heading2"/>
      </w:pPr>
      <w:r>
        <w:t>EF Core en una consulta</w:t>
      </w:r>
    </w:p>
    <w:p>
      <w:pPr>
        <w:spacing w:before="60" w:after="160" w:line="240" w:lineRule="auto"/>
        <w:ind w:left="173" w:right="115"/>
        <w:shd w:fill="F1F5F9"/>
        <w:pBdr>
          <w:left w:val="single" w:sz="18" w:space="7" w:color="2879BF"/>
        </w:pBdr>
      </w:pPr>
      <w:r>
        <w:rPr>
          <w:rFonts w:ascii="Consolas" w:hAnsi="Consolas" w:eastAsia="Consolas"/>
          <w:color w:val="23364A"/>
          <w:sz w:val="16"/>
        </w:rPr>
        <w:t>// Consulta para mostrar datos (no se van a editar):</w:t>
        <w:br/>
        <w:t>var guia = await _context.CabeceraGuia.AsNoTracking()</w:t>
        <w:br/>
        <w:t xml:space="preserve">    .Include(g =&gt; g.Detalles)</w:t>
        <w:br/>
        <w:t xml:space="preserve">    .FirstOrDefaultAsync(g =&gt; g.IdGuia == id, ct);</w:t>
        <w:br/>
        <w:br/>
        <w:t>// Actualización: entity tracked + SaveChangesAsync dentro del repositorio.</w:t>
        <w:br/>
        <w:t>guia.IdEstadoGuia = EstadoGuiasIds.EnProceso;</w:t>
        <w:br/>
        <w:t>await _context.SaveChangesAsync(ct);</w:t>
      </w:r>
    </w:p>
    <w:p>
      <w:r>
        <w:rPr>
          <w:i w:val="0"/>
        </w:rPr>
        <w:t>Se usa AsNoTracking en listados e historial para evitar trabajo de tracking. En edición se necesita una instancia rastreada para que EF detecte cambios. Include se elige solo cuando se requieren datos relacionados, evitando cargar todo indiscriminadamente.</w:t>
      </w:r>
    </w:p>
    <w:p>
      <w:pPr>
        <w:pStyle w:val="Heading2"/>
      </w:pPr>
      <w:r>
        <w:t>Métodos que conviene mantener privados</w:t>
      </w:r>
    </w:p>
    <w:p>
      <w:pPr>
        <w:pStyle w:val="ListBullet"/>
        <w:spacing w:after="40"/>
      </w:pPr>
      <w:r>
        <w:t>`ValidarCabecera`, `ValidarDetalles`, `ValidarReferenciasAsync`: son pasos internos de un caso de uso; no necesitan convertirse en API aparte.</w:t>
      </w:r>
    </w:p>
    <w:p>
      <w:pPr>
        <w:pStyle w:val="ListBullet"/>
        <w:spacing w:after="40"/>
      </w:pPr>
      <w:r>
        <w:t>`ToResponse`/`ToDto`: traducen a contratos para que la entidad no quede acoplada a JSON.</w:t>
      </w:r>
    </w:p>
    <w:p>
      <w:pPr>
        <w:pStyle w:val="ListBullet"/>
        <w:spacing w:after="40"/>
      </w:pPr>
      <w:r>
        <w:t>`ValidarGuiaEnProceso`, `ValidarUbicacionesAsync`, `AjustarStockUbicacionAsync`: se reutilizan dentro de registrar/finalizar; privatizarlos impide llamarlos fuera de un flujo controlado.</w:t>
      </w:r>
    </w:p>
    <w:p>
      <w:pPr>
        <w:pStyle w:val="ListBullet"/>
        <w:spacing w:after="40"/>
      </w:pPr>
      <w:r>
        <w:t>`clearFields`, `renderProgress`, `resolveLocationId`: son detalles de la pantalla de registro; guias.js solo debe exponer llamadas HTTP y utilidades compartidas.</w:t>
      </w:r>
    </w:p>
    <w:p>
      <w:r>
        <w:br w:type="page"/>
      </w:r>
    </w:p>
    <w:p>
      <w:pPr>
        <w:pStyle w:val="Heading1"/>
      </w:pPr>
      <w:r>
        <w:t>9. Cómo extender el sistema con el patrón actual</w:t>
      </w:r>
    </w:p>
    <w:p>
      <w:pPr>
        <w:pStyle w:val="Heading2"/>
      </w:pPr>
      <w:r>
        <w:t>Agregar un endpoint de negocio</w:t>
      </w:r>
    </w:p>
    <w:p>
      <w:pPr>
        <w:pStyle w:val="ListNumber"/>
        <w:spacing w:after="40"/>
      </w:pPr>
      <w:r>
        <w:t>Define el request/response DTO con DataAnnotations y límites coherentes con la columna SQL.</w:t>
      </w:r>
    </w:p>
    <w:p>
      <w:pPr>
        <w:pStyle w:val="ListNumber"/>
        <w:spacing w:after="40"/>
      </w:pPr>
      <w:r>
        <w:t>Agrega el método a la interfaz del servicio y del repositorio si requiere datos/persistencia.</w:t>
      </w:r>
    </w:p>
    <w:p>
      <w:pPr>
        <w:pStyle w:val="ListNumber"/>
        <w:spacing w:after="40"/>
      </w:pPr>
      <w:r>
        <w:t>Implementa validación de negocio y autorización en el servicio; no aceptes el ID de operador desde el JSON si sale de claims.</w:t>
      </w:r>
    </w:p>
    <w:p>
      <w:pPr>
        <w:pStyle w:val="ListNumber"/>
        <w:spacing w:after="40"/>
      </w:pPr>
      <w:r>
        <w:t>Implementa consulta EF con filtro por pertenencia/estado, `CancellationToken`, `AsNoTracking` cuando aplique, y transacción si la operación modifica varios saldos.</w:t>
      </w:r>
    </w:p>
    <w:p>
      <w:pPr>
        <w:pStyle w:val="ListNumber"/>
        <w:spacing w:after="40"/>
      </w:pPr>
      <w:r>
        <w:t>Expón una ruta REST descriptiva en el controller; devuelve el status code apropiado y documenta resumen XML.</w:t>
      </w:r>
    </w:p>
    <w:p>
      <w:pPr>
        <w:pStyle w:val="ListNumber"/>
        <w:spacing w:after="40"/>
      </w:pPr>
      <w:r>
        <w:t>Registra el servicio/repositorio en Program.cs y define política CORS si llama un navegador de otro origen.</w:t>
      </w:r>
    </w:p>
    <w:p>
      <w:pPr>
        <w:pStyle w:val="ListNumber"/>
        <w:spacing w:after="40"/>
      </w:pPr>
      <w:r>
        <w:t>Agrega el helper fetch en la PWA, conecta eventos de UI y muestra errores 401/403/409 sin duplicar reglas de negocio.</w:t>
      </w:r>
    </w:p>
    <w:p>
      <w:pPr>
        <w:pStyle w:val="ListNumber"/>
        <w:spacing w:after="40"/>
      </w:pPr>
      <w:r>
        <w:t>Si cambió esquema EF, crea y aplica migración del proyecto backend.</w:t>
      </w:r>
    </w:p>
    <w:p>
      <w:pPr>
        <w:pStyle w:val="Heading2"/>
      </w:pPr>
      <w:r>
        <w:t>Ejemplo de uso PWA</w:t>
      </w:r>
    </w:p>
    <w:p>
      <w:pPr>
        <w:spacing w:before="60" w:after="160" w:line="240" w:lineRule="auto"/>
        <w:ind w:left="173" w:right="115"/>
        <w:shd w:fill="F1F5F9"/>
        <w:pBdr>
          <w:left w:val="single" w:sz="18" w:space="7" w:color="2879BF"/>
        </w:pBdr>
      </w:pPr>
      <w:r>
        <w:rPr>
          <w:rFonts w:ascii="Consolas" w:hAnsi="Consolas" w:eastAsia="Consolas"/>
          <w:color w:val="23364A"/>
          <w:sz w:val="16"/>
        </w:rPr>
        <w:t>// modules/operaciones/guias.js</w:t>
        <w:br/>
        <w:t>export async function getMyGuideById(id) {</w:t>
        <w:br/>
        <w:t xml:space="preserve">  return getJson(`api/simulacion/guias/mias/${encodeURIComponent(id)}`);</w:t>
        <w:br/>
        <w:t>}</w:t>
        <w:br/>
        <w:br/>
        <w:t>// modules/operaciones/guias/detalle.js</w:t>
        <w:br/>
        <w:t>const guide = await getMyGuideById(guideId);</w:t>
        <w:br/>
        <w:t>renderGuide(guide);</w:t>
      </w:r>
    </w:p>
    <w:p>
      <w:r>
        <w:rPr>
          <w:i w:val="0"/>
        </w:rPr>
        <w:t>La pantalla consume el JSON; si necesita una nueva regla de acceso, el backend la implementa. La PWA no crea una llamada “a su propio controller”, ni la lógica se debe duplicar en ambos proyectos.</w:t>
      </w:r>
    </w:p>
    <w:p>
      <w:pPr>
        <w:pStyle w:val="Heading2"/>
      </w:pPr>
      <w:r>
        <w:t>Ejemplo de migración</w:t>
      </w:r>
    </w:p>
    <w:p>
      <w:pPr>
        <w:spacing w:before="60" w:after="160" w:line="240" w:lineRule="auto"/>
        <w:ind w:left="173" w:right="115"/>
        <w:shd w:fill="F1F5F9"/>
        <w:pBdr>
          <w:left w:val="single" w:sz="18" w:space="7" w:color="2879BF"/>
        </w:pBdr>
      </w:pPr>
      <w:r>
        <w:rPr>
          <w:rFonts w:ascii="Consolas" w:hAnsi="Consolas" w:eastAsia="Consolas"/>
          <w:color w:val="23364A"/>
          <w:sz w:val="16"/>
        </w:rPr>
        <w:t># Ejecutar desde la carpeta ProjectAW\ProjectAW</w:t>
        <w:br/>
        <w:t>dotnet tool install --global dotnet-ef --version 10.0.12</w:t>
        <w:br/>
        <w:t>dotnet ef migrations add NombreDescriptivo   --project .\ProjectAW.csproj   --startup-project .\ProjectAW.csproj</w:t>
        <w:br/>
        <w:t>dotnet ef database update   --project .\ProjectAW.csproj   --startup-project .\ProjectAW.csproj</w:t>
      </w:r>
    </w:p>
    <w:tbl>
      <w:tblPr>
        <w:tblW w:type="auto" w:w="0"/>
        <w:jc w:val="center"/>
        <w:tblLook w:firstColumn="1" w:firstRow="1" w:lastColumn="0" w:lastRow="0" w:noHBand="0" w:noVBand="1" w:val="04A0"/>
        <w:tblBorders>
          <w:top w:val="single" w:sz="5" w:space="0" w:color="D4DEE8"/>
          <w:left w:val="single" w:sz="5" w:space="0" w:color="D4DEE8"/>
          <w:bottom w:val="single" w:sz="5" w:space="0" w:color="D4DEE8"/>
          <w:right w:val="single" w:sz="5" w:space="0" w:color="D4DEE8"/>
          <w:insideH w:val="single" w:sz="5" w:space="0" w:color="D4DEE8"/>
          <w:insideV w:val="single" w:sz="5" w:space="0" w:color="D4DEE8"/>
        </w:tblBorders>
      </w:tblPr>
      <w:tblGrid>
        <w:gridCol w:w="9994"/>
      </w:tblGrid>
      <w:tr>
        <w:tc>
          <w:tcPr>
            <w:tcW w:type="dxa" w:w="9994"/>
            <w:shd w:fill="EDF4FA"/>
            <w:tcMar>
              <w:top w:w="130" w:type="dxa"/>
              <w:start w:w="160" w:type="dxa"/>
              <w:bottom w:w="130" w:type="dxa"/>
              <w:end w:w="160" w:type="dxa"/>
            </w:tcMar>
          </w:tcPr>
          <w:p>
            <w:pPr>
              <w:spacing w:after="20"/>
            </w:pPr>
            <w:r/>
            <w:r>
              <w:rPr>
                <w:rFonts w:ascii="Arial" w:hAnsi="Arial"/>
                <w:b/>
                <w:color w:val="123E67"/>
                <w:sz w:val="18"/>
              </w:rPr>
              <w:t xml:space="preserve">¿Uno o dos proyectos?  </w:t>
            </w:r>
            <w:r>
              <w:rPr>
                <w:rFonts w:ascii="Arial" w:hAnsi="Arial"/>
                <w:sz w:val="18"/>
              </w:rPr>
              <w:t>Las migraciones se crean y aplican con ProjectAW porque ahí viven AppDbContext y la conexión SQL. ProjectAW.PWA no tiene EF Core ni base propia. `--project` identifica dónde están DbContext/migraciones; `--startup-project` ejecuta la configuración que provee conexión/servicios; en esta solución ambos apuntan al mismo `.csproj`. Si dotnet-ef no se encuentra, debe instalarse como herramienta antes de ejecutar el comando.</w:t>
            </w:r>
          </w:p>
        </w:tc>
      </w:tr>
    </w:tbl>
    <w:p>
      <w:pPr>
        <w:spacing w:after="0"/>
      </w:pPr>
    </w:p>
    <w:p>
      <w:pPr>
        <w:pStyle w:val="Heading2"/>
      </w:pPr>
      <w:r>
        <w:t>Ejemplo de consulta desde línea de comandos HTTP</w:t>
      </w:r>
    </w:p>
    <w:p>
      <w:pPr>
        <w:spacing w:before="60" w:after="160" w:line="240" w:lineRule="auto"/>
        <w:ind w:left="173" w:right="115"/>
        <w:shd w:fill="F1F5F9"/>
        <w:pBdr>
          <w:left w:val="single" w:sz="18" w:space="7" w:color="2879BF"/>
        </w:pBdr>
      </w:pPr>
      <w:r>
        <w:rPr>
          <w:rFonts w:ascii="Consolas" w:hAnsi="Consolas" w:eastAsia="Consolas"/>
          <w:color w:val="23364A"/>
          <w:sz w:val="16"/>
        </w:rPr>
        <w:t>GET https://localhost:7054/api/guias?idTipoOperacionGuia=1&amp;idEstadoGuia=1</w:t>
        <w:br/>
        <w:t>Accept: application/json</w:t>
        <w:br/>
        <w:t>Cookie: (la envía el navegador; no copiar credenciales en documentación)</w:t>
      </w:r>
    </w:p>
    <w:p>
      <w:r>
        <w:rPr>
          <w:i w:val="0"/>
        </w:rPr>
        <w:t>Para probar manualmente, usar una cuenta de prueba y dejar que el login emita cookie. No incluir contraseñas/cookies reales en ejemplos, commits o capturas.</w:t>
      </w:r>
    </w:p>
    <w:p>
      <w:r>
        <w:br w:type="page"/>
      </w:r>
    </w:p>
    <w:p>
      <w:pPr>
        <w:pStyle w:val="Heading1"/>
      </w:pPr>
      <w:r>
        <w:t>10. Catálogo del repositorio y glosario</w:t>
      </w:r>
    </w:p>
    <w:p>
      <w:pPr>
        <w:pStyle w:val="Heading2"/>
      </w:pPr>
      <w:r>
        <w:t>Archivos que se consultan primero</w:t>
      </w:r>
    </w:p>
    <w:tbl>
      <w:tblPr>
        <w:tblW w:type="auto" w:w="0"/>
        <w:jc w:val="center"/>
        <w:tblLayout w:type="fixed"/>
        <w:tblLook w:firstColumn="1" w:firstRow="1" w:lastColumn="0" w:lastRow="0" w:noHBand="0" w:noVBand="1" w:val="04A0"/>
        <w:tblBorders>
          <w:top w:val="single" w:sz="5" w:space="0" w:color="D4DEE8"/>
          <w:left w:val="single" w:sz="5" w:space="0" w:color="D4DEE8"/>
          <w:bottom w:val="single" w:sz="5" w:space="0" w:color="D4DEE8"/>
          <w:right w:val="single" w:sz="5" w:space="0" w:color="D4DEE8"/>
          <w:insideH w:val="single" w:sz="5" w:space="0" w:color="D4DEE8"/>
          <w:insideV w:val="single" w:sz="5" w:space="0" w:color="D4DEE8"/>
        </w:tblBorders>
      </w:tblPr>
      <w:tblGrid>
        <w:gridCol w:w="4997"/>
        <w:gridCol w:w="4997"/>
      </w:tblGrid>
      <w:tr>
        <w:trPr>
          <w:tblHeader w:val="true"/>
        </w:trPr>
        <w:tc>
          <w:tcPr>
            <w:tcW w:type="dxa" w:w="2952"/>
            <w:vAlign w:val="center"/>
            <w:tcMar>
              <w:top w:w="90" w:type="dxa"/>
              <w:start w:w="110" w:type="dxa"/>
              <w:bottom w:w="90" w:type="dxa"/>
              <w:end w:w="110" w:type="dxa"/>
            </w:tcMar>
            <w:shd w:fill="123E67"/>
          </w:tcPr>
          <w:p>
            <w:pPr>
              <w:spacing w:after="0" w:line="252" w:lineRule="auto"/>
            </w:pPr>
            <w:r/>
            <w:r>
              <w:rPr>
                <w:rFonts w:ascii="Arial" w:hAnsi="Arial"/>
                <w:b/>
                <w:color w:val="FFFFFF"/>
                <w:sz w:val="15"/>
              </w:rPr>
              <w:t>Necesidad</w:t>
            </w:r>
          </w:p>
        </w:tc>
        <w:tc>
          <w:tcPr>
            <w:tcW w:type="dxa" w:w="7272"/>
            <w:vAlign w:val="center"/>
            <w:tcMar>
              <w:top w:w="90" w:type="dxa"/>
              <w:start w:w="110" w:type="dxa"/>
              <w:bottom w:w="90" w:type="dxa"/>
              <w:end w:w="110" w:type="dxa"/>
            </w:tcMar>
            <w:shd w:fill="123E67"/>
          </w:tcPr>
          <w:p>
            <w:pPr>
              <w:spacing w:after="0" w:line="252" w:lineRule="auto"/>
            </w:pPr>
            <w:r/>
            <w:r>
              <w:rPr>
                <w:rFonts w:ascii="Arial" w:hAnsi="Arial"/>
                <w:b/>
                <w:color w:val="FFFFFF"/>
                <w:sz w:val="15"/>
              </w:rPr>
              <w:t>Archivos para empezar</w:t>
            </w:r>
          </w:p>
        </w:tc>
      </w:tr>
      <w:tr>
        <w:tc>
          <w:tcPr>
            <w:tcW w:type="dxa" w:w="2952"/>
            <w:vAlign w:val="center"/>
            <w:tcMar>
              <w:top w:w="90" w:type="dxa"/>
              <w:start w:w="110" w:type="dxa"/>
              <w:bottom w:w="90" w:type="dxa"/>
              <w:end w:w="110" w:type="dxa"/>
            </w:tcMar>
          </w:tcPr>
          <w:p>
            <w:pPr>
              <w:spacing w:after="0" w:line="252" w:lineRule="auto"/>
            </w:pPr>
            <w:r/>
            <w:r>
              <w:rPr>
                <w:rFonts w:ascii="Arial" w:hAnsi="Arial"/>
                <w:b w:val="0"/>
                <w:color w:val="1E2935"/>
                <w:sz w:val="15"/>
              </w:rPr>
              <w:t>Cambiar rutas de guías</w:t>
            </w:r>
          </w:p>
        </w:tc>
        <w:tc>
          <w:tcPr>
            <w:tcW w:type="dxa" w:w="7272"/>
            <w:vAlign w:val="center"/>
            <w:tcMar>
              <w:top w:w="90" w:type="dxa"/>
              <w:start w:w="110" w:type="dxa"/>
              <w:bottom w:w="90" w:type="dxa"/>
              <w:end w:w="110" w:type="dxa"/>
            </w:tcMar>
          </w:tcPr>
          <w:p>
            <w:pPr>
              <w:spacing w:after="0" w:line="252" w:lineRule="auto"/>
            </w:pPr>
            <w:r/>
            <w:r>
              <w:rPr>
                <w:rFonts w:ascii="Arial" w:hAnsi="Arial"/>
                <w:b w:val="0"/>
                <w:color w:val="1E2935"/>
                <w:sz w:val="15"/>
              </w:rPr>
              <w:t>Modules/Guias/Controllers/GuiasApiController.cs; Modules/Guias/Services/IGuiaService.cs; Modules/Guias/Services/GuiaService.cs.</w:t>
            </w:r>
          </w:p>
        </w:tc>
      </w:tr>
      <w:tr>
        <w:tc>
          <w:tcPr>
            <w:tcW w:type="dxa" w:w="2952"/>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Cambiar captura/cierre</w:t>
            </w:r>
          </w:p>
        </w:tc>
        <w:tc>
          <w:tcPr>
            <w:tcW w:type="dxa" w:w="7272"/>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Modules/Simulacion/Controllers/LecturasApiController.cs; Modules/Stocks/Services/MovimientoStockService.cs; Modules/Stocks/Repositories/MovimientoStockRepository.cs.</w:t>
            </w:r>
          </w:p>
        </w:tc>
      </w:tr>
      <w:tr>
        <w:tc>
          <w:tcPr>
            <w:tcW w:type="dxa" w:w="2952"/>
            <w:vAlign w:val="center"/>
            <w:tcMar>
              <w:top w:w="90" w:type="dxa"/>
              <w:start w:w="110" w:type="dxa"/>
              <w:bottom w:w="90" w:type="dxa"/>
              <w:end w:w="110" w:type="dxa"/>
            </w:tcMar>
          </w:tcPr>
          <w:p>
            <w:pPr>
              <w:spacing w:after="0" w:line="252" w:lineRule="auto"/>
            </w:pPr>
            <w:r/>
            <w:r>
              <w:rPr>
                <w:rFonts w:ascii="Arial" w:hAnsi="Arial"/>
                <w:b w:val="0"/>
                <w:color w:val="1E2935"/>
                <w:sz w:val="15"/>
              </w:rPr>
              <w:t>Cambiar entidad/migración</w:t>
            </w:r>
          </w:p>
        </w:tc>
        <w:tc>
          <w:tcPr>
            <w:tcW w:type="dxa" w:w="7272"/>
            <w:vAlign w:val="center"/>
            <w:tcMar>
              <w:top w:w="90" w:type="dxa"/>
              <w:start w:w="110" w:type="dxa"/>
              <w:bottom w:w="90" w:type="dxa"/>
              <w:end w:w="110" w:type="dxa"/>
            </w:tcMar>
          </w:tcPr>
          <w:p>
            <w:pPr>
              <w:spacing w:after="0" w:line="252" w:lineRule="auto"/>
            </w:pPr>
            <w:r/>
            <w:r>
              <w:rPr>
                <w:rFonts w:ascii="Arial" w:hAnsi="Arial"/>
                <w:b w:val="0"/>
                <w:color w:val="1E2935"/>
                <w:sz w:val="15"/>
              </w:rPr>
              <w:t>Modules/Stocks/Entities/LecturaGuia.cs; LecturaGuiaConfiguration.cs; Infrastructure/Data/AppDbContext.cs; Migrations/.</w:t>
            </w:r>
          </w:p>
        </w:tc>
      </w:tr>
      <w:tr>
        <w:tc>
          <w:tcPr>
            <w:tcW w:type="dxa" w:w="2952"/>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Cambiar auth/CORS</w:t>
            </w:r>
          </w:p>
        </w:tc>
        <w:tc>
          <w:tcPr>
            <w:tcW w:type="dxa" w:w="7272"/>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Program.cs; Modules/Seguridad/Security/Controllers/AuthApiController.cs; HttpAuth/AuthCookieSchemes.cs; launchSettings.json.</w:t>
            </w:r>
          </w:p>
        </w:tc>
      </w:tr>
      <w:tr>
        <w:tc>
          <w:tcPr>
            <w:tcW w:type="dxa" w:w="2952"/>
            <w:vAlign w:val="center"/>
            <w:tcMar>
              <w:top w:w="90" w:type="dxa"/>
              <w:start w:w="110" w:type="dxa"/>
              <w:bottom w:w="90" w:type="dxa"/>
              <w:end w:w="110" w:type="dxa"/>
            </w:tcMar>
          </w:tcPr>
          <w:p>
            <w:pPr>
              <w:spacing w:after="0" w:line="252" w:lineRule="auto"/>
            </w:pPr>
            <w:r/>
            <w:r>
              <w:rPr>
                <w:rFonts w:ascii="Arial" w:hAnsi="Arial"/>
                <w:b w:val="0"/>
                <w:color w:val="1E2935"/>
                <w:sz w:val="15"/>
              </w:rPr>
              <w:t>Cambiar configuración API cliente</w:t>
            </w:r>
          </w:p>
        </w:tc>
        <w:tc>
          <w:tcPr>
            <w:tcW w:type="dxa" w:w="7272"/>
            <w:vAlign w:val="center"/>
            <w:tcMar>
              <w:top w:w="90" w:type="dxa"/>
              <w:start w:w="110" w:type="dxa"/>
              <w:bottom w:w="90" w:type="dxa"/>
              <w:end w:w="110" w:type="dxa"/>
            </w:tcMar>
          </w:tcPr>
          <w:p>
            <w:pPr>
              <w:spacing w:after="0" w:line="252" w:lineRule="auto"/>
            </w:pPr>
            <w:r/>
            <w:r>
              <w:rPr>
                <w:rFonts w:ascii="Arial" w:hAnsi="Arial"/>
                <w:b w:val="0"/>
                <w:color w:val="1E2935"/>
                <w:sz w:val="15"/>
              </w:rPr>
              <w:t>ProjectAW.PWA/wwwroot/config/api-config.js; shared/js/api-client.js.</w:t>
            </w:r>
          </w:p>
        </w:tc>
      </w:tr>
      <w:tr>
        <w:tc>
          <w:tcPr>
            <w:tcW w:type="dxa" w:w="2952"/>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Cambiar operación móvil</w:t>
            </w:r>
          </w:p>
        </w:tc>
        <w:tc>
          <w:tcPr>
            <w:tcW w:type="dxa" w:w="7272"/>
            <w:vAlign w:val="center"/>
            <w:tcMar>
              <w:top w:w="90" w:type="dxa"/>
              <w:start w:w="110" w:type="dxa"/>
              <w:bottom w:w="90" w:type="dxa"/>
              <w:end w:w="110" w:type="dxa"/>
            </w:tcMar>
            <w:shd w:fill="F6F8FB"/>
          </w:tcPr>
          <w:p>
            <w:pPr>
              <w:spacing w:after="0" w:line="252" w:lineRule="auto"/>
            </w:pPr>
            <w:r/>
            <w:r>
              <w:rPr>
                <w:rFonts w:ascii="Arial" w:hAnsi="Arial"/>
                <w:b w:val="0"/>
                <w:color w:val="1E2935"/>
                <w:sz w:val="15"/>
              </w:rPr>
              <w:t>ProjectAW.PWA/wwwroot/modules/operaciones/guias.js y los módulos HTML/JS de inicio, listado, detalle, mis guías, registro y ajustes.</w:t>
            </w:r>
          </w:p>
        </w:tc>
      </w:tr>
      <w:tr>
        <w:tc>
          <w:tcPr>
            <w:tcW w:type="dxa" w:w="2952"/>
            <w:vAlign w:val="center"/>
            <w:tcMar>
              <w:top w:w="90" w:type="dxa"/>
              <w:start w:w="110" w:type="dxa"/>
              <w:bottom w:w="90" w:type="dxa"/>
              <w:end w:w="110" w:type="dxa"/>
            </w:tcMar>
          </w:tcPr>
          <w:p>
            <w:pPr>
              <w:spacing w:after="0" w:line="252" w:lineRule="auto"/>
            </w:pPr>
            <w:r/>
            <w:r>
              <w:rPr>
                <w:rFonts w:ascii="Arial" w:hAnsi="Arial"/>
                <w:b w:val="0"/>
                <w:color w:val="1E2935"/>
                <w:sz w:val="15"/>
              </w:rPr>
              <w:t>Cambiar estilos adaptables</w:t>
            </w:r>
          </w:p>
        </w:tc>
        <w:tc>
          <w:tcPr>
            <w:tcW w:type="dxa" w:w="7272"/>
            <w:vAlign w:val="center"/>
            <w:tcMar>
              <w:top w:w="90" w:type="dxa"/>
              <w:start w:w="110" w:type="dxa"/>
              <w:bottom w:w="90" w:type="dxa"/>
              <w:end w:w="110" w:type="dxa"/>
            </w:tcMar>
          </w:tcPr>
          <w:p>
            <w:pPr>
              <w:spacing w:after="0" w:line="252" w:lineRule="auto"/>
            </w:pPr>
            <w:r/>
            <w:r>
              <w:rPr>
                <w:rFonts w:ascii="Arial" w:hAnsi="Arial"/>
                <w:b w:val="0"/>
                <w:color w:val="1E2935"/>
                <w:sz w:val="15"/>
              </w:rPr>
              <w:t>ProjectAW.PWA/wwwroot/modules/operaciones/operaciones.css; css/site.css.</w:t>
            </w:r>
          </w:p>
        </w:tc>
      </w:tr>
    </w:tbl>
    <w:p>
      <w:pPr>
        <w:spacing w:after="0"/>
      </w:pPr>
    </w:p>
    <w:p>
      <w:pPr>
        <w:pStyle w:val="Heading2"/>
      </w:pPr>
      <w:r>
        <w:t>Glosario</w:t>
      </w:r>
    </w:p>
    <w:tbl>
      <w:tblPr>
        <w:tblW w:type="auto" w:w="0"/>
        <w:jc w:val="center"/>
        <w:tblLayout w:type="fixed"/>
        <w:tblLook w:firstColumn="1" w:firstRow="1" w:lastColumn="0" w:lastRow="0" w:noHBand="0" w:noVBand="1" w:val="04A0"/>
        <w:tblBorders>
          <w:top w:val="single" w:sz="5" w:space="0" w:color="D4DEE8"/>
          <w:left w:val="single" w:sz="5" w:space="0" w:color="D4DEE8"/>
          <w:bottom w:val="single" w:sz="5" w:space="0" w:color="D4DEE8"/>
          <w:right w:val="single" w:sz="5" w:space="0" w:color="D4DEE8"/>
          <w:insideH w:val="single" w:sz="5" w:space="0" w:color="D4DEE8"/>
          <w:insideV w:val="single" w:sz="5" w:space="0" w:color="D4DEE8"/>
        </w:tblBorders>
      </w:tblPr>
      <w:tblGrid>
        <w:gridCol w:w="4997"/>
        <w:gridCol w:w="4997"/>
      </w:tblGrid>
      <w:tr>
        <w:trPr>
          <w:tblHeader w:val="true"/>
        </w:trPr>
        <w:tc>
          <w:tcPr>
            <w:tcW w:type="dxa" w:w="1944"/>
            <w:vAlign w:val="center"/>
            <w:tcMar>
              <w:top w:w="90" w:type="dxa"/>
              <w:start w:w="110" w:type="dxa"/>
              <w:bottom w:w="90" w:type="dxa"/>
              <w:end w:w="110" w:type="dxa"/>
            </w:tcMar>
            <w:shd w:fill="123E67"/>
          </w:tcPr>
          <w:p>
            <w:pPr>
              <w:spacing w:after="0" w:line="252" w:lineRule="auto"/>
            </w:pPr>
            <w:r/>
            <w:r>
              <w:rPr>
                <w:rFonts w:ascii="Arial" w:hAnsi="Arial"/>
                <w:b/>
                <w:color w:val="FFFFFF"/>
                <w:sz w:val="16"/>
              </w:rPr>
              <w:t>Término</w:t>
            </w:r>
          </w:p>
        </w:tc>
        <w:tc>
          <w:tcPr>
            <w:tcW w:type="dxa" w:w="8280"/>
            <w:vAlign w:val="center"/>
            <w:tcMar>
              <w:top w:w="90" w:type="dxa"/>
              <w:start w:w="110" w:type="dxa"/>
              <w:bottom w:w="90" w:type="dxa"/>
              <w:end w:w="110" w:type="dxa"/>
            </w:tcMar>
            <w:shd w:fill="123E67"/>
          </w:tcPr>
          <w:p>
            <w:pPr>
              <w:spacing w:after="0" w:line="252" w:lineRule="auto"/>
            </w:pPr>
            <w:r/>
            <w:r>
              <w:rPr>
                <w:rFonts w:ascii="Arial" w:hAnsi="Arial"/>
                <w:b/>
                <w:color w:val="FFFFFF"/>
                <w:sz w:val="16"/>
              </w:rPr>
              <w:t>Significado en este sistema</w:t>
            </w:r>
          </w:p>
        </w:tc>
      </w:tr>
      <w:tr>
        <w:tc>
          <w:tcPr>
            <w:tcW w:type="dxa" w:w="1944"/>
            <w:vAlign w:val="center"/>
            <w:tcMar>
              <w:top w:w="90" w:type="dxa"/>
              <w:start w:w="110" w:type="dxa"/>
              <w:bottom w:w="90" w:type="dxa"/>
              <w:end w:w="110" w:type="dxa"/>
            </w:tcMar>
          </w:tcPr>
          <w:p>
            <w:pPr>
              <w:spacing w:after="0" w:line="252" w:lineRule="auto"/>
            </w:pPr>
            <w:r/>
            <w:r>
              <w:rPr>
                <w:rFonts w:ascii="Arial" w:hAnsi="Arial"/>
                <w:b w:val="0"/>
                <w:color w:val="1E2935"/>
                <w:sz w:val="16"/>
              </w:rPr>
              <w:t>API</w:t>
            </w:r>
          </w:p>
        </w:tc>
        <w:tc>
          <w:tcPr>
            <w:tcW w:type="dxa" w:w="8280"/>
            <w:vAlign w:val="center"/>
            <w:tcMar>
              <w:top w:w="90" w:type="dxa"/>
              <w:start w:w="110" w:type="dxa"/>
              <w:bottom w:w="90" w:type="dxa"/>
              <w:end w:w="110" w:type="dxa"/>
            </w:tcMar>
          </w:tcPr>
          <w:p>
            <w:pPr>
              <w:spacing w:after="0" w:line="252" w:lineRule="auto"/>
            </w:pPr>
            <w:r/>
            <w:r>
              <w:rPr>
                <w:rFonts w:ascii="Arial" w:hAnsi="Arial"/>
                <w:b w:val="0"/>
                <w:color w:val="1E2935"/>
                <w:sz w:val="16"/>
              </w:rPr>
              <w:t>Contrato HTTP/JSON que publica ProjectAW para el panel y clientes como la PWA.</w:t>
            </w:r>
          </w:p>
        </w:tc>
      </w:tr>
      <w:tr>
        <w:tc>
          <w:tcPr>
            <w:tcW w:type="dxa" w:w="1944"/>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DTO</w:t>
            </w:r>
          </w:p>
        </w:tc>
        <w:tc>
          <w:tcPr>
            <w:tcW w:type="dxa" w:w="8280"/>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Objeto de transferencia que define datos públicos de entrada o respuesta.</w:t>
            </w:r>
          </w:p>
        </w:tc>
      </w:tr>
      <w:tr>
        <w:tc>
          <w:tcPr>
            <w:tcW w:type="dxa" w:w="1944"/>
            <w:vAlign w:val="center"/>
            <w:tcMar>
              <w:top w:w="90" w:type="dxa"/>
              <w:start w:w="110" w:type="dxa"/>
              <w:bottom w:w="90" w:type="dxa"/>
              <w:end w:w="110" w:type="dxa"/>
            </w:tcMar>
          </w:tcPr>
          <w:p>
            <w:pPr>
              <w:spacing w:after="0" w:line="252" w:lineRule="auto"/>
            </w:pPr>
            <w:r/>
            <w:r>
              <w:rPr>
                <w:rFonts w:ascii="Arial" w:hAnsi="Arial"/>
                <w:b w:val="0"/>
                <w:color w:val="1E2935"/>
                <w:sz w:val="16"/>
              </w:rPr>
              <w:t>PWA</w:t>
            </w:r>
          </w:p>
        </w:tc>
        <w:tc>
          <w:tcPr>
            <w:tcW w:type="dxa" w:w="8280"/>
            <w:vAlign w:val="center"/>
            <w:tcMar>
              <w:top w:w="90" w:type="dxa"/>
              <w:start w:w="110" w:type="dxa"/>
              <w:bottom w:w="90" w:type="dxa"/>
              <w:end w:w="110" w:type="dxa"/>
            </w:tcMar>
          </w:tcPr>
          <w:p>
            <w:pPr>
              <w:spacing w:after="0" w:line="252" w:lineRule="auto"/>
            </w:pPr>
            <w:r/>
            <w:r>
              <w:rPr>
                <w:rFonts w:ascii="Arial" w:hAnsi="Arial"/>
                <w:b w:val="0"/>
                <w:color w:val="1E2935"/>
                <w:sz w:val="16"/>
              </w:rPr>
              <w:t>Interfaz web de operador con diseño adaptable; en el código actual se sirve como archivos estáticos.</w:t>
            </w:r>
          </w:p>
        </w:tc>
      </w:tr>
      <w:tr>
        <w:tc>
          <w:tcPr>
            <w:tcW w:type="dxa" w:w="1944"/>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Lectura</w:t>
            </w:r>
          </w:p>
        </w:tc>
        <w:tc>
          <w:tcPr>
            <w:tcW w:type="dxa" w:w="8280"/>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Captura individual persistida en historial. Aún no equivale a movimiento de stock.</w:t>
            </w:r>
          </w:p>
        </w:tc>
      </w:tr>
      <w:tr>
        <w:tc>
          <w:tcPr>
            <w:tcW w:type="dxa" w:w="1944"/>
            <w:vAlign w:val="center"/>
            <w:tcMar>
              <w:top w:w="90" w:type="dxa"/>
              <w:start w:w="110" w:type="dxa"/>
              <w:bottom w:w="90" w:type="dxa"/>
              <w:end w:w="110" w:type="dxa"/>
            </w:tcMar>
          </w:tcPr>
          <w:p>
            <w:pPr>
              <w:spacing w:after="0" w:line="252" w:lineRule="auto"/>
            </w:pPr>
            <w:r/>
            <w:r>
              <w:rPr>
                <w:rFonts w:ascii="Arial" w:hAnsi="Arial"/>
                <w:b w:val="0"/>
                <w:color w:val="1E2935"/>
                <w:sz w:val="16"/>
              </w:rPr>
              <w:t>Finalizar</w:t>
            </w:r>
          </w:p>
        </w:tc>
        <w:tc>
          <w:tcPr>
            <w:tcW w:type="dxa" w:w="8280"/>
            <w:vAlign w:val="center"/>
            <w:tcMar>
              <w:top w:w="90" w:type="dxa"/>
              <w:start w:w="110" w:type="dxa"/>
              <w:bottom w:w="90" w:type="dxa"/>
              <w:end w:w="110" w:type="dxa"/>
            </w:tcMar>
          </w:tcPr>
          <w:p>
            <w:pPr>
              <w:spacing w:after="0" w:line="252" w:lineRule="auto"/>
            </w:pPr>
            <w:r/>
            <w:r>
              <w:rPr>
                <w:rFonts w:ascii="Arial" w:hAnsi="Arial"/>
                <w:b w:val="0"/>
                <w:color w:val="1E2935"/>
                <w:sz w:val="16"/>
              </w:rPr>
              <w:t>Caso de uso transaccional que valida todas las capturas, mueve stock y cambia estado.</w:t>
            </w:r>
          </w:p>
        </w:tc>
      </w:tr>
      <w:tr>
        <w:tc>
          <w:tcPr>
            <w:tcW w:type="dxa" w:w="1944"/>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AsNoTracking</w:t>
            </w:r>
          </w:p>
        </w:tc>
        <w:tc>
          <w:tcPr>
            <w:tcW w:type="dxa" w:w="8280"/>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Consulta EF sin seguimiento de cambios, útil cuando la entidad solo se va a leer.</w:t>
            </w:r>
          </w:p>
        </w:tc>
      </w:tr>
      <w:tr>
        <w:tc>
          <w:tcPr>
            <w:tcW w:type="dxa" w:w="1944"/>
            <w:vAlign w:val="center"/>
            <w:tcMar>
              <w:top w:w="90" w:type="dxa"/>
              <w:start w:w="110" w:type="dxa"/>
              <w:bottom w:w="90" w:type="dxa"/>
              <w:end w:w="110" w:type="dxa"/>
            </w:tcMar>
          </w:tcPr>
          <w:p>
            <w:pPr>
              <w:spacing w:after="0" w:line="252" w:lineRule="auto"/>
            </w:pPr>
            <w:r/>
            <w:r>
              <w:rPr>
                <w:rFonts w:ascii="Arial" w:hAnsi="Arial"/>
                <w:b w:val="0"/>
                <w:color w:val="1E2935"/>
                <w:sz w:val="16"/>
              </w:rPr>
              <w:t>Claims</w:t>
            </w:r>
          </w:p>
        </w:tc>
        <w:tc>
          <w:tcPr>
            <w:tcW w:type="dxa" w:w="8280"/>
            <w:vAlign w:val="center"/>
            <w:tcMar>
              <w:top w:w="90" w:type="dxa"/>
              <w:start w:w="110" w:type="dxa"/>
              <w:bottom w:w="90" w:type="dxa"/>
              <w:end w:w="110" w:type="dxa"/>
            </w:tcMar>
          </w:tcPr>
          <w:p>
            <w:pPr>
              <w:spacing w:after="0" w:line="252" w:lineRule="auto"/>
            </w:pPr>
            <w:r/>
            <w:r>
              <w:rPr>
                <w:rFonts w:ascii="Arial" w:hAnsi="Arial"/>
                <w:b w:val="0"/>
                <w:color w:val="1E2935"/>
                <w:sz w:val="16"/>
              </w:rPr>
              <w:t>Datos firmados en la sesión, como ID de usuario/rol, utilizados por backend como identidad.</w:t>
            </w:r>
          </w:p>
        </w:tc>
      </w:tr>
      <w:tr>
        <w:tc>
          <w:tcPr>
            <w:tcW w:type="dxa" w:w="1944"/>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CORS</w:t>
            </w:r>
          </w:p>
        </w:tc>
        <w:tc>
          <w:tcPr>
            <w:tcW w:type="dxa" w:w="8280"/>
            <w:vAlign w:val="center"/>
            <w:tcMar>
              <w:top w:w="90" w:type="dxa"/>
              <w:start w:w="110" w:type="dxa"/>
              <w:bottom w:w="90" w:type="dxa"/>
              <w:end w:w="110" w:type="dxa"/>
            </w:tcMar>
            <w:shd w:fill="F6F8FB"/>
          </w:tcPr>
          <w:p>
            <w:pPr>
              <w:spacing w:after="0" w:line="252" w:lineRule="auto"/>
            </w:pPr>
            <w:r/>
            <w:r>
              <w:rPr>
                <w:rFonts w:ascii="Arial" w:hAnsi="Arial"/>
                <w:b w:val="0"/>
                <w:color w:val="1E2935"/>
                <w:sz w:val="16"/>
              </w:rPr>
              <w:t>Política de navegador para permitir lectura de respuestas entre orígenes; no reemplaza autorización.</w:t>
            </w:r>
          </w:p>
        </w:tc>
      </w:tr>
      <w:tr>
        <w:tc>
          <w:tcPr>
            <w:tcW w:type="dxa" w:w="1944"/>
            <w:vAlign w:val="center"/>
            <w:tcMar>
              <w:top w:w="90" w:type="dxa"/>
              <w:start w:w="110" w:type="dxa"/>
              <w:bottom w:w="90" w:type="dxa"/>
              <w:end w:w="110" w:type="dxa"/>
            </w:tcMar>
          </w:tcPr>
          <w:p>
            <w:pPr>
              <w:spacing w:after="0" w:line="252" w:lineRule="auto"/>
            </w:pPr>
            <w:r/>
            <w:r>
              <w:rPr>
                <w:rFonts w:ascii="Arial" w:hAnsi="Arial"/>
                <w:b w:val="0"/>
                <w:color w:val="1E2935"/>
                <w:sz w:val="16"/>
              </w:rPr>
              <w:t>Migración</w:t>
            </w:r>
          </w:p>
        </w:tc>
        <w:tc>
          <w:tcPr>
            <w:tcW w:type="dxa" w:w="8280"/>
            <w:vAlign w:val="center"/>
            <w:tcMar>
              <w:top w:w="90" w:type="dxa"/>
              <w:start w:w="110" w:type="dxa"/>
              <w:bottom w:w="90" w:type="dxa"/>
              <w:end w:w="110" w:type="dxa"/>
            </w:tcMar>
          </w:tcPr>
          <w:p>
            <w:pPr>
              <w:spacing w:after="0" w:line="252" w:lineRule="auto"/>
            </w:pPr>
            <w:r/>
            <w:r>
              <w:rPr>
                <w:rFonts w:ascii="Arial" w:hAnsi="Arial"/>
                <w:b w:val="0"/>
                <w:color w:val="1E2935"/>
                <w:sz w:val="16"/>
              </w:rPr>
              <w:t>Cambio versionado de esquema de base de datos generado por EF Core desde el modelo.</w:t>
            </w:r>
          </w:p>
        </w:tc>
      </w:tr>
    </w:tbl>
    <w:p>
      <w:pPr>
        <w:spacing w:after="0"/>
      </w:pPr>
    </w:p>
    <w:p>
      <w:pPr>
        <w:pStyle w:val="Heading2"/>
      </w:pPr>
      <w:r>
        <w:t>Ideas para seguir mejorando</w:t>
      </w:r>
    </w:p>
    <w:p>
      <w:pPr>
        <w:pStyle w:val="ListBullet"/>
        <w:spacing w:after="40"/>
      </w:pPr>
      <w:r>
        <w:t>Mantener OpenAPI/Swagger actualizado con ejemplos de requests y códigos de error; habilitarlo solo en entornos controlados.</w:t>
      </w:r>
    </w:p>
    <w:p>
      <w:pPr>
        <w:pStyle w:val="ListBullet"/>
        <w:spacing w:after="40"/>
      </w:pPr>
      <w:r>
        <w:t>Agregar pruebas automatizadas de reglas críticas: toma concurrente, pertenencia de guía, rollback por falta de stock y cálculos de diferencias.</w:t>
      </w:r>
    </w:p>
    <w:p>
      <w:pPr>
        <w:pStyle w:val="ListBullet"/>
        <w:spacing w:after="40"/>
      </w:pPr>
      <w:r>
        <w:t>Revisar métricas/logs con TraceId, límites por IP/usuario y protección perimetral antes de exponer la API públicamente.</w:t>
      </w:r>
    </w:p>
    <w:p>
      <w:pPr>
        <w:pStyle w:val="ListBullet"/>
        <w:spacing w:after="40"/>
      </w:pPr>
      <w:r>
        <w:t>Conservar la regla arquitectónica: las pantallas muestran y capturan; el backend autoriza, valida y decide el resultado persistente.</w:t>
      </w:r>
    </w:p>
    <w:sectPr w:rsidR="00FC693F" w:rsidRPr="0006063C" w:rsidSect="00034616">
      <w:headerReference w:type="default" r:id="rId9"/>
      <w:footerReference w:type="default" r:id="rId10"/>
      <w:pgSz w:w="12240" w:h="15840"/>
      <w:pgMar w:top="1037" w:right="1123" w:bottom="979"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778A"/>
        <w:sz w:val="16"/>
      </w:rPr>
      <w:t xml:space="preserve">Referencia de arquitectura y operación  ·  Página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6778A"/>
        <w:sz w:val="16"/>
      </w:rPr>
      <w:t>PROYECTO AW  |  GUÍA TÉCNICA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E293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AW Guía técnica de proyectos y métodos</dc:title>
  <dc:subject>Arquitectura, API, flujo de guías, stock y aplicación PWA de operadores</dc:subject>
  <dc:creator>Proyecto AW</dc:creator>
  <cp:keywords>ASP.NET Core, API, EF Core, PWA, guías, inventario</cp:keywords>
  <dc:description>generated by python-docx</dc:description>
  <cp:lastModifiedBy/>
  <cp:revision>1</cp:revision>
  <dcterms:created xsi:type="dcterms:W3CDTF">2013-12-23T23:15:00Z</dcterms:created>
  <dcterms:modified xsi:type="dcterms:W3CDTF">2013-12-23T23:15:00Z</dcterms:modified>
  <cp:category/>
</cp:coreProperties>
</file>