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CAPA CONTEST — Descrição dos Jogos e Regras dos Torneios</w:t>
      </w:r>
    </w:p>
    <w:p>
      <w:r>
        <w:t xml:space="preserve">Última atualização: [DATA DE VIGÊNCIA]</w:t>
      </w:r>
    </w:p>
    <w:p>
      <w:r>
        <w:rPr>
          <w:i/>
        </w:rPr>
        <w:t xml:space="preserve">Documento descritivo do projeto (jogos e regras de torneio). Versão organizada a partir das regras aprovadas para o CAPA CONTEST. Deve ser revisado por assessoria jurídica antes da publicação.</w:t>
      </w:r>
    </w:p>
    <w:p>
      <w:r>
        <w:t xml:space="preserve">O </w:t>
      </w:r>
      <w:r>
        <w:rPr>
          <w:b/>
        </w:rPr>
        <w:t xml:space="preserve">CAPA CONTEST</w:t>
      </w:r>
      <w:r>
        <w:t xml:space="preserve"> é uma plataforma de </w:t>
      </w:r>
      <w:r>
        <w:rPr>
          <w:b/>
        </w:rPr>
        <w:t xml:space="preserve">torneios digitais de cartas e tabuleiro</w:t>
      </w:r>
      <w:r>
        <w:t xml:space="preserve">. Este documento descreve os jogos previstos e as regras de torneio (capacidade das salas, fases, reentrada, valores de entrada e premiação).</w:t>
      </w:r>
    </w:p>
    <w:p>
      <w:pPr>
        <w:pStyle w:val="Quote"/>
      </w:pPr>
      <w:r>
        <w:t xml:space="preserve">O lançamento começa pelo </w:t>
      </w:r>
      <w:r>
        <w:rPr>
          <w:b/>
        </w:rPr>
        <w:t xml:space="preserve">Poker (Texas Hold'em)</w:t>
      </w:r>
      <w:r>
        <w:t xml:space="preserve">. Os demais jogos seguem o mesmo modelo de torneio descrito abaixo e entram nas fases seguintes do projeto.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1. Jogos previstos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88"/>
        <w:gridCol w:w="3288"/>
        <w:gridCol w:w="3288"/>
      </w:tblGrid>
      <w:tr>
        <w:tc>
          <w:tcPr>
            <w:tcW w:w="3288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Jogo</w:t>
            </w:r>
          </w:p>
        </w:tc>
        <w:tc>
          <w:tcPr>
            <w:tcW w:w="3288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3288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Jogadores por mesa</w:t>
            </w:r>
          </w:p>
        </w:tc>
      </w:tr>
      <w:tr>
        <w:tc>
          <w:tcPr>
            <w:tcW w:w="3288" w:type="dxa"/>
          </w:tcPr>
          <w:p>
            <w:pPr>
              <w:spacing w:before="20" w:after="20"/>
            </w:pPr>
            <w:r>
              <w:rPr>
                <w:b/>
              </w:rPr>
              <w:t xml:space="preserve">Poker</w:t>
            </w:r>
            <w:r>
              <w:t xml:space="preserve"> (Texas Hold'em)</w:t>
            </w:r>
          </w:p>
        </w:tc>
        <w:tc>
          <w:tcPr>
            <w:tcW w:w="3288" w:type="dxa"/>
          </w:tcPr>
          <w:p>
            <w:pPr>
              <w:spacing w:before="20" w:after="20"/>
            </w:pPr>
            <w:r>
              <w:t xml:space="preserve">Cartas</w:t>
            </w:r>
          </w:p>
        </w:tc>
        <w:tc>
          <w:tcPr>
            <w:tcW w:w="3288" w:type="dxa"/>
          </w:tcPr>
          <w:p>
            <w:pPr>
              <w:spacing w:before="20" w:after="20"/>
            </w:pPr>
            <w:r>
              <w:t xml:space="preserve">8</w:t>
            </w:r>
          </w:p>
        </w:tc>
      </w:tr>
      <w:tr>
        <w:tc>
          <w:tcPr>
            <w:tcW w:w="3288" w:type="dxa"/>
            <w:shd w:val="clear" w:color="auto" w:fill="F7F7F7"/>
          </w:tcPr>
          <w:p>
            <w:pPr>
              <w:spacing w:before="20" w:after="20"/>
            </w:pPr>
            <w:r>
              <w:rPr>
                <w:b/>
              </w:rPr>
              <w:t xml:space="preserve">Dominó</w:t>
            </w:r>
          </w:p>
        </w:tc>
        <w:tc>
          <w:tcPr>
            <w:tcW w:w="3288" w:type="dxa"/>
            <w:shd w:val="clear" w:color="auto" w:fill="F7F7F7"/>
          </w:tcPr>
          <w:p>
            <w:pPr>
              <w:spacing w:before="20" w:after="20"/>
            </w:pPr>
            <w:r>
              <w:t xml:space="preserve">Peças</w:t>
            </w:r>
          </w:p>
        </w:tc>
        <w:tc>
          <w:tcPr>
            <w:tcW w:w="3288" w:type="dxa"/>
            <w:shd w:val="clear" w:color="auto" w:fill="F7F7F7"/>
          </w:tcPr>
          <w:p>
            <w:pPr>
              <w:spacing w:before="20" w:after="20"/>
            </w:pPr>
            <w:r>
              <w:t xml:space="preserve">4</w:t>
            </w:r>
          </w:p>
        </w:tc>
      </w:tr>
      <w:tr>
        <w:tc>
          <w:tcPr>
            <w:tcW w:w="3288" w:type="dxa"/>
          </w:tcPr>
          <w:p>
            <w:pPr>
              <w:spacing w:before="20" w:after="20"/>
            </w:pPr>
            <w:r>
              <w:rPr>
                <w:b/>
              </w:rPr>
              <w:t xml:space="preserve">Buraco</w:t>
            </w:r>
          </w:p>
        </w:tc>
        <w:tc>
          <w:tcPr>
            <w:tcW w:w="3288" w:type="dxa"/>
          </w:tcPr>
          <w:p>
            <w:pPr>
              <w:spacing w:before="20" w:after="20"/>
            </w:pPr>
            <w:r>
              <w:t xml:space="preserve">Cartas</w:t>
            </w:r>
          </w:p>
        </w:tc>
        <w:tc>
          <w:tcPr>
            <w:tcW w:w="3288" w:type="dxa"/>
          </w:tcPr>
          <w:p>
            <w:pPr>
              <w:spacing w:before="20" w:after="20"/>
            </w:pPr>
            <w:r>
              <w:t xml:space="preserve">4</w:t>
            </w:r>
          </w:p>
        </w:tc>
      </w:tr>
      <w:tr>
        <w:tc>
          <w:tcPr>
            <w:tcW w:w="3288" w:type="dxa"/>
            <w:shd w:val="clear" w:color="auto" w:fill="F7F7F7"/>
          </w:tcPr>
          <w:p>
            <w:pPr>
              <w:spacing w:before="20" w:after="20"/>
            </w:pPr>
            <w:r>
              <w:rPr>
                <w:b/>
              </w:rPr>
              <w:t xml:space="preserve">Canastra</w:t>
            </w:r>
          </w:p>
        </w:tc>
        <w:tc>
          <w:tcPr>
            <w:tcW w:w="3288" w:type="dxa"/>
            <w:shd w:val="clear" w:color="auto" w:fill="F7F7F7"/>
          </w:tcPr>
          <w:p>
            <w:pPr>
              <w:spacing w:before="20" w:after="20"/>
            </w:pPr>
            <w:r>
              <w:t xml:space="preserve">Cartas</w:t>
            </w:r>
          </w:p>
        </w:tc>
        <w:tc>
          <w:tcPr>
            <w:tcW w:w="3288" w:type="dxa"/>
            <w:shd w:val="clear" w:color="auto" w:fill="F7F7F7"/>
          </w:tcPr>
          <w:p>
            <w:pPr>
              <w:spacing w:before="20" w:after="20"/>
            </w:pPr>
            <w:r>
              <w:t xml:space="preserve">4</w:t>
            </w:r>
          </w:p>
        </w:tc>
      </w:tr>
      <w:tr>
        <w:tc>
          <w:tcPr>
            <w:tcW w:w="3288" w:type="dxa"/>
          </w:tcPr>
          <w:p>
            <w:pPr>
              <w:spacing w:before="20" w:after="20"/>
            </w:pPr>
            <w:r>
              <w:rPr>
                <w:b/>
              </w:rPr>
              <w:t xml:space="preserve">Xadrez</w:t>
            </w:r>
          </w:p>
        </w:tc>
        <w:tc>
          <w:tcPr>
            <w:tcW w:w="3288" w:type="dxa"/>
          </w:tcPr>
          <w:p>
            <w:pPr>
              <w:spacing w:before="20" w:after="20"/>
            </w:pPr>
            <w:r>
              <w:t xml:space="preserve">Tabuleiro</w:t>
            </w:r>
          </w:p>
        </w:tc>
        <w:tc>
          <w:tcPr>
            <w:tcW w:w="3288" w:type="dxa"/>
          </w:tcPr>
          <w:p>
            <w:pPr>
              <w:spacing w:before="20" w:after="20"/>
            </w:pPr>
            <w:r>
              <w:t xml:space="preserve">2</w:t>
            </w:r>
          </w:p>
        </w:tc>
      </w:tr>
    </w:tbl>
    <w:p/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2. Capacidade das salas</w:t>
      </w:r>
    </w:p>
    <w:p>
      <w:r>
        <w:t xml:space="preserve">Cada </w:t>
      </w:r>
      <w:r>
        <w:rPr>
          <w:b/>
        </w:rPr>
        <w:t xml:space="preserve">Sala</w:t>
      </w:r>
      <w:r>
        <w:t xml:space="preserve"> de torneio comporta no máximo </w:t>
      </w:r>
      <w:r>
        <w:rPr>
          <w:b/>
        </w:rPr>
        <w:t xml:space="preserve">800 participantes</w:t>
      </w:r>
      <w:r>
        <w:t xml:space="preserve">. O número de mesas varia conforme o jogo: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c>
          <w:tcPr>
            <w:tcW w:w="246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Jogo</w:t>
            </w:r>
          </w:p>
        </w:tc>
        <w:tc>
          <w:tcPr>
            <w:tcW w:w="246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Jogadores/mesa</w:t>
            </w:r>
          </w:p>
        </w:tc>
        <w:tc>
          <w:tcPr>
            <w:tcW w:w="246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Mesas</w:t>
            </w:r>
          </w:p>
        </w:tc>
        <w:tc>
          <w:tcPr>
            <w:tcW w:w="246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Máximo de participantes</w:t>
            </w:r>
          </w:p>
        </w:tc>
      </w:tr>
      <w:tr>
        <w:tc>
          <w:tcPr>
            <w:tcW w:w="2466" w:type="dxa"/>
          </w:tcPr>
          <w:p>
            <w:pPr>
              <w:spacing w:before="20" w:after="20"/>
            </w:pPr>
            <w:r>
              <w:t xml:space="preserve">Poker</w:t>
            </w:r>
          </w:p>
        </w:tc>
        <w:tc>
          <w:tcPr>
            <w:tcW w:w="2466" w:type="dxa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2466" w:type="dxa"/>
          </w:tcPr>
          <w:p>
            <w:pPr>
              <w:spacing w:before="20" w:after="20"/>
            </w:pPr>
            <w:r>
              <w:t xml:space="preserve">100</w:t>
            </w:r>
          </w:p>
        </w:tc>
        <w:tc>
          <w:tcPr>
            <w:tcW w:w="2466" w:type="dxa"/>
          </w:tcPr>
          <w:p>
            <w:pPr>
              <w:spacing w:before="20" w:after="20"/>
            </w:pPr>
            <w:r>
              <w:t xml:space="preserve">800</w:t>
            </w:r>
          </w:p>
        </w:tc>
      </w:tr>
      <w:tr>
        <w:tc>
          <w:tcPr>
            <w:tcW w:w="2466" w:type="dxa"/>
            <w:shd w:val="clear" w:color="auto" w:fill="F7F7F7"/>
          </w:tcPr>
          <w:p>
            <w:pPr>
              <w:spacing w:before="20" w:after="20"/>
            </w:pPr>
            <w:r>
              <w:t xml:space="preserve">Dominó</w:t>
            </w:r>
          </w:p>
        </w:tc>
        <w:tc>
          <w:tcPr>
            <w:tcW w:w="2466" w:type="dxa"/>
            <w:shd w:val="clear" w:color="auto" w:fill="F7F7F7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2466" w:type="dxa"/>
            <w:shd w:val="clear" w:color="auto" w:fill="F7F7F7"/>
          </w:tcPr>
          <w:p>
            <w:pPr>
              <w:spacing w:before="20" w:after="20"/>
            </w:pPr>
            <w:r>
              <w:t xml:space="preserve">200</w:t>
            </w:r>
          </w:p>
        </w:tc>
        <w:tc>
          <w:tcPr>
            <w:tcW w:w="2466" w:type="dxa"/>
            <w:shd w:val="clear" w:color="auto" w:fill="F7F7F7"/>
          </w:tcPr>
          <w:p>
            <w:pPr>
              <w:spacing w:before="20" w:after="20"/>
            </w:pPr>
            <w:r>
              <w:t xml:space="preserve">800</w:t>
            </w:r>
          </w:p>
        </w:tc>
      </w:tr>
      <w:tr>
        <w:tc>
          <w:tcPr>
            <w:tcW w:w="2466" w:type="dxa"/>
          </w:tcPr>
          <w:p>
            <w:pPr>
              <w:spacing w:before="20" w:after="20"/>
            </w:pPr>
            <w:r>
              <w:t xml:space="preserve">Buraco</w:t>
            </w:r>
          </w:p>
        </w:tc>
        <w:tc>
          <w:tcPr>
            <w:tcW w:w="2466" w:type="dxa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2466" w:type="dxa"/>
          </w:tcPr>
          <w:p>
            <w:pPr>
              <w:spacing w:before="20" w:after="20"/>
            </w:pPr>
            <w:r>
              <w:t xml:space="preserve">200</w:t>
            </w:r>
          </w:p>
        </w:tc>
        <w:tc>
          <w:tcPr>
            <w:tcW w:w="2466" w:type="dxa"/>
          </w:tcPr>
          <w:p>
            <w:pPr>
              <w:spacing w:before="20" w:after="20"/>
            </w:pPr>
            <w:r>
              <w:t xml:space="preserve">800</w:t>
            </w:r>
          </w:p>
        </w:tc>
      </w:tr>
      <w:tr>
        <w:tc>
          <w:tcPr>
            <w:tcW w:w="2466" w:type="dxa"/>
            <w:shd w:val="clear" w:color="auto" w:fill="F7F7F7"/>
          </w:tcPr>
          <w:p>
            <w:pPr>
              <w:spacing w:before="20" w:after="20"/>
            </w:pPr>
            <w:r>
              <w:t xml:space="preserve">Canastra</w:t>
            </w:r>
          </w:p>
        </w:tc>
        <w:tc>
          <w:tcPr>
            <w:tcW w:w="2466" w:type="dxa"/>
            <w:shd w:val="clear" w:color="auto" w:fill="F7F7F7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2466" w:type="dxa"/>
            <w:shd w:val="clear" w:color="auto" w:fill="F7F7F7"/>
          </w:tcPr>
          <w:p>
            <w:pPr>
              <w:spacing w:before="20" w:after="20"/>
            </w:pPr>
            <w:r>
              <w:t xml:space="preserve">200</w:t>
            </w:r>
          </w:p>
        </w:tc>
        <w:tc>
          <w:tcPr>
            <w:tcW w:w="2466" w:type="dxa"/>
            <w:shd w:val="clear" w:color="auto" w:fill="F7F7F7"/>
          </w:tcPr>
          <w:p>
            <w:pPr>
              <w:spacing w:before="20" w:after="20"/>
            </w:pPr>
            <w:r>
              <w:t xml:space="preserve">800</w:t>
            </w:r>
          </w:p>
        </w:tc>
      </w:tr>
      <w:tr>
        <w:tc>
          <w:tcPr>
            <w:tcW w:w="2466" w:type="dxa"/>
          </w:tcPr>
          <w:p>
            <w:pPr>
              <w:spacing w:before="20" w:after="20"/>
            </w:pPr>
            <w:r>
              <w:t xml:space="preserve">Xadrez</w:t>
            </w:r>
          </w:p>
        </w:tc>
        <w:tc>
          <w:tcPr>
            <w:tcW w:w="2466" w:type="dxa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2466" w:type="dxa"/>
          </w:tcPr>
          <w:p>
            <w:pPr>
              <w:spacing w:before="20" w:after="20"/>
            </w:pPr>
            <w:r>
              <w:t xml:space="preserve">400</w:t>
            </w:r>
          </w:p>
        </w:tc>
        <w:tc>
          <w:tcPr>
            <w:tcW w:w="2466" w:type="dxa"/>
          </w:tcPr>
          <w:p>
            <w:pPr>
              <w:spacing w:before="20" w:after="20"/>
            </w:pPr>
            <w:r>
              <w:t xml:space="preserve">800</w:t>
            </w:r>
          </w:p>
        </w:tc>
      </w:tr>
    </w:tbl>
    <w:p/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3. Fases eliminatórias</w:t>
      </w:r>
    </w:p>
    <w:p>
      <w:r>
        <w:t xml:space="preserve">Os torneios são disputados em </w:t>
      </w:r>
      <w:r>
        <w:rPr>
          <w:b/>
        </w:rPr>
        <w:t xml:space="preserve">fases eliminatórias</w:t>
      </w:r>
      <w:r>
        <w:t xml:space="preserve">: a cada fase, parte dos jogadores avança e parte é eliminada, até restarem os finalistas. A progressão de jogadores por fase é específica de cada jogo (não é uma divisão fixa):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</w:tblGrid>
      <w:tr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Jogo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F1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F2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F3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F4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F5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F6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F7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F8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F9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F10</w:t>
            </w:r>
          </w:p>
        </w:tc>
      </w:tr>
      <w:tr>
        <w:tc>
          <w:tcPr>
            <w:tcW w:w="896" w:type="dxa"/>
          </w:tcPr>
          <w:p>
            <w:pPr>
              <w:spacing w:before="20" w:after="20"/>
            </w:pPr>
            <w:r>
              <w:rPr>
                <w:b/>
              </w:rPr>
              <w:t xml:space="preserve">Poker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800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100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16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–</w:t>
            </w:r>
          </w:p>
        </w:tc>
      </w:tr>
      <w:tr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rPr>
                <w:b/>
              </w:rPr>
              <w:t xml:space="preserve">Dominó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800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100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24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–</w:t>
            </w:r>
          </w:p>
        </w:tc>
      </w:tr>
      <w:tr>
        <w:tc>
          <w:tcPr>
            <w:tcW w:w="896" w:type="dxa"/>
          </w:tcPr>
          <w:p>
            <w:pPr>
              <w:spacing w:before="20" w:after="20"/>
            </w:pPr>
            <w:r>
              <w:rPr>
                <w:b/>
              </w:rPr>
              <w:t xml:space="preserve">Buraco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800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400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200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100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50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24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12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2</w:t>
            </w:r>
          </w:p>
        </w:tc>
      </w:tr>
      <w:tr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rPr>
                <w:b/>
              </w:rPr>
              <w:t xml:space="preserve">Canastra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800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400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200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100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50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24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12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2</w:t>
            </w:r>
          </w:p>
        </w:tc>
      </w:tr>
      <w:tr>
        <w:tc>
          <w:tcPr>
            <w:tcW w:w="896" w:type="dxa"/>
          </w:tcPr>
          <w:p>
            <w:pPr>
              <w:spacing w:before="20" w:after="20"/>
            </w:pPr>
            <w:r>
              <w:rPr>
                <w:b/>
              </w:rPr>
              <w:t xml:space="preserve">Xadrez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800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400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200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100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50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24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12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2</w:t>
            </w:r>
          </w:p>
        </w:tc>
      </w:tr>
    </w:tbl>
    <w:p/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4. Reentrada (o perdedor continua)</w:t>
      </w:r>
    </w:p>
    <w:p>
      <w:r>
        <w:t xml:space="preserve">O jogador eliminado pode </w:t>
      </w:r>
      <w:r>
        <w:rPr>
          <w:b/>
        </w:rPr>
        <w:t xml:space="preserve">reentrar na fase seguinte</w:t>
      </w:r>
      <w:r>
        <w:t xml:space="preserve"> pagando um percentual do valor da entrada. O percentual cresce a cada fase: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</w:tblGrid>
      <w:tr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Jogo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F1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F2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F3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F4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F5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F6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F7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F8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F9</w:t>
            </w:r>
          </w:p>
        </w:tc>
        <w:tc>
          <w:tcPr>
            <w:tcW w:w="896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F10</w:t>
            </w:r>
          </w:p>
        </w:tc>
      </w:tr>
      <w:tr>
        <w:tc>
          <w:tcPr>
            <w:tcW w:w="896" w:type="dxa"/>
          </w:tcPr>
          <w:p>
            <w:pPr>
              <w:spacing w:before="20" w:after="20"/>
            </w:pPr>
            <w:r>
              <w:rPr>
                <w:b/>
              </w:rPr>
              <w:t xml:space="preserve">Poker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25%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50%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75%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100%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–</w:t>
            </w:r>
          </w:p>
        </w:tc>
      </w:tr>
      <w:tr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rPr>
                <w:b/>
              </w:rPr>
              <w:t xml:space="preserve">Dominó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25%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30%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50%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60%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80%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100%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–</w:t>
            </w:r>
          </w:p>
        </w:tc>
        <w:tc>
          <w:tcPr>
            <w:tcW w:w="896" w:type="dxa"/>
            <w:shd w:val="clear" w:color="auto" w:fill="F7F7F7"/>
          </w:tcPr>
          <w:p>
            <w:pPr>
              <w:spacing w:before="20" w:after="20"/>
            </w:pPr>
            <w:r>
              <w:t xml:space="preserve">–</w:t>
            </w:r>
          </w:p>
        </w:tc>
      </w:tr>
      <w:tr>
        <w:tc>
          <w:tcPr>
            <w:tcW w:w="896" w:type="dxa"/>
          </w:tcPr>
          <w:p>
            <w:pPr>
              <w:spacing w:before="20" w:after="20"/>
            </w:pPr>
            <w:r>
              <w:rPr>
                <w:b/>
              </w:rPr>
              <w:t xml:space="preserve">Buraco / Canastra / Xadrez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10%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20%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30%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40%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50%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60%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70%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80%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90%</w:t>
            </w:r>
          </w:p>
        </w:tc>
        <w:tc>
          <w:tcPr>
            <w:tcW w:w="896" w:type="dxa"/>
          </w:tcPr>
          <w:p>
            <w:pPr>
              <w:spacing w:before="20" w:after="20"/>
            </w:pPr>
            <w:r>
              <w:t xml:space="preserve">100%</w:t>
            </w:r>
          </w:p>
        </w:tc>
      </w:tr>
    </w:tbl>
    <w:p/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5. Valor de Entrada (V.I.)</w:t>
      </w:r>
    </w:p>
    <w:p>
      <w:r>
        <w:t xml:space="preserve">O </w:t>
      </w:r>
      <w:r>
        <w:rPr>
          <w:b/>
        </w:rPr>
        <w:t xml:space="preserve">V.I. (Valor Investido)</w:t>
      </w:r>
      <w:r>
        <w:t xml:space="preserve"> é o valor pago para entrar no torneio. Ele varia pelo </w:t>
      </w:r>
      <w:r>
        <w:rPr>
          <w:b/>
        </w:rPr>
        <w:t xml:space="preserve">nível da sala (1 a 7)</w:t>
      </w:r>
      <w:r>
        <w:t xml:space="preserve"> e pelo </w:t>
      </w:r>
      <w:r>
        <w:rPr>
          <w:b/>
        </w:rPr>
        <w:t xml:space="preserve">tipo de assinatura</w:t>
      </w:r>
      <w:r>
        <w:t xml:space="preserve"> do jogador — assinantes pagam menos. Valores em reais (R$):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w="1644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Nível</w:t>
            </w:r>
          </w:p>
        </w:tc>
        <w:tc>
          <w:tcPr>
            <w:tcW w:w="1644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Não assinante</w:t>
            </w:r>
          </w:p>
        </w:tc>
        <w:tc>
          <w:tcPr>
            <w:tcW w:w="1644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Mensal</w:t>
            </w:r>
          </w:p>
        </w:tc>
        <w:tc>
          <w:tcPr>
            <w:tcW w:w="1644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Trimestral</w:t>
            </w:r>
          </w:p>
        </w:tc>
        <w:tc>
          <w:tcPr>
            <w:tcW w:w="1644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Semestral</w:t>
            </w:r>
          </w:p>
        </w:tc>
        <w:tc>
          <w:tcPr>
            <w:tcW w:w="1644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Anual</w:t>
            </w:r>
          </w:p>
        </w:tc>
      </w:tr>
      <w:tr>
        <w:tc>
          <w:tcPr>
            <w:tcW w:w="1644" w:type="dxa"/>
          </w:tcPr>
          <w:p>
            <w:pPr>
              <w:spacing w:before="20" w:after="20"/>
            </w:pPr>
            <w:r>
              <w:t xml:space="preserve">Nível 1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20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17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15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12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10</w:t>
            </w:r>
          </w:p>
        </w:tc>
      </w:tr>
      <w:tr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Nível 2</w:t>
            </w:r>
          </w:p>
        </w:tc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40</w:t>
            </w:r>
          </w:p>
        </w:tc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34</w:t>
            </w:r>
          </w:p>
        </w:tc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30</w:t>
            </w:r>
          </w:p>
        </w:tc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24</w:t>
            </w:r>
          </w:p>
        </w:tc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20</w:t>
            </w:r>
          </w:p>
        </w:tc>
      </w:tr>
      <w:tr>
        <w:tc>
          <w:tcPr>
            <w:tcW w:w="1644" w:type="dxa"/>
          </w:tcPr>
          <w:p>
            <w:pPr>
              <w:spacing w:before="20" w:after="20"/>
            </w:pPr>
            <w:r>
              <w:t xml:space="preserve">Nível 3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100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85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75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55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50</w:t>
            </w:r>
          </w:p>
        </w:tc>
      </w:tr>
      <w:tr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Nível 4</w:t>
            </w:r>
          </w:p>
        </w:tc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200</w:t>
            </w:r>
          </w:p>
        </w:tc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170</w:t>
            </w:r>
          </w:p>
        </w:tc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150</w:t>
            </w:r>
          </w:p>
        </w:tc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120</w:t>
            </w:r>
          </w:p>
        </w:tc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100</w:t>
            </w:r>
          </w:p>
        </w:tc>
      </w:tr>
      <w:tr>
        <w:tc>
          <w:tcPr>
            <w:tcW w:w="1644" w:type="dxa"/>
          </w:tcPr>
          <w:p>
            <w:pPr>
              <w:spacing w:before="20" w:after="20"/>
            </w:pPr>
            <w:r>
              <w:t xml:space="preserve">Nível 5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1.000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850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750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600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500</w:t>
            </w:r>
          </w:p>
        </w:tc>
      </w:tr>
      <w:tr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Nível 6</w:t>
            </w:r>
          </w:p>
        </w:tc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2.000</w:t>
            </w:r>
          </w:p>
        </w:tc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1.700</w:t>
            </w:r>
          </w:p>
        </w:tc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1.500</w:t>
            </w:r>
          </w:p>
        </w:tc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1.200</w:t>
            </w:r>
          </w:p>
        </w:tc>
        <w:tc>
          <w:tcPr>
            <w:tcW w:w="1644" w:type="dxa"/>
            <w:shd w:val="clear" w:color="auto" w:fill="F7F7F7"/>
          </w:tcPr>
          <w:p>
            <w:pPr>
              <w:spacing w:before="20" w:after="20"/>
            </w:pPr>
            <w:r>
              <w:t xml:space="preserve">1.000</w:t>
            </w:r>
          </w:p>
        </w:tc>
      </w:tr>
      <w:tr>
        <w:tc>
          <w:tcPr>
            <w:tcW w:w="1644" w:type="dxa"/>
          </w:tcPr>
          <w:p>
            <w:pPr>
              <w:spacing w:before="20" w:after="20"/>
            </w:pPr>
            <w:r>
              <w:t xml:space="preserve">Nível 7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10.000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8.500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7.500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6.000</w:t>
            </w:r>
          </w:p>
        </w:tc>
        <w:tc>
          <w:tcPr>
            <w:tcW w:w="1644" w:type="dxa"/>
          </w:tcPr>
          <w:p>
            <w:pPr>
              <w:spacing w:before="20" w:after="20"/>
            </w:pPr>
            <w:r>
              <w:t xml:space="preserve">5.000</w:t>
            </w:r>
          </w:p>
        </w:tc>
      </w:tr>
    </w:tbl>
    <w:p/>
    <w:p>
      <w:pPr>
        <w:pStyle w:val="Quote"/>
      </w:pPr>
      <w:r>
        <w:t xml:space="preserve">Preços das assinaturas (Mensal, Trimestral, Semestral, Anual): </w:t>
      </w:r>
      <w:r>
        <w:rPr>
          <w:b/>
        </w:rPr>
        <w:t xml:space="preserve">[PREÇOS DE ASSINATURA A DEFINIR]</w:t>
      </w:r>
      <w:r>
        <w:t xml:space="preserve">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6. Premiação</w:t>
      </w:r>
    </w:p>
    <w:p>
      <w:r>
        <w:t xml:space="preserve">O prêmio é calculado pela ocupação da sala:</w:t>
      </w:r>
    </w:p>
    <w:p>
      <w:pPr>
        <w:pStyle w:val="Quote"/>
      </w:pPr>
      <w:r>
        <w:rPr>
          <w:b/>
        </w:rPr>
        <w:t xml:space="preserve">Prêmio = multiplicador × V.I.</w:t>
      </w:r>
    </w:p>
    <w:p>
      <w:r>
        <w:t xml:space="preserve">O </w:t>
      </w:r>
      <w:r>
        <w:rPr>
          <w:b/>
        </w:rPr>
        <w:t xml:space="preserve">multiplicador</w:t>
      </w:r>
      <w:r>
        <w:t xml:space="preserve"> depende do percentual de mesas ocupadas na sala: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2"/>
        <w:gridCol w:w="4932"/>
      </w:tblGrid>
      <w:tr>
        <w:tc>
          <w:tcPr>
            <w:tcW w:w="4932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Ocupação da sala</w:t>
            </w:r>
          </w:p>
        </w:tc>
        <w:tc>
          <w:tcPr>
            <w:tcW w:w="4932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Multiplicador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100%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200×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90–99%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180×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80–89%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160×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70–79%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140×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60–69%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120×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50–59%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100×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40–49%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80×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30–39%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60×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20–29%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40×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10–19%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20×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Abaixo de 10%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Sem prêmio</w:t>
            </w:r>
          </w:p>
        </w:tc>
      </w:tr>
    </w:tbl>
    <w:p/>
    <w:p>
      <w:r>
        <w:t xml:space="preserve">Regras de premiação: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Máximo de 800 participantes por sala.</w:t>
      </w:r>
    </w:p>
    <w:p>
      <w:pPr>
        <w:pStyle w:val="ListParagraph"/>
        <w:numPr>
          <w:ilvl w:val="0"/>
          <w:numId w:val="1"/>
        </w:numPr>
      </w:pPr>
      <w:r>
        <w:t xml:space="preserve">O prêmio é </w:t>
      </w:r>
      <w:r>
        <w:rPr>
          <w:b/>
        </w:rPr>
        <w:t xml:space="preserve">limitado ao valor efetivamente arrecadado</w:t>
      </w:r>
      <w:r>
        <w:t xml:space="preserve"> na sala — a plataforma nunca paga a mais do que arrecadou.</w:t>
      </w:r>
    </w:p>
    <w:p>
      <w:pPr>
        <w:pStyle w:val="ListParagraph"/>
        <w:numPr>
          <w:ilvl w:val="0"/>
          <w:numId w:val="1"/>
        </w:numPr>
      </w:pPr>
      <w:r>
        <w:t xml:space="preserve">Salas com </w:t>
      </w:r>
      <w:r>
        <w:rPr>
          <w:b/>
        </w:rPr>
        <w:t xml:space="preserve">ocupação abaixo de 10% não distribuem prêmio</w:t>
      </w:r>
      <w:r>
        <w:t xml:space="preserve">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7. Participação no prêmio por assinatura</w:t>
      </w:r>
    </w:p>
    <w:p>
      <w:r>
        <w:t xml:space="preserve">O tipo de assinatura define a </w:t>
      </w:r>
      <w:r>
        <w:rPr>
          <w:b/>
        </w:rPr>
        <w:t xml:space="preserve">fração do prêmio</w:t>
      </w:r>
      <w:r>
        <w:t xml:space="preserve"> a que o jogador tem direito: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2"/>
        <w:gridCol w:w="4932"/>
      </w:tblGrid>
      <w:tr>
        <w:tc>
          <w:tcPr>
            <w:tcW w:w="4932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Tipo de assinatura</w:t>
            </w:r>
          </w:p>
        </w:tc>
        <w:tc>
          <w:tcPr>
            <w:tcW w:w="4932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Participação no prêmio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Não assinante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25%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Mensal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30%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Trimestral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50%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Semestral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75%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Anual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100%</w:t>
            </w:r>
          </w:p>
        </w:tc>
      </w:tr>
    </w:tbl>
    <w:p/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8. Partidas rápidas</w:t>
      </w:r>
    </w:p>
    <w:p>
      <w:r>
        <w:t xml:space="preserve">Além dos torneios em fases, há as </w:t>
      </w:r>
      <w:r>
        <w:rPr>
          <w:b/>
        </w:rPr>
        <w:t xml:space="preserve">Partidas Rápidas</w:t>
      </w:r>
      <w:r>
        <w:t xml:space="preserve"> (disputas avulsas de resultado imediato). Nelas:</w:t>
      </w:r>
    </w:p>
    <w:p>
      <w:pPr>
        <w:pStyle w:val="Quote"/>
      </w:pPr>
      <w:r>
        <w:rPr>
          <w:b/>
        </w:rPr>
        <w:t xml:space="preserve">Prêmio = valor da entrada + 50%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9. Itens a definir</w:t>
      </w:r>
    </w:p>
    <w:p>
      <w:r>
        <w:t xml:space="preserve">Os pontos abaixo constavam como pendentes na descrição original e devem ser definidos pela operação: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Preços das assinaturas</w:t>
      </w:r>
      <w:r>
        <w:t xml:space="preserve"> (Mensal, Trimestral, Semestral, Anual) — por cartão e Pix.</w:t>
      </w:r>
    </w:p>
    <w:p>
      <w:pPr>
        <w:pStyle w:val="ListParagraph"/>
        <w:numPr>
          <w:ilvl w:val="0"/>
          <w:numId w:val="1"/>
        </w:numPr>
      </w:pPr>
      <w:r>
        <w:t xml:space="preserve">Detalhes da premiação </w:t>
      </w:r>
      <w:r>
        <w:rPr>
          <w:b/>
        </w:rPr>
        <w:t xml:space="preserve">"Rodada da Sorte"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Regras do </w:t>
      </w:r>
      <w:r>
        <w:rPr>
          <w:b/>
        </w:rPr>
        <w:t xml:space="preserve">prêmio por sequência de derrotas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Sistema de indicação</w:t>
      </w:r>
      <w:r>
        <w:t xml:space="preserve"> (crédito por indicação + códigos rastreáveis + relatórios).</w:t>
      </w:r>
    </w:p>
    <w:sectPr>
      <w:pgSz w:w="11906" w:h="16838"/>
      <w:pgMar w:top="1134" w:right="1021" w:bottom="1021" w:left="1021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t-BR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basedOn w:val="Normal"/>
    <w:pPr>
      <w:pBdr>
        <w:bottom w:val="single" w:sz="24" w:space="4" w:color="E2231A"/>
      </w:pBdr>
      <w:spacing w:after="120"/>
    </w:pPr>
    <w:rPr>
      <w:b/>
      <w:color w:val="E2231A"/>
      <w:sz w:val="52"/>
    </w:rPr>
  </w:style>
  <w:style w:type="paragraph" w:styleId="Heading2">
    <w:name w:val="heading 2"/>
    <w:basedOn w:val="Normal"/>
    <w:next w:val="Normal"/>
    <w:pPr>
      <w:keepNext/>
      <w:pBdr>
        <w:bottom w:val="single" w:sz="6" w:space="2" w:color="DDDDDD"/>
      </w:pBdr>
      <w:spacing w:before="300" w:after="120"/>
    </w:pPr>
    <w:rPr>
      <w:b/>
      <w:color w:val="9E1009"/>
      <w:sz w:val="28"/>
    </w:rPr>
  </w:style>
  <w:style w:type="paragraph" w:styleId="Heading3">
    <w:name w:val="heading 3"/>
    <w:basedOn w:val="Normal"/>
    <w:next w:val="Normal"/>
    <w:pPr>
      <w:keepNext/>
      <w:spacing w:before="160" w:after="80"/>
    </w:pPr>
    <w:rPr>
      <w:b/>
      <w:sz w:val="24"/>
    </w:rPr>
  </w:style>
  <w:style w:type="paragraph" w:styleId="Quote">
    <w:name w:val="Quote"/>
    <w:basedOn w:val="Normal"/>
    <w:pPr>
      <w:pBdr>
        <w:left w:val="single" w:sz="24" w:space="8" w:color="E2231A"/>
      </w:pBdr>
      <w:shd w:val="clear" w:color="auto" w:fill="FBECEB"/>
      <w:ind w:left="240"/>
      <w:spacing w:before="120" w:after="120"/>
    </w:pPr>
    <w:rPr>
      <w:color w:val="9E1009"/>
    </w:rPr>
  </w:style>
  <w:style w:type="paragraph" w:styleId="ListParagraph">
    <w:name w:val="List Paragraph"/>
    <w:basedOn w:val="Normal"/>
    <w:pPr>
      <w:spacing w:after="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