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Política de Privacidade — CAPA CONTEST</w:t>
      </w:r>
    </w:p>
    <w:p>
      <w:r>
        <w:t xml:space="preserve">Última atualização: [DATA DE VIGÊNCIA]</w:t>
      </w:r>
    </w:p>
    <w:p>
      <w:r>
        <w:rPr>
          <w:i/>
        </w:rPr>
        <w:t xml:space="preserve">Modelo base. Deve ser revisado por assessoria jurídica antes da publicação.</w:t>
      </w:r>
    </w:p>
    <w:p>
      <w:r>
        <w:t xml:space="preserve">Esta Política de Privacidade explica como o aplicativo </w:t>
      </w:r>
      <w:r>
        <w:rPr>
          <w:b/>
        </w:rPr>
        <w:t xml:space="preserve">CAPA CONTEST</w:t>
      </w:r>
      <w:r>
        <w:t xml:space="preserve"> ("Torneios Digitais de Cartas e Tabuleiro") trata os dados pessoais dos seus usuários, em conformidade com a Lei Geral de Proteção de Dados Pessoais — LGPD (Lei nº 13.709/2018).</w:t>
      </w:r>
    </w:p>
    <w:p>
      <w:r>
        <w:t xml:space="preserve">Na sua fase atual, o CAPA CONTEST oferece torneios de </w:t>
      </w:r>
      <w:r>
        <w:rPr>
          <w:b/>
        </w:rPr>
        <w:t xml:space="preserve">Poker (Texas Hold'em)</w:t>
      </w:r>
      <w:r>
        <w:t xml:space="preserve"> com dinheiro real, disponível para </w:t>
      </w:r>
      <w:r>
        <w:rPr>
          <w:b/>
        </w:rPr>
        <w:t xml:space="preserve">Android</w:t>
      </w:r>
      <w:r>
        <w:t xml:space="preserve">. Ao criar uma conta e utilizar o aplicativo, você declara ter lido e compreendido esta Política.</w:t>
      </w:r>
    </w:p>
    <w:p>
      <w:r>
        <w:t xml:space="preserve">Os termos definidos com inicial maiúscula (como </w:t>
      </w:r>
      <w:r>
        <w:rPr>
          <w:b/>
        </w:rPr>
        <w:t xml:space="preserve">V.I.</w:t>
      </w:r>
      <w:r>
        <w:t xml:space="preserve">, </w:t>
      </w:r>
      <w:r>
        <w:rPr>
          <w:b/>
        </w:rPr>
        <w:t xml:space="preserve">Sala</w:t>
      </w:r>
      <w:r>
        <w:t xml:space="preserve">, </w:t>
      </w:r>
      <w:r>
        <w:rPr>
          <w:b/>
        </w:rPr>
        <w:t xml:space="preserve">Mesa</w:t>
      </w:r>
      <w:r>
        <w:t xml:space="preserve">, </w:t>
      </w:r>
      <w:r>
        <w:rPr>
          <w:b/>
        </w:rPr>
        <w:t xml:space="preserve">Partida Rápida</w:t>
      </w:r>
      <w:r>
        <w:t xml:space="preserve">, </w:t>
      </w:r>
      <w:r>
        <w:rPr>
          <w:b/>
        </w:rPr>
        <w:t xml:space="preserve">Carteira / Créditos</w:t>
      </w:r>
      <w:r>
        <w:t xml:space="preserve"> e </w:t>
      </w:r>
      <w:r>
        <w:rPr>
          <w:b/>
        </w:rPr>
        <w:t xml:space="preserve">Prêmio</w:t>
      </w:r>
      <w:r>
        <w:t xml:space="preserve">) têm o mesmo significado atribuído nos </w:t>
      </w:r>
      <w:r>
        <w:rPr>
          <w:b/>
        </w:rPr>
        <w:t xml:space="preserve">Termos de Uso</w:t>
      </w:r>
      <w:r>
        <w:t xml:space="preserve"> e no </w:t>
      </w:r>
      <w:r>
        <w:rPr>
          <w:b/>
        </w:rPr>
        <w:t xml:space="preserve">Regulamento de Torneios</w:t>
      </w:r>
      <w:r>
        <w:t xml:space="preserve"> do CAPA CONTEST.</w:t>
      </w:r>
    </w:p>
    <w:p>
      <w:pPr>
        <w:pBdr>
          <w:bottom w:val="single" w:sz="6" w:space="1" w:color="E0E0E0"/>
        </w:pBdr>
        <w:spacing w:before="140" w:after="140"/>
      </w:pPr>
    </w:p>
    <w:p>
      <w:pPr>
        <w:pStyle w:val="Heading2"/>
      </w:pPr>
      <w:r>
        <w:t xml:space="preserve">1. Quem é o controlador dos seus dados</w:t>
      </w:r>
    </w:p>
    <w:p>
      <w:r>
        <w:t xml:space="preserve">O controlador dos dados pessoais tratados no CAPA CONTEST é: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Razão social:</w:t>
      </w:r>
      <w:r>
        <w:t xml:space="preserve"> [RAZÃO SOCIAL]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Nome fantasia:</w:t>
      </w:r>
      <w:r>
        <w:t xml:space="preserve"> [NOME FANTASIA]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CNPJ:</w:t>
      </w:r>
      <w:r>
        <w:t xml:space="preserve"> [CNPJ]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Endereço:</w:t>
      </w:r>
      <w:r>
        <w:t xml:space="preserve"> [ENDEREÇO COMPLETO]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E-mail de contato:</w:t>
      </w:r>
      <w:r>
        <w:t xml:space="preserve"> [E-MAIL DE CONTATO]</w:t>
      </w:r>
    </w:p>
    <w:p>
      <w:r>
        <w:rPr>
          <w:b/>
        </w:rPr>
        <w:t xml:space="preserve">Encarregado pelo Tratamento de Dados (DPO):</w:t>
      </w:r>
      <w:r>
        <w:t xml:space="preserve"> o canal para tratar de assuntos relacionados aos seus dados pessoais e a esta Política é o e-mail </w:t>
      </w:r>
      <w:r>
        <w:rPr>
          <w:b/>
        </w:rPr>
        <w:t xml:space="preserve">[E-MAIL DO ENCARREGADO/DPO]</w:t>
      </w:r>
      <w:r>
        <w:t xml:space="preserve">.</w:t>
      </w:r>
    </w:p>
    <w:p>
      <w:pPr>
        <w:pBdr>
          <w:bottom w:val="single" w:sz="6" w:space="1" w:color="E0E0E0"/>
        </w:pBdr>
        <w:spacing w:before="140" w:after="140"/>
      </w:pPr>
    </w:p>
    <w:p>
      <w:pPr>
        <w:pStyle w:val="Heading2"/>
      </w:pPr>
      <w:r>
        <w:t xml:space="preserve">2. Quais dados coletamos</w:t>
      </w:r>
    </w:p>
    <w:p>
      <w:r>
        <w:t xml:space="preserve">Tratamos apenas os dados necessários para operar a plataforma e os torneios:</w:t>
      </w:r>
    </w:p>
    <w:p>
      <w:r>
        <w:rPr>
          <w:b/>
        </w:rPr>
        <w:t xml:space="preserve">Dados de identificação e cadastro</w:t>
      </w:r>
    </w:p>
    <w:p>
      <w:pPr>
        <w:pStyle w:val="ListParagraph"/>
        <w:numPr>
          <w:ilvl w:val="0"/>
          <w:numId w:val="1"/>
        </w:numPr>
      </w:pPr>
      <w:r>
        <w:t xml:space="preserve">Número de telefone (no formato internacional E.164);</w:t>
      </w:r>
    </w:p>
    <w:p>
      <w:pPr>
        <w:pStyle w:val="ListParagraph"/>
        <w:numPr>
          <w:ilvl w:val="0"/>
          <w:numId w:val="1"/>
        </w:numPr>
      </w:pPr>
      <w:r>
        <w:t xml:space="preserve">Nome de exibição;</w:t>
      </w:r>
    </w:p>
    <w:p>
      <w:pPr>
        <w:pStyle w:val="ListParagraph"/>
        <w:numPr>
          <w:ilvl w:val="0"/>
          <w:numId w:val="1"/>
        </w:numPr>
      </w:pPr>
      <w:r>
        <w:t xml:space="preserve">CPF (validado pelos dígitos verificadores; único por conta);</w:t>
      </w:r>
    </w:p>
    <w:p>
      <w:pPr>
        <w:pStyle w:val="ListParagraph"/>
        <w:numPr>
          <w:ilvl w:val="0"/>
          <w:numId w:val="1"/>
        </w:numPr>
      </w:pPr>
      <w:r>
        <w:t xml:space="preserve">Data de nascimento (usada para confirmar que você é maior de 18 anos).</w:t>
      </w:r>
    </w:p>
    <w:p>
      <w:r>
        <w:rPr>
          <w:b/>
        </w:rPr>
        <w:t xml:space="preserve">Dados de login social (apenas se você optar por usá-lo)</w:t>
      </w:r>
    </w:p>
    <w:p>
      <w:pPr>
        <w:pStyle w:val="ListParagraph"/>
        <w:numPr>
          <w:ilvl w:val="0"/>
          <w:numId w:val="1"/>
        </w:numPr>
      </w:pPr>
      <w:r>
        <w:t xml:space="preserve">Identificador da sua conta do Facebook (</w:t>
      </w:r>
      <w:r>
        <w:rPr>
          <w:rFonts w:ascii="Consolas" w:hAnsi="Consolas"/>
          <w:shd w:val="clear" w:color="auto" w:fill="F2F2F2"/>
        </w:rPr>
        <w:t xml:space="preserve">facebookId</w:t>
      </w:r>
      <w:r>
        <w:t xml:space="preserve">), quando você escolhe o login social via Facebook. Esse login é </w:t>
      </w:r>
      <w:r>
        <w:rPr>
          <w:b/>
        </w:rPr>
        <w:t xml:space="preserve">opcional</w:t>
      </w:r>
      <w:r>
        <w:t xml:space="preserve"> — o login padrão é por código de uso único (OTP) enviado ao seu telefone.</w:t>
      </w:r>
    </w:p>
    <w:p>
      <w:r>
        <w:rPr>
          <w:b/>
        </w:rPr>
        <w:t xml:space="preserve">Dados da conta</w:t>
      </w:r>
    </w:p>
    <w:p>
      <w:pPr>
        <w:pStyle w:val="ListParagraph"/>
        <w:numPr>
          <w:ilvl w:val="0"/>
          <w:numId w:val="1"/>
        </w:numPr>
      </w:pPr>
      <w:r>
        <w:t xml:space="preserve">Status da conta e, quando aplicável, motivo e prazo de bloqueio;</w:t>
      </w:r>
    </w:p>
    <w:p>
      <w:pPr>
        <w:pStyle w:val="ListParagraph"/>
        <w:numPr>
          <w:ilvl w:val="0"/>
          <w:numId w:val="1"/>
        </w:numPr>
      </w:pPr>
      <w:r>
        <w:t xml:space="preserve">Tipo de assinatura e sua validade.</w:t>
      </w:r>
    </w:p>
    <w:p>
      <w:r>
        <w:rPr>
          <w:b/>
        </w:rPr>
        <w:t xml:space="preserve">Dados financeiros e da Carteira</w:t>
      </w:r>
    </w:p>
    <w:p>
      <w:pPr>
        <w:pStyle w:val="ListParagraph"/>
        <w:numPr>
          <w:ilvl w:val="0"/>
          <w:numId w:val="1"/>
        </w:numPr>
      </w:pPr>
      <w:r>
        <w:t xml:space="preserve">Chave Pix informada nas suas solicitações de saque (CPF, e-mail, telefone ou chave aleatória);</w:t>
      </w:r>
    </w:p>
    <w:p>
      <w:pPr>
        <w:pStyle w:val="ListParagraph"/>
        <w:numPr>
          <w:ilvl w:val="0"/>
          <w:numId w:val="1"/>
        </w:numPr>
      </w:pPr>
      <w:r>
        <w:t xml:space="preserve">Histórico financeiro da sua Carteira de Créditos (lançamentos contábeis em razão de dupla entrada, imutáveis), depósitos e saques.</w:t>
      </w:r>
    </w:p>
    <w:p>
      <w:r>
        <w:rPr>
          <w:b/>
        </w:rPr>
        <w:t xml:space="preserve">Dados de jogo</w:t>
      </w:r>
    </w:p>
    <w:p>
      <w:pPr>
        <w:pStyle w:val="ListParagraph"/>
        <w:numPr>
          <w:ilvl w:val="0"/>
          <w:numId w:val="1"/>
        </w:numPr>
      </w:pPr>
      <w:r>
        <w:t xml:space="preserve">Mesas e assentos em que você participou, mãos jogadas e seus resultados, e a *seed* de embaralhamento de cada mão (para fins de auditoria e verificação de integridade).</w:t>
      </w:r>
    </w:p>
    <w:p>
      <w:r>
        <w:rPr>
          <w:b/>
        </w:rPr>
        <w:t xml:space="preserve">Registros de auditoria, acesso e segurança</w:t>
      </w:r>
    </w:p>
    <w:p>
      <w:pPr>
        <w:pStyle w:val="ListParagraph"/>
        <w:numPr>
          <w:ilvl w:val="0"/>
          <w:numId w:val="1"/>
        </w:numPr>
      </w:pPr>
      <w:r>
        <w:t xml:space="preserve">Registros de ações sensíveis (movimentações e ações administrativas) e registros técnicos de acesso e segurança, quando aplicável.</w:t>
      </w:r>
    </w:p>
    <w:p>
      <w:r>
        <w:rPr>
          <w:b/>
        </w:rPr>
        <w:t xml:space="preserve">Código de verificação (OTP)</w:t>
      </w:r>
    </w:p>
    <w:p>
      <w:pPr>
        <w:pStyle w:val="ListParagraph"/>
        <w:numPr>
          <w:ilvl w:val="0"/>
          <w:numId w:val="1"/>
        </w:numPr>
      </w:pPr>
      <w:r>
        <w:t xml:space="preserve">O código de uso único (OTP) enviado para o seu login </w:t>
      </w:r>
      <w:r>
        <w:rPr>
          <w:b/>
        </w:rPr>
        <w:t xml:space="preserve">nunca é armazenado em texto puro</w:t>
      </w:r>
      <w:r>
        <w:t xml:space="preserve"> — guardamos apenas o seu valor protegido por *hash*. O código expira e possui número limitado de tentativas de verificação.</w:t>
      </w:r>
    </w:p>
    <w:p>
      <w:r>
        <w:t xml:space="preserve">Não coletamos intencionalmente dados além dos descritos acima. Na fase atual, </w:t>
      </w:r>
      <w:r>
        <w:rPr>
          <w:b/>
        </w:rPr>
        <w:t xml:space="preserve">não utilizamos gateway de pagamento automático</w:t>
      </w:r>
      <w:r>
        <w:t xml:space="preserve"> nem coletamos dados de cartão ou conta bancária.</w:t>
      </w:r>
    </w:p>
    <w:p>
      <w:pPr>
        <w:pBdr>
          <w:bottom w:val="single" w:sz="6" w:space="1" w:color="E0E0E0"/>
        </w:pBdr>
        <w:spacing w:before="140" w:after="140"/>
      </w:pPr>
    </w:p>
    <w:p>
      <w:pPr>
        <w:pStyle w:val="Heading2"/>
      </w:pPr>
      <w:r>
        <w:t xml:space="preserve">3. Para que usamos os seus dados</w:t>
      </w:r>
    </w:p>
    <w:p>
      <w:r>
        <w:t xml:space="preserve">Utilizamos os dados pessoais para as seguintes finalidades:</w:t>
      </w:r>
    </w:p>
    <w:p>
      <w:pPr>
        <w:pStyle w:val="ListParagraph"/>
        <w:numPr>
          <w:ilvl w:val="0"/>
          <w:numId w:val="1"/>
        </w:numPr>
      </w:pPr>
      <w:r>
        <w:t xml:space="preserve">Criar, manter e gerir a sua conta;</w:t>
      </w:r>
    </w:p>
    <w:p>
      <w:pPr>
        <w:pStyle w:val="ListParagraph"/>
        <w:numPr>
          <w:ilvl w:val="0"/>
          <w:numId w:val="1"/>
        </w:numPr>
      </w:pPr>
      <w:r>
        <w:t xml:space="preserve">Verificar que você é </w:t>
      </w:r>
      <w:r>
        <w:rPr>
          <w:b/>
        </w:rPr>
        <w:t xml:space="preserve">maior de 18 anos</w:t>
      </w:r>
      <w:r>
        <w:t xml:space="preserve"> e confirmar a sua identidade (telefone e CPF);</w:t>
      </w:r>
    </w:p>
    <w:p>
      <w:pPr>
        <w:pStyle w:val="ListParagraph"/>
        <w:numPr>
          <w:ilvl w:val="0"/>
          <w:numId w:val="1"/>
        </w:numPr>
      </w:pPr>
      <w:r>
        <w:t xml:space="preserve">Operar os torneios e partidas (Mesas, assentos, distribuição de mãos e apuração de resultados);</w:t>
      </w:r>
    </w:p>
    <w:p>
      <w:pPr>
        <w:pStyle w:val="ListParagraph"/>
        <w:numPr>
          <w:ilvl w:val="0"/>
          <w:numId w:val="1"/>
        </w:numPr>
      </w:pPr>
      <w:r>
        <w:t xml:space="preserve">Processar depósitos e saques por </w:t>
      </w:r>
      <w:r>
        <w:rPr>
          <w:b/>
        </w:rPr>
        <w:t xml:space="preserve">Pix de forma manual</w:t>
      </w:r>
      <w:r>
        <w:t xml:space="preserve">, conforme descrito nos </w:t>
      </w:r>
      <w:r>
        <w:rPr>
          <w:b/>
        </w:rPr>
        <w:t xml:space="preserve">Termos de Uso</w:t>
      </w:r>
      <w:r>
        <w:t xml:space="preserve"> (o depósito é declarado pelo jogador e confirmado pelo administrador; o saque é solicitado pelo jogador, reservado e pago manualmente pelo administrador);</w:t>
      </w:r>
    </w:p>
    <w:p>
      <w:pPr>
        <w:pStyle w:val="ListParagraph"/>
        <w:numPr>
          <w:ilvl w:val="0"/>
          <w:numId w:val="1"/>
        </w:numPr>
      </w:pPr>
      <w:r>
        <w:t xml:space="preserve">Prevenir e combater fraudes, conluio, uso de *bots*, multicontas e demais abusos, além de garantir a segurança e a integridade da plataforma;</w:t>
      </w:r>
    </w:p>
    <w:p>
      <w:pPr>
        <w:pStyle w:val="ListParagraph"/>
        <w:numPr>
          <w:ilvl w:val="0"/>
          <w:numId w:val="1"/>
        </w:numPr>
      </w:pPr>
      <w:r>
        <w:t xml:space="preserve">Prestar suporte e atender às suas solicitações;</w:t>
      </w:r>
    </w:p>
    <w:p>
      <w:pPr>
        <w:pStyle w:val="ListParagraph"/>
        <w:numPr>
          <w:ilvl w:val="0"/>
          <w:numId w:val="1"/>
        </w:numPr>
      </w:pPr>
      <w:r>
        <w:t xml:space="preserve">Cumprir obrigações legais, regulatórias e financeiras.</w:t>
      </w:r>
    </w:p>
    <w:p>
      <w:pPr>
        <w:pBdr>
          <w:bottom w:val="single" w:sz="6" w:space="1" w:color="E0E0E0"/>
        </w:pBdr>
        <w:spacing w:before="140" w:after="140"/>
      </w:pPr>
    </w:p>
    <w:p>
      <w:pPr>
        <w:pStyle w:val="Heading2"/>
      </w:pPr>
      <w:r>
        <w:t xml:space="preserve">4. Bases legais do tratamento</w:t>
      </w:r>
    </w:p>
    <w:p>
      <w:r>
        <w:t xml:space="preserve">Cada tratamento se apoia em uma base legal prevista na LGPD: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Execução de contrato</w:t>
      </w:r>
      <w:r>
        <w:t xml:space="preserve"> (Art. 7º, V): criação e gestão da conta, operação dos jogos e processamento de depósitos e saques;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Cumprimento de obrigação legal ou regulatória</w:t>
      </w:r>
      <w:r>
        <w:t xml:space="preserve"> (Art. 7º, II): guarda de registros e atendimento a determinações legais e de autoridades;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Legítimo interesse</w:t>
      </w:r>
      <w:r>
        <w:t xml:space="preserve"> (Art. 7º, IX): prevenção a fraudes, segurança da plataforma e dos usuários, sempre observados os seus direitos e expectativas;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Consentimento</w:t>
      </w:r>
      <w:r>
        <w:t xml:space="preserve"> (Art. 7º, I): quando aplicável, por exemplo ao optar pelo login social via Facebook. Quando o tratamento se basear em consentimento, você poderá revogá-lo a qualquer momento.</w:t>
      </w:r>
    </w:p>
    <w:p>
      <w:pPr>
        <w:pBdr>
          <w:bottom w:val="single" w:sz="6" w:space="1" w:color="E0E0E0"/>
        </w:pBdr>
        <w:spacing w:before="140" w:after="140"/>
      </w:pPr>
    </w:p>
    <w:p>
      <w:pPr>
        <w:pStyle w:val="Heading2"/>
      </w:pPr>
      <w:r>
        <w:t xml:space="preserve">5. Compartilhamento de dados</w:t>
      </w:r>
    </w:p>
    <w:p>
      <w:r>
        <w:rPr>
          <w:b/>
        </w:rPr>
        <w:t xml:space="preserve">Nós não vendemos os seus dados pessoais.</w:t>
      </w:r>
      <w:r>
        <w:t xml:space="preserve"> O compartilhamento ocorre apenas quando necessário: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Prestadores de serviço essenciais à operação</w:t>
      </w:r>
      <w:r>
        <w:t xml:space="preserve">, como provedores de hospedagem e infraestrutura, que tratam os dados em nosso nome e seguindo as nossas instruções;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Autenticação via Facebook</w:t>
      </w:r>
      <w:r>
        <w:t xml:space="preserve">, apenas quando você opta pelo login social, no limite necessário para validar o seu acesso;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Autoridades públicas e judiciais</w:t>
      </w:r>
      <w:r>
        <w:t xml:space="preserve">, quando o compartilhamento for exigido por lei, regulação ou ordem competente.</w:t>
      </w:r>
    </w:p>
    <w:p>
      <w:pPr>
        <w:pBdr>
          <w:bottom w:val="single" w:sz="6" w:space="1" w:color="E0E0E0"/>
        </w:pBdr>
        <w:spacing w:before="140" w:after="140"/>
      </w:pPr>
    </w:p>
    <w:p>
      <w:pPr>
        <w:pStyle w:val="Heading2"/>
      </w:pPr>
      <w:r>
        <w:t xml:space="preserve">6. Armazenamento e segurança</w:t>
      </w:r>
    </w:p>
    <w:p>
      <w:r>
        <w:t xml:space="preserve">Adotamos medidas técnicas e organizacionais para proteger os seus dados, entre elas:</w:t>
      </w:r>
    </w:p>
    <w:p>
      <w:pPr>
        <w:pStyle w:val="ListParagraph"/>
        <w:numPr>
          <w:ilvl w:val="0"/>
          <w:numId w:val="1"/>
        </w:numPr>
      </w:pPr>
      <w:r>
        <w:t xml:space="preserve">Armazenamento em banco de dados </w:t>
      </w:r>
      <w:r>
        <w:rPr>
          <w:b/>
        </w:rPr>
        <w:t xml:space="preserve">PostgreSQL</w:t>
      </w:r>
      <w:r>
        <w:t xml:space="preserve">;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*Hashing</w:t>
      </w:r>
      <w:r>
        <w:t xml:space="preserve">* dos códigos OTP, que nunca são guardados em texto puro;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Registros financeiros e de auditoria imutáveis</w:t>
      </w:r>
      <w:r>
        <w:t xml:space="preserve"> (razão contábil de dupla entrada, em centavos inteiros), permitindo verificação e impedindo alterações não rastreáveis;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Controle de acesso</w:t>
      </w:r>
      <w:r>
        <w:t xml:space="preserve"> às informações, restrito ao necessário para a operação.</w:t>
      </w:r>
    </w:p>
    <w:p>
      <w:r>
        <w:t xml:space="preserve">Nenhum sistema é totalmente imune a riscos, mas trabalhamos continuamente para mitigar incidentes e proteger as suas informações.</w:t>
      </w:r>
    </w:p>
    <w:p>
      <w:pPr>
        <w:pBdr>
          <w:bottom w:val="single" w:sz="6" w:space="1" w:color="E0E0E0"/>
        </w:pBdr>
        <w:spacing w:before="140" w:after="140"/>
      </w:pPr>
    </w:p>
    <w:p>
      <w:pPr>
        <w:pStyle w:val="Heading2"/>
      </w:pPr>
      <w:r>
        <w:t xml:space="preserve">7. Retenção e eliminação</w:t>
      </w:r>
    </w:p>
    <w:p>
      <w:r>
        <w:t xml:space="preserve">Mantemos os seus dados pessoais </w:t>
      </w:r>
      <w:r>
        <w:rPr>
          <w:b/>
        </w:rPr>
        <w:t xml:space="preserve">enquanto a sua conta existir</w:t>
      </w:r>
      <w:r>
        <w:t xml:space="preserve"> e pelo prazo necessário para cumprir obrigações legais, financeiras e regulatórias (por exemplo, registros contábeis, de movimentações financeiras e de auditoria de jogo).</w:t>
      </w:r>
    </w:p>
    <w:p>
      <w:r>
        <w:t xml:space="preserve">Encerrado esse período, os dados são </w:t>
      </w:r>
      <w:r>
        <w:rPr>
          <w:b/>
        </w:rPr>
        <w:t xml:space="preserve">eliminados ou anonimizados</w:t>
      </w:r>
      <w:r>
        <w:t xml:space="preserve">, salvo quando a sua conservação for exigida por lei ou para o exercício regular de direitos.</w:t>
      </w:r>
    </w:p>
    <w:p>
      <w:pPr>
        <w:pBdr>
          <w:bottom w:val="single" w:sz="6" w:space="1" w:color="E0E0E0"/>
        </w:pBdr>
        <w:spacing w:before="140" w:after="140"/>
      </w:pPr>
    </w:p>
    <w:p>
      <w:pPr>
        <w:pStyle w:val="Heading2"/>
      </w:pPr>
      <w:r>
        <w:t xml:space="preserve">8. Seus direitos como titular</w:t>
      </w:r>
    </w:p>
    <w:p>
      <w:r>
        <w:t xml:space="preserve">Nos termos do Art. 18 da LGPD, você pode, a qualquer momento, solicitar: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Confirmação</w:t>
      </w:r>
      <w:r>
        <w:t xml:space="preserve"> da existência de tratamento dos seus dados;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Acesso</w:t>
      </w:r>
      <w:r>
        <w:t xml:space="preserve"> aos seus dados;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Correção</w:t>
      </w:r>
      <w:r>
        <w:t xml:space="preserve"> de dados incompletos, inexatos ou desatualizados;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Anonimização, bloqueio ou eliminação</w:t>
      </w:r>
      <w:r>
        <w:t xml:space="preserve"> de dados desnecessários, excessivos ou tratados em desconformidade com a LGPD;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Eliminação</w:t>
      </w:r>
      <w:r>
        <w:t xml:space="preserve"> dos dados tratados com base no seu consentimento, observados os prazos legais de retenção;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Portabilidade</w:t>
      </w:r>
      <w:r>
        <w:t xml:space="preserve"> dos dados a outro fornecedor, mediante requisição;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Informação</w:t>
      </w:r>
      <w:r>
        <w:t xml:space="preserve"> sobre as entidades públicas e privadas com as quais compartilhamos os seus dados;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Informação</w:t>
      </w:r>
      <w:r>
        <w:t xml:space="preserve"> sobre a possibilidade de não fornecer consentimento e sobre as consequências da negativa;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Revogação do consentimento</w:t>
      </w:r>
      <w:r>
        <w:t xml:space="preserve">, quando o tratamento se basear nele.</w:t>
      </w:r>
    </w:p>
    <w:p>
      <w:r>
        <w:t xml:space="preserve">Para exercer esses direitos, entre em contato com o nosso Encarregado pelo e-mail </w:t>
      </w:r>
      <w:r>
        <w:rPr>
          <w:b/>
        </w:rPr>
        <w:t xml:space="preserve">[E-MAIL DO ENCARREGADO/DPO]</w:t>
      </w:r>
      <w:r>
        <w:t xml:space="preserve">. Poderemos solicitar informações para confirmar a sua identidade antes de atender ao pedido. Você também tem o direito de peticionar perante a Autoridade Nacional de Proteção de Dados (ANPD).</w:t>
      </w:r>
    </w:p>
    <w:p>
      <w:pPr>
        <w:pBdr>
          <w:bottom w:val="single" w:sz="6" w:space="1" w:color="E0E0E0"/>
        </w:pBdr>
        <w:spacing w:before="140" w:after="140"/>
      </w:pPr>
    </w:p>
    <w:p>
      <w:pPr>
        <w:pStyle w:val="Heading2"/>
      </w:pPr>
      <w:r>
        <w:t xml:space="preserve">9. Menores de 18 anos</w:t>
      </w:r>
    </w:p>
    <w:p>
      <w:r>
        <w:t xml:space="preserve">O CAPA CONTEST é um serviço com conteúdo </w:t>
      </w:r>
      <w:r>
        <w:rPr>
          <w:b/>
        </w:rPr>
        <w:t xml:space="preserve">+18</w:t>
      </w:r>
      <w:r>
        <w:t xml:space="preserve"> e competição com dinheiro real, </w:t>
      </w:r>
      <w:r>
        <w:rPr>
          <w:b/>
        </w:rPr>
        <w:t xml:space="preserve">proibido para menores de 18 anos</w:t>
      </w:r>
      <w:r>
        <w:t xml:space="preserve">. O cadastro é barrado quando a data de nascimento indica idade inferior a 18 anos.</w:t>
      </w:r>
    </w:p>
    <w:p>
      <w:r>
        <w:t xml:space="preserve">Não tratamos dados de menores de forma intencional. Caso identifiquemos que uma conta foi criada por menor de idade, ela será bloqueada e os dados serão tratados conforme esta Política e a legislação aplicável.</w:t>
      </w:r>
    </w:p>
    <w:p>
      <w:pPr>
        <w:pBdr>
          <w:bottom w:val="single" w:sz="6" w:space="1" w:color="E0E0E0"/>
        </w:pBdr>
        <w:spacing w:before="140" w:after="140"/>
      </w:pPr>
    </w:p>
    <w:p>
      <w:pPr>
        <w:pStyle w:val="Heading2"/>
      </w:pPr>
      <w:r>
        <w:t xml:space="preserve">10. Identificadores e registros técnicos</w:t>
      </w:r>
    </w:p>
    <w:p>
      <w:r>
        <w:t xml:space="preserve">Por ser um aplicativo móvel, o CAPA CONTEST pode utilizar identificadores e registros técnicos necessários para manter a sua sessão ativa, autenticar o login (OTP), garantir a segurança e o funcionamento do serviço. Esses identificadores são usados de forma proporcional às finalidades descritas nesta Política, e não para fins não informados aqui.</w:t>
      </w:r>
    </w:p>
    <w:p>
      <w:pPr>
        <w:pBdr>
          <w:bottom w:val="single" w:sz="6" w:space="1" w:color="E0E0E0"/>
        </w:pBdr>
        <w:spacing w:before="140" w:after="140"/>
      </w:pPr>
    </w:p>
    <w:p>
      <w:pPr>
        <w:pStyle w:val="Heading2"/>
      </w:pPr>
      <w:r>
        <w:t xml:space="preserve">11. Transferência internacional de dados</w:t>
      </w:r>
    </w:p>
    <w:p>
      <w:r>
        <w:t xml:space="preserve">Caso os nossos provedores de hospedagem e infraestrutura armazenem ou processem dados em servidores localizados </w:t>
      </w:r>
      <w:r>
        <w:rPr>
          <w:b/>
        </w:rPr>
        <w:t xml:space="preserve">fora do Brasil</w:t>
      </w:r>
      <w:r>
        <w:t xml:space="preserve">, poderá ocorrer transferência internacional de dados. Nessa hipótese, adotaremos as garantias exigidas pela LGPD para assegurar um nível adequado de proteção aos seus dados pessoais.</w:t>
      </w:r>
    </w:p>
    <w:p>
      <w:pPr>
        <w:pBdr>
          <w:bottom w:val="single" w:sz="6" w:space="1" w:color="E0E0E0"/>
        </w:pBdr>
        <w:spacing w:before="140" w:after="140"/>
      </w:pPr>
    </w:p>
    <w:p>
      <w:pPr>
        <w:pStyle w:val="Heading2"/>
      </w:pPr>
      <w:r>
        <w:t xml:space="preserve">12. Alterações desta Política</w:t>
      </w:r>
    </w:p>
    <w:p>
      <w:r>
        <w:t xml:space="preserve">Podemos atualizar esta Política de Privacidade para refletir mudanças no serviço ou na legislação. A versão vigente será sempre identificada pela data de "Última atualização" no topo deste documento. Recomendamos a sua leitura periódica.</w:t>
      </w:r>
    </w:p>
    <w:p>
      <w:pPr>
        <w:pBdr>
          <w:bottom w:val="single" w:sz="6" w:space="1" w:color="E0E0E0"/>
        </w:pBdr>
        <w:spacing w:before="140" w:after="140"/>
      </w:pPr>
    </w:p>
    <w:p>
      <w:pPr>
        <w:pStyle w:val="Heading2"/>
      </w:pPr>
      <w:r>
        <w:t xml:space="preserve">13. Contato do Encarregado</w:t>
      </w:r>
    </w:p>
    <w:p>
      <w:r>
        <w:t xml:space="preserve">Para dúvidas, solicitações ou reclamações relacionadas ao tratamento dos seus dados pessoais, fale com o nosso Encarregado pelo Tratamento de Dados: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E-mail do Encarregado/DPO:</w:t>
      </w:r>
      <w:r>
        <w:t xml:space="preserve"> [E-MAIL DO ENCARREGADO/DPO]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E-mail de contato:</w:t>
      </w:r>
      <w:r>
        <w:t xml:space="preserve"> [E-MAIL DE CONTATO]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Suporte:</w:t>
      </w:r>
      <w:r>
        <w:t xml:space="preserve"> [TELEFONE/WHATSAPP DE SUPORTE]</w:t>
      </w:r>
    </w:p>
    <w:sectPr>
      <w:pgSz w:w="11906" w:h="16838"/>
      <w:pgMar w:top="1134" w:right="1021" w:bottom="1021" w:left="1021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pt-BR"/>
      </w:rPr>
    </w:rPrDefault>
  </w:docDefaults>
  <w:style w:type="paragraph" w:default="1" w:styleId="Normal">
    <w:name w:val="Normal"/>
    <w:pPr>
      <w:spacing w:after="120" w:line="276" w:lineRule="auto"/>
    </w:pPr>
  </w:style>
  <w:style w:type="paragraph" w:styleId="Title">
    <w:name w:val="Title"/>
    <w:basedOn w:val="Normal"/>
    <w:pPr>
      <w:pBdr>
        <w:bottom w:val="single" w:sz="24" w:space="4" w:color="E2231A"/>
      </w:pBdr>
      <w:spacing w:after="120"/>
    </w:pPr>
    <w:rPr>
      <w:b/>
      <w:color w:val="E2231A"/>
      <w:sz w:val="52"/>
    </w:rPr>
  </w:style>
  <w:style w:type="paragraph" w:styleId="Heading2">
    <w:name w:val="heading 2"/>
    <w:basedOn w:val="Normal"/>
    <w:next w:val="Normal"/>
    <w:pPr>
      <w:keepNext/>
      <w:pBdr>
        <w:bottom w:val="single" w:sz="6" w:space="2" w:color="DDDDDD"/>
      </w:pBdr>
      <w:spacing w:before="300" w:after="120"/>
    </w:pPr>
    <w:rPr>
      <w:b/>
      <w:color w:val="9E1009"/>
      <w:sz w:val="28"/>
    </w:rPr>
  </w:style>
  <w:style w:type="paragraph" w:styleId="Heading3">
    <w:name w:val="heading 3"/>
    <w:basedOn w:val="Normal"/>
    <w:next w:val="Normal"/>
    <w:pPr>
      <w:keepNext/>
      <w:spacing w:before="160" w:after="80"/>
    </w:pPr>
    <w:rPr>
      <w:b/>
      <w:sz w:val="24"/>
    </w:rPr>
  </w:style>
  <w:style w:type="paragraph" w:styleId="Quote">
    <w:name w:val="Quote"/>
    <w:basedOn w:val="Normal"/>
    <w:pPr>
      <w:pBdr>
        <w:left w:val="single" w:sz="24" w:space="8" w:color="E2231A"/>
      </w:pBdr>
      <w:shd w:val="clear" w:color="auto" w:fill="FBECEB"/>
      <w:ind w:left="240"/>
      <w:spacing w:before="120" w:after="120"/>
    </w:pPr>
    <w:rPr>
      <w:color w:val="9E1009"/>
    </w:rPr>
  </w:style>
  <w:style w:type="paragraph" w:styleId="ListParagraph">
    <w:name w:val="List Paragraph"/>
    <w:basedOn w:val="Normal"/>
    <w:pPr>
      <w:spacing w:after="60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