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Regulamento dos Torneios — CAPA CONTEST</w:t>
      </w:r>
    </w:p>
    <w:p>
      <w:r>
        <w:t xml:space="preserve">Última atualização: [DATA DE VIGÊNCIA]</w:t>
      </w:r>
    </w:p>
    <w:p>
      <w:r>
        <w:rPr>
          <w:i/>
        </w:rPr>
        <w:t xml:space="preserve">Modelo base. Deve ser revisado por assessoria jurídica antes da publicação.</w:t>
      </w:r>
    </w:p>
    <w:p>
      <w:r>
        <w:t xml:space="preserve">Este Regulamento disciplina a participação nos torneios oferecidos no aplicativo </w:t>
      </w:r>
      <w:r>
        <w:rPr>
          <w:b/>
        </w:rPr>
        <w:t xml:space="preserve">CAPA CONTEST</w:t>
      </w:r>
      <w:r>
        <w:t xml:space="preserve"> (nome fantasia [NOME FANTASIA]), operado por [RAZÃO SOCIAL], inscrita no CNPJ sob o nº [CNPJ], com sede em [ENDEREÇO COMPLETO]. Ao entrar em qualquer torneio, você declara que leu, entendeu e concorda com as regras abaixo.</w:t>
      </w:r>
    </w:p>
    <w:p>
      <w:r>
        <w:t xml:space="preserve">Na Fase 1 (atual), o CAPA CONTEST disponibiliza </w:t>
      </w:r>
      <w:r>
        <w:rPr>
          <w:b/>
        </w:rPr>
        <w:t xml:space="preserve">apenas torneios de Poker (Texas Hold'em) com dinheiro real</w:t>
      </w:r>
      <w:r>
        <w:t xml:space="preserve">, em dispositivos Android.</w:t>
      </w:r>
    </w:p>
    <w:p>
      <w:r>
        <w:t xml:space="preserve">Este Regulamento integra os </w:t>
      </w:r>
      <w:r>
        <w:rPr>
          <w:b/>
        </w:rPr>
        <w:t xml:space="preserve">Termos de Uso</w:t>
      </w:r>
      <w:r>
        <w:t xml:space="preserve"> e deve ser lido em conjunto com eles e com a </w:t>
      </w:r>
      <w:r>
        <w:rPr>
          <w:b/>
        </w:rPr>
        <w:t xml:space="preserve">Política de Privacidade</w:t>
      </w:r>
      <w:r>
        <w:t xml:space="preserve">. Em caso de divergência quanto a regras de jogo, prevalece este Regulamento.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1. Apresentação e definições</w:t>
      </w:r>
    </w:p>
    <w:p>
      <w:r>
        <w:t xml:space="preserve">Para os fins deste Regulamento, aplicam-se as definições abaixo, consistentes com os Termos de Uso e a Política de Privacidade: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V.I. (Valor Investido):</w:t>
      </w:r>
      <w:r>
        <w:t xml:space="preserve"> valor da entrada paga pelo jogador para participar de um torneio, debitado em Créditos da Carteira.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Sala:</w:t>
      </w:r>
      <w:r>
        <w:t xml:space="preserve"> ambiente de competição que agrupa as Mesas de um torneio. Na Fase 1, </w:t>
      </w:r>
      <w:r>
        <w:rPr>
          <w:b/>
        </w:rPr>
        <w:t xml:space="preserve">uma Mesa de 8 lugares É a Sala</w:t>
      </w:r>
      <w:r>
        <w:t xml:space="preserve"> (Mesa cheia = 100% de ocupação).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Mesa:</w:t>
      </w:r>
      <w:r>
        <w:t xml:space="preserve"> posição de jogo onde os participantes ocupam assentos (até 8 assentos no Poker).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Fase Eliminatória:</w:t>
      </w:r>
      <w:r>
        <w:t xml:space="preserve"> etapa de um torneio em que parte dos jogadores avança e parte é eliminada, em modelo de múltiplas fases. Recurso do modelo de torneios em fases (Fase 2 — ver Seção 8).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Partida Rápida:</w:t>
      </w:r>
      <w:r>
        <w:t xml:space="preserve"> disputa avulsa, de resultado imediato, fora do modelo de Fases Eliminatórias, com cálculo de Prêmio próprio (ver Seção 7).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Carteira / Créditos:</w:t>
      </w:r>
      <w:r>
        <w:t xml:space="preserve"> saldo interno de Créditos do app usado para entrar nos torneios e receber Prêmios. </w:t>
      </w:r>
      <w:r>
        <w:rPr>
          <w:b/>
        </w:rPr>
        <w:t xml:space="preserve">Não é conta bancária, não rende juros e não constitui instituição de pagamento.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Prêmio:</w:t>
      </w:r>
      <w:r>
        <w:t xml:space="preserve"> valor que o jogador tem direito a receber em razão do resultado do torneio, calculado conforme este Regulamento.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2. Quem pode participar</w:t>
      </w:r>
    </w:p>
    <w:p>
      <w:pPr>
        <w:pStyle w:val="ListParagraph"/>
        <w:numPr>
          <w:ilvl w:val="0"/>
          <w:numId w:val="1"/>
        </w:numPr>
      </w:pPr>
      <w:r>
        <w:t xml:space="preserve">Apenas pessoas com </w:t>
      </w:r>
      <w:r>
        <w:rPr>
          <w:b/>
        </w:rPr>
        <w:t xml:space="preserve">18 anos completos ou mais</w:t>
      </w:r>
      <w:r>
        <w:t xml:space="preserve">. O cadastro é barrado se a data de nascimento informada indicar menor de 18 anos.</w:t>
      </w:r>
    </w:p>
    <w:p>
      <w:pPr>
        <w:pStyle w:val="ListParagraph"/>
        <w:numPr>
          <w:ilvl w:val="0"/>
          <w:numId w:val="1"/>
        </w:numPr>
      </w:pPr>
      <w:r>
        <w:t xml:space="preserve">É obrigatório informar </w:t>
      </w:r>
      <w:r>
        <w:rPr>
          <w:b/>
        </w:rPr>
        <w:t xml:space="preserve">CPF válido</w:t>
      </w:r>
      <w:r>
        <w:t xml:space="preserve"> (verificado pelos dígitos verificadores).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Conta única:</w:t>
      </w:r>
      <w:r>
        <w:t xml:space="preserve"> cada CPF dá direito a uma única conta. É proibido manter ou operar mais de uma conta (multicontas).</w:t>
      </w:r>
    </w:p>
    <w:p>
      <w:pPr>
        <w:pStyle w:val="ListParagraph"/>
        <w:numPr>
          <w:ilvl w:val="0"/>
          <w:numId w:val="1"/>
        </w:numPr>
      </w:pPr>
      <w:r>
        <w:t xml:space="preserve">O cadastro exige telefone, nome de exibição, CPF e data de nascimento. O login é feito por código de uso único (OTP) enviado ao telefone; o login social pelo Facebook é opcional.</w:t>
      </w:r>
    </w:p>
    <w:p>
      <w:r>
        <w:t xml:space="preserve">A participação é por conta e risco do usuário. Jogos com dinheiro real envolvem possibilidade de perda do V.I.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3. Como entrar no torneio</w:t>
      </w:r>
    </w:p>
    <w:p>
      <w:pPr>
        <w:pStyle w:val="ListParagraph"/>
        <w:numPr>
          <w:ilvl w:val="0"/>
          <w:numId w:val="2"/>
        </w:numPr>
      </w:pPr>
      <w:r>
        <w:t xml:space="preserve">Tenha saldo suficiente de Créditos na sua Carteira (ver como depositar na Seção 9).</w:t>
      </w:r>
    </w:p>
    <w:p>
      <w:pPr>
        <w:pStyle w:val="ListParagraph"/>
        <w:numPr>
          <w:ilvl w:val="0"/>
          <w:numId w:val="2"/>
        </w:numPr>
      </w:pPr>
      <w:r>
        <w:t xml:space="preserve">Escolha a Sala/nível desejado e confirme a entrada.</w:t>
      </w:r>
    </w:p>
    <w:p>
      <w:pPr>
        <w:pStyle w:val="ListParagraph"/>
        <w:numPr>
          <w:ilvl w:val="0"/>
          <w:numId w:val="2"/>
        </w:numPr>
      </w:pPr>
      <w:r>
        <w:t xml:space="preserve">Ao confirmar, o </w:t>
      </w:r>
      <w:r>
        <w:rPr>
          <w:b/>
        </w:rPr>
        <w:t xml:space="preserve">V.I. é debitado</w:t>
      </w:r>
      <w:r>
        <w:t xml:space="preserve"> da sua Carteira em Créditos. A entrada na Sala/Mesa ocorre após o débito.</w:t>
      </w:r>
    </w:p>
    <w:p>
      <w:r>
        <w:t xml:space="preserve">O V.I. corresponde ao valor da entrada do torneio escolhido e varia conforme o nível da Sala e o tipo de assinatura (ver Seção 4).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4. Valor da entrada (V.I.)</w:t>
      </w:r>
    </w:p>
    <w:p>
      <w:r>
        <w:t xml:space="preserve">O V.I. varia por </w:t>
      </w:r>
      <w:r>
        <w:rPr>
          <w:b/>
        </w:rPr>
        <w:t xml:space="preserve">nível da Sala (1 a 7)</w:t>
      </w:r>
      <w:r>
        <w:t xml:space="preserve"> e por </w:t>
      </w:r>
      <w:r>
        <w:rPr>
          <w:b/>
        </w:rPr>
        <w:t xml:space="preserve">tipo de assinatura</w:t>
      </w:r>
      <w:r>
        <w:t xml:space="preserve">. Assinantes pagam entrada menor que não assinantes. A tabela abaixo é um resumo; os valores aplicáveis a cada nível são exibidos no app no momento da entrada.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8"/>
        <w:gridCol w:w="3288"/>
        <w:gridCol w:w="3288"/>
      </w:tblGrid>
      <w:tr>
        <w:tc>
          <w:tcPr>
            <w:tcW w:w="3288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Nível da Sala</w:t>
            </w:r>
          </w:p>
        </w:tc>
        <w:tc>
          <w:tcPr>
            <w:tcW w:w="3288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V.I. — Não assinante</w:t>
            </w:r>
          </w:p>
        </w:tc>
        <w:tc>
          <w:tcPr>
            <w:tcW w:w="3288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V.I. — Assinante</w:t>
            </w:r>
          </w:p>
        </w:tc>
      </w:tr>
      <w:tr>
        <w:tc>
          <w:tcPr>
            <w:tcW w:w="3288" w:type="dxa"/>
          </w:tcPr>
          <w:p>
            <w:pPr>
              <w:spacing w:before="20" w:after="20"/>
            </w:pPr>
            <w:r>
              <w:t xml:space="preserve">1 a 7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Valor padrão do nível</w:t>
            </w:r>
          </w:p>
        </w:tc>
        <w:tc>
          <w:tcPr>
            <w:tcW w:w="3288" w:type="dxa"/>
          </w:tcPr>
          <w:p>
            <w:pPr>
              <w:spacing w:before="20" w:after="20"/>
            </w:pPr>
            <w:r>
              <w:t xml:space="preserve">Valor reduzido do nível (entrada menor)</w:t>
            </w:r>
          </w:p>
        </w:tc>
      </w:tr>
    </w:tbl>
    <w:p/>
    <w:p>
      <w:r>
        <w:rPr>
          <w:b/>
        </w:rPr>
        <w:t xml:space="preserve">Preços das assinaturas pagas:</w:t>
      </w:r>
      <w:r>
        <w:t xml:space="preserve"> [PREÇOS DE ASSINATURA A DEFINIR]. Atualmente a assinatura pode ser concedida manualmente pelo administrador.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5. Cálculo do Prêmio</w:t>
      </w:r>
    </w:p>
    <w:p>
      <w:r>
        <w:t xml:space="preserve">O Prêmio é calculado pela fórmula:</w:t>
      </w:r>
    </w:p>
    <w:p>
      <w:pPr>
        <w:pStyle w:val="Quote"/>
      </w:pPr>
      <w:r>
        <w:rPr>
          <w:b/>
        </w:rPr>
        <w:t xml:space="preserve">Prêmio = multiplicador × V.I.</w:t>
      </w:r>
    </w:p>
    <w:p>
      <w:r>
        <w:t xml:space="preserve">O </w:t>
      </w:r>
      <w:r>
        <w:rPr>
          <w:b/>
        </w:rPr>
        <w:t xml:space="preserve">multiplicador</w:t>
      </w:r>
      <w:r>
        <w:t xml:space="preserve"> depende do </w:t>
      </w:r>
      <w:r>
        <w:rPr>
          <w:b/>
        </w:rPr>
        <w:t xml:space="preserve">percentual de Mesas ocupadas na Sala</w:t>
      </w:r>
      <w:r>
        <w:t xml:space="preserve">, conforme a tabela: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2"/>
        <w:gridCol w:w="4932"/>
      </w:tblGrid>
      <w:tr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Ocupação da Sala</w:t>
            </w:r>
          </w:p>
        </w:tc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Multiplicador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100%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200×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90–99%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180×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80–89%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160×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70–79%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140×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60–69%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120×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50–59%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100×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40–49%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80×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30–39%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60×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20–29%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40×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10–19%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20×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Abaixo de 10%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Sem Prêmio (multiplicador 0)</w:t>
            </w:r>
          </w:p>
        </w:tc>
      </w:tr>
    </w:tbl>
    <w:p/>
    <w:p>
      <w:r>
        <w:t xml:space="preserve">Regras complementares: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Máximo de 800 participantes por Sala.</w:t>
      </w:r>
    </w:p>
    <w:p>
      <w:pPr>
        <w:pStyle w:val="ListParagraph"/>
        <w:numPr>
          <w:ilvl w:val="0"/>
          <w:numId w:val="1"/>
        </w:numPr>
      </w:pPr>
      <w:r>
        <w:t xml:space="preserve">O Prêmio é </w:t>
      </w:r>
      <w:r>
        <w:rPr>
          <w:b/>
        </w:rPr>
        <w:t xml:space="preserve">limitado ao valor efetivamente arrecadado</w:t>
      </w:r>
      <w:r>
        <w:t xml:space="preserve"> na Sala. A plataforma </w:t>
      </w:r>
      <w:r>
        <w:rPr>
          <w:b/>
        </w:rPr>
        <w:t xml:space="preserve">nunca paga a mais</w:t>
      </w:r>
      <w:r>
        <w:t xml:space="preserve"> do que foi arrecadado.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Sala com ocupação abaixo de 10% não distribui Prêmio</w:t>
      </w:r>
      <w:r>
        <w:t xml:space="preserve"> (multiplicador 0).</w:t>
      </w:r>
    </w:p>
    <w:p>
      <w:pPr>
        <w:pStyle w:val="ListParagraph"/>
        <w:numPr>
          <w:ilvl w:val="0"/>
          <w:numId w:val="1"/>
        </w:numPr>
      </w:pPr>
      <w:r>
        <w:t xml:space="preserve">Na Fase 1, uma Mesa de 8 lugares é a Sala. Mesa cheia = 100% de ocupação = </w:t>
      </w:r>
      <w:r>
        <w:rPr>
          <w:b/>
        </w:rPr>
        <w:t xml:space="preserve">200 × V.I.</w:t>
      </w:r>
      <w:r>
        <w:t xml:space="preserve"> (respeitado o limite do arrecadado). O modelo completo de 800 jogadores / 100 Mesas com Fases Eliminatórias é da Fase 2 (ver Seção 8).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6. Participação no Prêmio por assinatura</w:t>
      </w:r>
    </w:p>
    <w:p>
      <w:r>
        <w:t xml:space="preserve">O tipo de assinatura define a </w:t>
      </w:r>
      <w:r>
        <w:rPr>
          <w:b/>
        </w:rPr>
        <w:t xml:space="preserve">fração do Prêmio</w:t>
      </w:r>
      <w:r>
        <w:t xml:space="preserve"> a que o jogador tem direito: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2"/>
        <w:gridCol w:w="4932"/>
      </w:tblGrid>
      <w:tr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Tipo de assinatura</w:t>
            </w:r>
          </w:p>
        </w:tc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Participação no Prêmio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Não assinante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25%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Mensal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30%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Trimestral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50%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Semestral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75%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Anual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100%</w:t>
            </w:r>
          </w:p>
        </w:tc>
      </w:tr>
    </w:tbl>
    <w:p/>
    <w:p>
      <w:r>
        <w:t xml:space="preserve">A fração acima incide sobre o Prêmio calculado na Seção 5.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7. Partidas Rápidas</w:t>
      </w:r>
    </w:p>
    <w:p>
      <w:r>
        <w:t xml:space="preserve">Nas </w:t>
      </w:r>
      <w:r>
        <w:rPr>
          <w:b/>
        </w:rPr>
        <w:t xml:space="preserve">Partidas Rápidas</w:t>
      </w:r>
      <w:r>
        <w:t xml:space="preserve">, o Prêmio é calculado de forma própria:</w:t>
      </w:r>
    </w:p>
    <w:p>
      <w:pPr>
        <w:pStyle w:val="Quote"/>
      </w:pPr>
      <w:r>
        <w:rPr>
          <w:b/>
        </w:rPr>
        <w:t xml:space="preserve">Prêmio = valor da entrada + 50%</w:t>
      </w:r>
    </w:p>
    <w:p>
      <w:r>
        <w:t xml:space="preserve">Aplicam-se, no que couber, as demais regras deste Regulamento, inclusive o limite do valor arrecadado.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8. Regras de eliminação e reentrada (Fases Eliminatórias)</w:t>
      </w:r>
    </w:p>
    <w:p>
      <w:r>
        <w:t xml:space="preserve">As regras a seguir integram o </w:t>
      </w:r>
      <w:r>
        <w:rPr>
          <w:b/>
        </w:rPr>
        <w:t xml:space="preserve">modelo de torneios em Fases Eliminatórias</w:t>
      </w:r>
      <w:r>
        <w:t xml:space="preserve">, previsto para a </w:t>
      </w:r>
      <w:r>
        <w:rPr>
          <w:b/>
        </w:rPr>
        <w:t xml:space="preserve">Fase 2</w:t>
      </w:r>
      <w:r>
        <w:t xml:space="preserve">. São apresentadas a título de transparência sobre o modelo de torneio; </w:t>
      </w:r>
      <w:r>
        <w:rPr>
          <w:b/>
        </w:rPr>
        <w:t xml:space="preserve">não há promessa de disponibilidade imediata</w:t>
      </w:r>
      <w:r>
        <w:t xml:space="preserve"> na Fase 1.</w:t>
      </w:r>
    </w:p>
    <w:p>
      <w:pPr>
        <w:pStyle w:val="ListParagraph"/>
        <w:numPr>
          <w:ilvl w:val="0"/>
          <w:numId w:val="1"/>
        </w:numPr>
      </w:pPr>
      <w:r>
        <w:t xml:space="preserve">A cada Fase, parte dos jogadores avança e parte é eliminada (no Poker, modelo 800 → 100 → 16 → 2).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Loser-continues (reentrada):</w:t>
      </w:r>
      <w:r>
        <w:t xml:space="preserve"> o jogador eliminado pode reentrar na Fase seguinte pagando um percentual da entrada, conforme a Fase: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32"/>
        <w:gridCol w:w="4932"/>
      </w:tblGrid>
      <w:tr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tcW w:w="4932" w:type="dxa"/>
            <w:shd w:val="clear" w:color="auto" w:fill="0D0D0D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Custo de reentrada (sobre a entrada)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Fase 1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25%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Fase 2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50%</w:t>
            </w:r>
          </w:p>
        </w:tc>
      </w:tr>
      <w:tr>
        <w:tc>
          <w:tcPr>
            <w:tcW w:w="4932" w:type="dxa"/>
          </w:tcPr>
          <w:p>
            <w:pPr>
              <w:spacing w:before="20" w:after="20"/>
            </w:pPr>
            <w:r>
              <w:t xml:space="preserve">Fase 3</w:t>
            </w:r>
          </w:p>
        </w:tc>
        <w:tc>
          <w:tcPr>
            <w:tcW w:w="4932" w:type="dxa"/>
          </w:tcPr>
          <w:p>
            <w:pPr>
              <w:spacing w:before="20" w:after="20"/>
            </w:pPr>
            <w:r>
              <w:t xml:space="preserve">75%</w:t>
            </w:r>
          </w:p>
        </w:tc>
      </w:tr>
      <w:tr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Fase 4</w:t>
            </w:r>
          </w:p>
        </w:tc>
        <w:tc>
          <w:tcPr>
            <w:tcW w:w="4932" w:type="dxa"/>
            <w:shd w:val="clear" w:color="auto" w:fill="F7F7F7"/>
          </w:tcPr>
          <w:p>
            <w:pPr>
              <w:spacing w:before="20" w:after="20"/>
            </w:pPr>
            <w:r>
              <w:t xml:space="preserve">100%</w:t>
            </w:r>
          </w:p>
        </w:tc>
      </w:tr>
    </w:tbl>
    <w:p/>
    <w:p>
      <w:r>
        <w:t xml:space="preserve">Quando o recurso for ativado, suas condições específicas serão informadas no app.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9. Pagamento do Prêmio</w:t>
      </w:r>
    </w:p>
    <w:p>
      <w:pPr>
        <w:pStyle w:val="ListParagraph"/>
        <w:numPr>
          <w:ilvl w:val="0"/>
          <w:numId w:val="1"/>
        </w:numPr>
      </w:pPr>
      <w:r>
        <w:t xml:space="preserve">O Prêmio é </w:t>
      </w:r>
      <w:r>
        <w:rPr>
          <w:b/>
        </w:rPr>
        <w:t xml:space="preserve">creditado na Carteira</w:t>
      </w:r>
      <w:r>
        <w:t xml:space="preserve"> do jogador em Créditos.</w:t>
      </w:r>
    </w:p>
    <w:p>
      <w:pPr>
        <w:pStyle w:val="ListParagraph"/>
        <w:numPr>
          <w:ilvl w:val="0"/>
          <w:numId w:val="1"/>
        </w:numPr>
      </w:pPr>
      <w:r>
        <w:t xml:space="preserve">Para receber em dinheiro, o jogador </w:t>
      </w:r>
      <w:r>
        <w:rPr>
          <w:b/>
        </w:rPr>
        <w:t xml:space="preserve">solicita um saque via Pix manual</w:t>
      </w:r>
      <w:r>
        <w:t xml:space="preserve">, informando a </w:t>
      </w:r>
      <w:r>
        <w:rPr>
          <w:b/>
        </w:rPr>
        <w:t xml:space="preserve">chave Pix de sua própria titularidade</w:t>
      </w:r>
      <w:r>
        <w:t xml:space="preserve"> (CPF, e-mail, telefone ou aleatória). Saques com chave de terceiros poderão ser rejeitados.</w:t>
      </w:r>
    </w:p>
    <w:p>
      <w:pPr>
        <w:pStyle w:val="ListParagraph"/>
        <w:numPr>
          <w:ilvl w:val="0"/>
          <w:numId w:val="1"/>
        </w:numPr>
      </w:pPr>
      <w:r>
        <w:t xml:space="preserve">Ao solicitar o saque, o valor é </w:t>
      </w:r>
      <w:r>
        <w:rPr>
          <w:b/>
        </w:rPr>
        <w:t xml:space="preserve">reservado</w:t>
      </w:r>
      <w:r>
        <w:t xml:space="preserve"> na Carteira. O administrador realiza o pagamento manualmente e marca a solicitação como paga.</w:t>
      </w:r>
    </w:p>
    <w:p>
      <w:pPr>
        <w:pStyle w:val="ListParagraph"/>
        <w:numPr>
          <w:ilvl w:val="0"/>
          <w:numId w:val="1"/>
        </w:numPr>
      </w:pPr>
      <w:r>
        <w:t xml:space="preserve">Um saque pode ser </w:t>
      </w:r>
      <w:r>
        <w:rPr>
          <w:b/>
        </w:rPr>
        <w:t xml:space="preserve">rejeitado</w:t>
      </w:r>
      <w:r>
        <w:t xml:space="preserve">; nesse caso, o valor reservado é </w:t>
      </w:r>
      <w:r>
        <w:rPr>
          <w:b/>
        </w:rPr>
        <w:t xml:space="preserve">estornado</w:t>
      </w:r>
      <w:r>
        <w:t xml:space="preserve"> para a Carteira.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Depósitos</w:t>
      </w:r>
      <w:r>
        <w:t xml:space="preserve"> também são feitos por </w:t>
      </w:r>
      <w:r>
        <w:rPr>
          <w:b/>
        </w:rPr>
        <w:t xml:space="preserve">Pix manual</w:t>
      </w:r>
      <w:r>
        <w:t xml:space="preserve">: o jogador declara o Pix e o administrador confirma o recebimento para creditar.</w:t>
      </w:r>
    </w:p>
    <w:p>
      <w:pPr>
        <w:pStyle w:val="ListParagraph"/>
        <w:numPr>
          <w:ilvl w:val="0"/>
          <w:numId w:val="1"/>
        </w:numPr>
      </w:pPr>
      <w:r>
        <w:t xml:space="preserve">Na Fase 1 </w:t>
      </w:r>
      <w:r>
        <w:rPr>
          <w:b/>
        </w:rPr>
        <w:t xml:space="preserve">não há gateway de pagamento automático</w:t>
      </w:r>
      <w:r>
        <w:t xml:space="preserve">.</w:t>
      </w:r>
    </w:p>
    <w:p>
      <w:r>
        <w:t xml:space="preserve">A Carteira é um saldo interno de Créditos, com razão contábil de dupla entrada e valores em centavos inteiros; o saldo corresponde à soma dos lançamentos, que são imutáveis e auditáveis. A Carteira não é conta bancária e não rende juros.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10. Justiça e antifraude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Servidor autoritativo:</w:t>
      </w:r>
      <w:r>
        <w:t xml:space="preserve"> o embaralhamento, a geração de aleatoriedade (criptográfica, nunca pseudoaleatória fraca) e a avaliação das mãos ocorrem </w:t>
      </w:r>
      <w:r>
        <w:rPr>
          <w:b/>
        </w:rPr>
        <w:t xml:space="preserve">exclusivamente no servidor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Embaralhamento provavelmente justo (provably fair) via commit-reveal:</w:t>
      </w:r>
      <w:r>
        <w:t xml:space="preserve"> antes de cada mão, o servidor publica o </w:t>
      </w:r>
      <w:r>
        <w:rPr>
          <w:b/>
        </w:rPr>
        <w:t xml:space="preserve">hash (SHA-256) da seed</w:t>
      </w:r>
      <w:r>
        <w:t xml:space="preserve"> de embaralhamento; após a mão, </w:t>
      </w:r>
      <w:r>
        <w:rPr>
          <w:b/>
        </w:rPr>
        <w:t xml:space="preserve">revela a seed</w:t>
      </w:r>
      <w:r>
        <w:t xml:space="preserve">, permitindo a verificação independente de que o embaralhamento não foi alterado.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Condutas proibidas:</w:t>
      </w:r>
      <w:r>
        <w:t xml:space="preserve"> uso de </w:t>
      </w:r>
      <w:r>
        <w:rPr>
          <w:b/>
        </w:rPr>
        <w:t xml:space="preserve">bots</w:t>
      </w:r>
      <w:r>
        <w:t xml:space="preserve">, </w:t>
      </w:r>
      <w:r>
        <w:rPr>
          <w:b/>
        </w:rPr>
        <w:t xml:space="preserve">conluio</w:t>
      </w:r>
      <w:r>
        <w:t xml:space="preserve"> entre jogadores, </w:t>
      </w:r>
      <w:r>
        <w:rPr>
          <w:b/>
        </w:rPr>
        <w:t xml:space="preserve">multicontas</w:t>
      </w:r>
      <w:r>
        <w:t xml:space="preserve"> e quaisquer fraudes. A plataforma pode </w:t>
      </w:r>
      <w:r>
        <w:rPr>
          <w:b/>
        </w:rPr>
        <w:t xml:space="preserve">bloquear contas</w:t>
      </w:r>
      <w:r>
        <w:t xml:space="preserve"> em caso de violação.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11. Tributos sobre Prêmios</w:t>
      </w:r>
    </w:p>
    <w:p>
      <w:r>
        <w:t xml:space="preserve">Os tributos eventualmente incidentes sobre Prêmios, quando devidos, são de </w:t>
      </w:r>
      <w:r>
        <w:rPr>
          <w:b/>
        </w:rPr>
        <w:t xml:space="preserve">responsabilidade exclusiva do ganhador</w:t>
      </w:r>
      <w:r>
        <w:t xml:space="preserve">, conforme a legislação aplicável. A responsabilidade por licenciamento e regulação da atividade de jogo a dinheiro no Brasil é do operador. Jogar é por conta e risco do usuário.</w:t>
      </w:r>
    </w:p>
    <w:p>
      <w:pPr>
        <w:pBdr>
          <w:bottom w:val="single" w:sz="6" w:space="1" w:color="E0E0E0"/>
        </w:pBdr>
        <w:spacing w:before="140" w:after="140"/>
      </w:pPr>
    </w:p>
    <w:p>
      <w:pPr>
        <w:pStyle w:val="Heading2"/>
      </w:pPr>
      <w:r>
        <w:t xml:space="preserve">12. Disputas, bloqueios e alterações do Regulamento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Bloqueios e suspensões:</w:t>
      </w:r>
      <w:r>
        <w:t xml:space="preserve"> a conta pode ser bloqueada ou suspensa (status BLOCKED), com </w:t>
      </w:r>
      <w:r>
        <w:rPr>
          <w:b/>
        </w:rPr>
        <w:t xml:space="preserve">motivo e prazo</w:t>
      </w:r>
      <w:r>
        <w:t xml:space="preserve"> registrados, inclusive em caso de fraude, conluio, bots, multicontas ou a pedido do próprio usuário (</w:t>
      </w:r>
      <w:r>
        <w:rPr>
          <w:b/>
        </w:rPr>
        <w:t xml:space="preserve">autoexclusão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Disputas:</w:t>
      </w:r>
      <w:r>
        <w:t xml:space="preserve"> questões sobre resultados, Créditos, depósitos ou saques devem ser encaminhadas pelos canais de atendimento: [E-MAIL DE CONTATO] e [TELEFONE/WHATSAPP DE SUPORTE]. Em matéria de dados pessoais, o Encarregado (DPO) pode ser contatado em [E-MAIL DO ENCARREGADO/DPO].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Alterações:</w:t>
      </w:r>
      <w:r>
        <w:t xml:space="preserve"> este Regulamento pode ser alterado a qualquer tempo. A versão vigente é a publicada no app, com a respectiva data de atualização. O uso continuado após alterações implica concordância.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Foro:</w:t>
      </w:r>
      <w:r>
        <w:t xml:space="preserve"> fica eleito o foro de [FORO/COMARCA - UF] para dirimir controvérsias, sem prejuízo das normas de proteção ao consumidor.</w:t>
      </w:r>
    </w:p>
    <w:p>
      <w:pPr>
        <w:pBdr>
          <w:bottom w:val="single" w:sz="6" w:space="1" w:color="E0E0E0"/>
        </w:pBdr>
        <w:spacing w:before="140" w:after="140"/>
      </w:pPr>
    </w:p>
    <w:p>
      <w:r>
        <w:t xml:space="preserve">[RAZÃO SOCIAL] — [NOME FANTASIA] — CNPJ [CNPJ] [ENDEREÇO COMPLETO] Contato: [E-MAIL DE CONTATO] | [TELEFONE/WHATSAPP DE SUPORTE] Encarregado (DPO): [E-MAIL DO ENCARREGADO/DPO]</w:t>
      </w:r>
    </w:p>
    <w:sectPr>
      <w:pgSz w:w="11906" w:h="16838"/>
      <w:pgMar w:top="1134" w:right="1021" w:bottom="1021" w:left="1021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pBdr>
        <w:bottom w:val="single" w:sz="24" w:space="4" w:color="E2231A"/>
      </w:pBdr>
      <w:spacing w:after="120"/>
    </w:pPr>
    <w:rPr>
      <w:b/>
      <w:color w:val="E2231A"/>
      <w:sz w:val="52"/>
    </w:rPr>
  </w:style>
  <w:style w:type="paragraph" w:styleId="Heading2">
    <w:name w:val="heading 2"/>
    <w:basedOn w:val="Normal"/>
    <w:next w:val="Normal"/>
    <w:pPr>
      <w:keepNext/>
      <w:pBdr>
        <w:bottom w:val="single" w:sz="6" w:space="2" w:color="DDDDDD"/>
      </w:pBdr>
      <w:spacing w:before="300" w:after="120"/>
    </w:pPr>
    <w:rPr>
      <w:b/>
      <w:color w:val="9E1009"/>
      <w:sz w:val="28"/>
    </w:rPr>
  </w:style>
  <w:style w:type="paragraph" w:styleId="Heading3">
    <w:name w:val="heading 3"/>
    <w:basedOn w:val="Normal"/>
    <w:next w:val="Normal"/>
    <w:pPr>
      <w:keepNext/>
      <w:spacing w:before="160" w:after="80"/>
    </w:pPr>
    <w:rPr>
      <w:b/>
      <w:sz w:val="24"/>
    </w:rPr>
  </w:style>
  <w:style w:type="paragraph" w:styleId="Quote">
    <w:name w:val="Quote"/>
    <w:basedOn w:val="Normal"/>
    <w:pPr>
      <w:pBdr>
        <w:left w:val="single" w:sz="24" w:space="8" w:color="E2231A"/>
      </w:pBdr>
      <w:shd w:val="clear" w:color="auto" w:fill="FBECEB"/>
      <w:ind w:left="240"/>
      <w:spacing w:before="120" w:after="120"/>
    </w:pPr>
    <w:rPr>
      <w:color w:val="9E1009"/>
    </w:rPr>
  </w:style>
  <w:style w:type="paragraph" w:styleId="ListParagraph">
    <w:name w:val="List Paragraph"/>
    <w:basedOn w:val="Normal"/>
    <w:pPr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