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C341" w14:textId="42F08F69" w:rsidR="001858A9" w:rsidRDefault="00CA58A0">
      <w:pPr>
        <w:spacing w:before="60"/>
        <w:jc w:val="center"/>
      </w:pPr>
      <w:r>
        <w:rPr>
          <w:color w:val="9E9E9E"/>
          <w:sz w:val="17"/>
          <w:szCs w:val="17"/>
        </w:rPr>
        <w:t xml:space="preserve">UNIVERSIDADE FEDERAL DO PARANÁ </w:t>
      </w:r>
      <w:r>
        <w:rPr>
          <w:color w:val="9E9E9E"/>
          <w:sz w:val="17"/>
          <w:szCs w:val="17"/>
        </w:rPr>
        <w:t>— DEPARTAMENTO DE ESTATÍSTICA</w:t>
      </w:r>
    </w:p>
    <w:p w14:paraId="44BC7DAA" w14:textId="77777777" w:rsidR="001858A9" w:rsidRDefault="00CA58A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ANÁLISE COMPARATIVA DE MÉTODOS DE AGRUPAMENTO: SUPPORT VECTOR CLUSTERING (SVC) E K-MEANS</w:t>
      </w:r>
    </w:p>
    <w:p w14:paraId="0E2DAFB6" w14:textId="21BA84A4" w:rsidR="001858A9" w:rsidRDefault="00CA58A0">
      <w:pPr>
        <w:spacing w:before="60"/>
        <w:jc w:val="center"/>
        <w:rPr>
          <w:i/>
          <w:iCs/>
          <w:color w:val="555555"/>
          <w:sz w:val="21"/>
          <w:szCs w:val="21"/>
        </w:rPr>
      </w:pPr>
      <w:r>
        <w:rPr>
          <w:i/>
          <w:iCs/>
          <w:color w:val="555555"/>
          <w:sz w:val="21"/>
          <w:szCs w:val="21"/>
        </w:rPr>
        <w:t>Relatório Técnico — Desafio 4: Aprendizado Não Supervisionado</w:t>
      </w:r>
    </w:p>
    <w:p w14:paraId="0B7F44B9" w14:textId="4435323C" w:rsidR="00CA58A0" w:rsidRDefault="00CA58A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Eduardo </w:t>
      </w:r>
      <w:proofErr w:type="spellStart"/>
      <w:r>
        <w:rPr>
          <w:i/>
          <w:iCs/>
          <w:color w:val="555555"/>
          <w:sz w:val="21"/>
          <w:szCs w:val="21"/>
        </w:rPr>
        <w:t>Demetrio</w:t>
      </w:r>
      <w:proofErr w:type="spellEnd"/>
    </w:p>
    <w:p w14:paraId="09BAA180" w14:textId="77777777" w:rsidR="001858A9" w:rsidRDefault="00CA58A0">
      <w:pPr>
        <w:spacing w:before="60"/>
        <w:jc w:val="center"/>
      </w:pPr>
      <w:r>
        <w:rPr>
          <w:color w:val="9E9E9E"/>
          <w:sz w:val="18"/>
          <w:szCs w:val="18"/>
        </w:rPr>
        <w:t>15 de junho de 2026</w:t>
      </w:r>
    </w:p>
    <w:p w14:paraId="57D270CF" w14:textId="77777777" w:rsidR="001858A9" w:rsidRDefault="001858A9">
      <w:pPr>
        <w:pBdr>
          <w:bottom w:val="single" w:sz="6" w:space="0" w:color="CCCCCC"/>
        </w:pBdr>
        <w:spacing w:before="200" w:after="200"/>
      </w:pPr>
    </w:p>
    <w:p w14:paraId="3F3E8FB7" w14:textId="77777777" w:rsidR="001858A9" w:rsidRDefault="00CA58A0">
      <w:pPr>
        <w:pStyle w:val="Ttulo3"/>
      </w:pPr>
      <w:r>
        <w:t>1. Introdução</w:t>
      </w:r>
    </w:p>
    <w:p w14:paraId="6D12A89E" w14:textId="2542DA1C" w:rsidR="001858A9" w:rsidRDefault="00CA58A0">
      <w:pPr>
        <w:spacing w:before="60"/>
        <w:jc w:val="both"/>
      </w:pPr>
      <w:r>
        <w:t xml:space="preserve">O presente relatório apresenta uma análise comparativa entre o algoritmo tradicional </w:t>
      </w:r>
      <w:r>
        <w:rPr>
          <w:b/>
          <w:bCs/>
        </w:rPr>
        <w:t>K-</w:t>
      </w:r>
      <w:proofErr w:type="spellStart"/>
      <w:r>
        <w:rPr>
          <w:b/>
          <w:bCs/>
        </w:rPr>
        <w:t>means</w:t>
      </w:r>
      <w:proofErr w:type="spellEnd"/>
      <w:r>
        <w:t xml:space="preserve"> e o método de </w:t>
      </w:r>
      <w:proofErr w:type="spellStart"/>
      <w:r>
        <w:rPr>
          <w:b/>
          <w:bCs/>
        </w:rPr>
        <w:t>Support</w:t>
      </w:r>
      <w:proofErr w:type="spellEnd"/>
      <w:r>
        <w:rPr>
          <w:b/>
          <w:bCs/>
        </w:rPr>
        <w:t xml:space="preserve"> Vector </w:t>
      </w:r>
      <w:proofErr w:type="spellStart"/>
      <w:r>
        <w:rPr>
          <w:b/>
          <w:bCs/>
        </w:rPr>
        <w:t>Clustering</w:t>
      </w:r>
      <w:proofErr w:type="spellEnd"/>
      <w:r>
        <w:rPr>
          <w:b/>
          <w:bCs/>
        </w:rPr>
        <w:t xml:space="preserve"> (SVC)</w:t>
      </w:r>
      <w:r>
        <w:t>, fundamentado na teo</w:t>
      </w:r>
      <w:r>
        <w:t>ria de Máquinas de Vetores de Suporte (SVM). Enquanto o K-</w:t>
      </w:r>
      <w:proofErr w:type="spellStart"/>
      <w:r>
        <w:t>means</w:t>
      </w:r>
      <w:proofErr w:type="spellEnd"/>
      <w:r>
        <w:t xml:space="preserve"> baseia-se na minimização da variância </w:t>
      </w:r>
      <w:proofErr w:type="spellStart"/>
      <w:r>
        <w:t>intra-cluster</w:t>
      </w:r>
      <w:proofErr w:type="spellEnd"/>
      <w:r>
        <w:t xml:space="preserve"> a partir de centroides, o SVC opera através do mapeamento dos dados para um espaço de características de alta dimensão (espaço de Hilbert) p</w:t>
      </w:r>
      <w:r>
        <w:t xml:space="preserve">or meio de uma função de kernel não linear </w:t>
      </w:r>
      <w:r w:rsidR="00BB4EEF">
        <w:t>Φ</w:t>
      </w:r>
      <w:r>
        <w:t>.</w:t>
      </w:r>
    </w:p>
    <w:p w14:paraId="7FDBAE41" w14:textId="77777777" w:rsidR="001858A9" w:rsidRDefault="00CA58A0">
      <w:pPr>
        <w:spacing w:before="60"/>
        <w:jc w:val="both"/>
      </w:pPr>
      <w:r>
        <w:t xml:space="preserve">No espaço de alta dimensão, o algoritmo busca a </w:t>
      </w:r>
      <w:r>
        <w:rPr>
          <w:b/>
          <w:bCs/>
        </w:rPr>
        <w:t>Esfera Mínima Envolvente</w:t>
      </w:r>
      <w:r>
        <w:t xml:space="preserve"> (</w:t>
      </w:r>
      <w:proofErr w:type="spellStart"/>
      <w:r>
        <w:rPr>
          <w:i/>
          <w:iCs/>
        </w:rPr>
        <w:t>Minimal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Enclosing</w:t>
      </w:r>
      <w:proofErr w:type="spellEnd"/>
      <w:r>
        <w:rPr>
          <w:i/>
          <w:iCs/>
        </w:rPr>
        <w:t xml:space="preserve"> Ball</w:t>
      </w:r>
      <w:r>
        <w:t>) que contenha a maioria dos pontos mapeados. A fronteira desta esfera, quando projetada de volta ao espa</w:t>
      </w:r>
      <w:r>
        <w:t>ço original, decompõe-se em contornos que envolvem os clusters. Este método permite a identificação de agrupamentos com geometrias arbitrárias e topologias complexas, superando a limitação de esfericidade imposta pelo K-</w:t>
      </w:r>
      <w:proofErr w:type="spellStart"/>
      <w:r>
        <w:t>means</w:t>
      </w:r>
      <w:proofErr w:type="spellEnd"/>
      <w:r>
        <w:t>.</w:t>
      </w:r>
    </w:p>
    <w:p w14:paraId="29B8F35E" w14:textId="77777777" w:rsidR="001858A9" w:rsidRDefault="00CA58A0">
      <w:pPr>
        <w:pStyle w:val="Ttulo3"/>
      </w:pPr>
      <w:r>
        <w:t>2. Metodologia</w:t>
      </w:r>
    </w:p>
    <w:p w14:paraId="375D2B73" w14:textId="77777777" w:rsidR="001858A9" w:rsidRDefault="00CA58A0">
      <w:pPr>
        <w:spacing w:before="60"/>
        <w:jc w:val="both"/>
      </w:pPr>
      <w:r>
        <w:t>Para a experim</w:t>
      </w:r>
      <w:r>
        <w:t xml:space="preserve">entação, utilizou-se o </w:t>
      </w:r>
      <w:proofErr w:type="spellStart"/>
      <w:r>
        <w:t>dataset</w:t>
      </w:r>
      <w:proofErr w:type="spellEnd"/>
      <w:r>
        <w:t xml:space="preserve"> </w:t>
      </w:r>
      <w:r>
        <w:rPr>
          <w:i/>
          <w:iCs/>
        </w:rPr>
        <w:t>Iris</w:t>
      </w:r>
      <w:r>
        <w:t>, composto por 150 observações de três espécies de flores, com quatro variáveis preditoras numéricas. O fluxo metodológico compreendeu as seguintes etapas:</w:t>
      </w:r>
    </w:p>
    <w:p w14:paraId="0C58AD80" w14:textId="77777777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Pré-processamento:</w:t>
      </w:r>
      <w:r>
        <w:t xml:space="preserve"> Normalização dos dados via </w:t>
      </w:r>
      <w:r>
        <w:rPr>
          <w:i/>
          <w:iCs/>
        </w:rPr>
        <w:t xml:space="preserve">Z-score </w:t>
      </w:r>
      <w:proofErr w:type="spellStart"/>
      <w:r>
        <w:rPr>
          <w:i/>
          <w:iCs/>
        </w:rPr>
        <w:t>scaling</w:t>
      </w:r>
      <w:proofErr w:type="spellEnd"/>
      <w:r>
        <w:t xml:space="preserve"> par</w:t>
      </w:r>
      <w:r>
        <w:t>a garantir que todas as variáveis contribuíssem equitativamente para o cálculo das distâncias e do kernel.</w:t>
      </w:r>
    </w:p>
    <w:p w14:paraId="4104CF5B" w14:textId="5A5CA211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Implementação do K-</w:t>
      </w:r>
      <w:proofErr w:type="spellStart"/>
      <w:r>
        <w:rPr>
          <w:b/>
          <w:bCs/>
        </w:rPr>
        <w:t>means</w:t>
      </w:r>
      <w:proofErr w:type="spellEnd"/>
      <w:r>
        <w:rPr>
          <w:b/>
          <w:bCs/>
        </w:rPr>
        <w:t>:</w:t>
      </w:r>
      <w:r>
        <w:t xml:space="preserve"> Execução do algoritmo com </w:t>
      </w:r>
      <w:r w:rsidR="00BB4EEF" w:rsidRPr="00BB4EEF">
        <w:t>k=3</w:t>
      </w:r>
      <w:r>
        <w:t>, servindo como baseline de comparação.</w:t>
      </w:r>
    </w:p>
    <w:p w14:paraId="7093B750" w14:textId="77777777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Implementação do SVC:</w:t>
      </w:r>
      <w:r>
        <w:t xml:space="preserve"> Utilização do pacote exper</w:t>
      </w:r>
      <w:r>
        <w:t xml:space="preserve">imental </w:t>
      </w:r>
      <w:proofErr w:type="spellStart"/>
      <w:r>
        <w:rPr>
          <w:b/>
          <w:bCs/>
        </w:rPr>
        <w:t>SVclust</w:t>
      </w:r>
      <w:proofErr w:type="spellEnd"/>
      <w:r>
        <w:rPr>
          <w:b/>
          <w:bCs/>
        </w:rPr>
        <w:t xml:space="preserve"> (2026)</w:t>
      </w:r>
      <w:r>
        <w:t xml:space="preserve">. A função principal </w:t>
      </w:r>
      <w:proofErr w:type="gramStart"/>
      <w:r>
        <w:t>SVC(</w:t>
      </w:r>
      <w:proofErr w:type="gramEnd"/>
      <w:r>
        <w:t xml:space="preserve">) foi configurada com kernel gaussiano, parâmetro de sensibilidade </w:t>
      </w:r>
      <w:proofErr w:type="spellStart"/>
      <w:r>
        <w:t>gamma</w:t>
      </w:r>
      <w:proofErr w:type="spellEnd"/>
      <w:r>
        <w:t xml:space="preserve"> = 0.5 e precisão de varredura </w:t>
      </w:r>
      <w:proofErr w:type="spellStart"/>
      <w:r>
        <w:t>scan_n</w:t>
      </w:r>
      <w:proofErr w:type="spellEnd"/>
      <w:r>
        <w:t xml:space="preserve"> = 10.</w:t>
      </w:r>
    </w:p>
    <w:p w14:paraId="6DEC6F6C" w14:textId="77777777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Avaliação:</w:t>
      </w:r>
      <w:r>
        <w:t xml:space="preserve"> Comparação das matrizes de confusão (espécies reais vs. clusters atribuídos) e aná</w:t>
      </w:r>
      <w:r>
        <w:t>lise visual da dispersão das fronteiras de decisão.</w:t>
      </w:r>
    </w:p>
    <w:p w14:paraId="227B69B6" w14:textId="77777777" w:rsidR="001858A9" w:rsidRDefault="00CA58A0">
      <w:pPr>
        <w:pStyle w:val="Ttulo3"/>
      </w:pPr>
      <w:r>
        <w:t>3. Resultados e Discussão</w:t>
      </w:r>
    </w:p>
    <w:p w14:paraId="73933F1C" w14:textId="77777777" w:rsidR="001858A9" w:rsidRDefault="00CA58A0">
      <w:pPr>
        <w:spacing w:before="60"/>
        <w:jc w:val="both"/>
      </w:pPr>
      <w:r>
        <w:t xml:space="preserve">A análise estatística revelou comportamentos distintos entre os algoritmos, especialmente na zona de sobreposição entre as espécies </w:t>
      </w:r>
      <w:r>
        <w:rPr>
          <w:i/>
          <w:iCs/>
        </w:rPr>
        <w:t>Versicolor</w:t>
      </w:r>
      <w:r>
        <w:t xml:space="preserve"> e </w:t>
      </w:r>
      <w:proofErr w:type="spellStart"/>
      <w:r>
        <w:rPr>
          <w:i/>
          <w:iCs/>
        </w:rPr>
        <w:t>Virginica</w:t>
      </w:r>
      <w:proofErr w:type="spellEnd"/>
      <w:r>
        <w:t>. Os resultados de agrup</w:t>
      </w:r>
      <w:r>
        <w:t>amento são sintetizados nas tabelas abaixo: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1858A9" w14:paraId="486F6E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E906C3" w14:textId="77777777" w:rsidR="001858A9" w:rsidRDefault="00CA58A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Espécie Real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B54EC3" w14:textId="77777777" w:rsidR="001858A9" w:rsidRDefault="00CA58A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K-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means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(Cluster)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9B8CA4" w14:textId="77777777" w:rsidR="001858A9" w:rsidRDefault="00CA58A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SVC (Cluster)</w:t>
            </w:r>
          </w:p>
        </w:tc>
      </w:tr>
      <w:tr w:rsidR="001858A9" w14:paraId="6A1000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FD9EF4" w14:textId="77777777" w:rsidR="001858A9" w:rsidRDefault="00CA58A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Setosa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C7E217" w14:textId="77777777" w:rsidR="001858A9" w:rsidRDefault="00CA58A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39521E" w14:textId="77777777" w:rsidR="001858A9" w:rsidRDefault="00CA58A0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</w:tr>
      <w:tr w:rsidR="001858A9" w14:paraId="4E7A55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EFD970" w14:textId="77777777" w:rsidR="001858A9" w:rsidRDefault="00CA58A0">
            <w:pPr>
              <w:spacing w:before="60" w:after="60"/>
            </w:pPr>
            <w:r>
              <w:rPr>
                <w:sz w:val="20"/>
                <w:szCs w:val="20"/>
              </w:rPr>
              <w:t>Versicolor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75543C" w14:textId="621416F8" w:rsidR="001858A9" w:rsidRDefault="00BB4EEF">
            <w:pPr>
              <w:spacing w:before="60" w:after="60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2D64A2" w14:textId="1C946103" w:rsidR="001858A9" w:rsidRDefault="00BB4EEF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</w:tr>
      <w:tr w:rsidR="001858A9" w14:paraId="2B4121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29F208" w14:textId="77777777" w:rsidR="001858A9" w:rsidRDefault="00CA58A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Virginica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36F28C" w14:textId="77777777" w:rsidR="001858A9" w:rsidRDefault="00CA58A0">
            <w:pPr>
              <w:spacing w:before="60" w:after="60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03D64E" w14:textId="223D1041" w:rsidR="001858A9" w:rsidRDefault="00BB4EEF">
            <w:pPr>
              <w:spacing w:before="60" w:after="60"/>
            </w:pPr>
            <w:r>
              <w:rPr>
                <w:sz w:val="20"/>
                <w:szCs w:val="20"/>
              </w:rPr>
              <w:t>50</w:t>
            </w:r>
          </w:p>
        </w:tc>
      </w:tr>
    </w:tbl>
    <w:p w14:paraId="7CC0B9F9" w14:textId="77777777" w:rsidR="001858A9" w:rsidRDefault="00CA58A0">
      <w:r>
        <w:t>3.1. Análise do K-</w:t>
      </w:r>
      <w:proofErr w:type="spellStart"/>
      <w:r>
        <w:t>means</w:t>
      </w:r>
      <w:proofErr w:type="spellEnd"/>
    </w:p>
    <w:p w14:paraId="08AB7CF9" w14:textId="77777777" w:rsidR="001858A9" w:rsidRDefault="00CA58A0">
      <w:pPr>
        <w:spacing w:before="60"/>
        <w:jc w:val="both"/>
      </w:pPr>
      <w:r>
        <w:lastRenderedPageBreak/>
        <w:t>O K-</w:t>
      </w:r>
      <w:proofErr w:type="spellStart"/>
      <w:r>
        <w:t>means</w:t>
      </w:r>
      <w:proofErr w:type="spellEnd"/>
      <w:r>
        <w:t xml:space="preserve"> apresentou excelente desempenho na separação da espécie </w:t>
      </w:r>
      <w:proofErr w:type="spellStart"/>
      <w:r>
        <w:rPr>
          <w:i/>
          <w:iCs/>
        </w:rPr>
        <w:t>Setosa</w:t>
      </w:r>
      <w:proofErr w:type="spellEnd"/>
      <w:r>
        <w:t xml:space="preserve">, que é linearmente separável. Contudo, devido à sua natureza baseada em centroides e fronteiras lineares (Diagrama de </w:t>
      </w:r>
      <w:proofErr w:type="spellStart"/>
      <w:r>
        <w:t>Voronoi</w:t>
      </w:r>
      <w:proofErr w:type="spellEnd"/>
      <w:r>
        <w:t xml:space="preserve">), o algoritmo classificou erroneamente 14 observações de </w:t>
      </w:r>
      <w:proofErr w:type="spellStart"/>
      <w:r>
        <w:rPr>
          <w:i/>
          <w:iCs/>
        </w:rPr>
        <w:t>Virginica</w:t>
      </w:r>
      <w:proofErr w:type="spellEnd"/>
      <w:r>
        <w:t xml:space="preserve"> como pertencentes ao cluster da </w:t>
      </w:r>
      <w:r>
        <w:rPr>
          <w:i/>
          <w:iCs/>
        </w:rPr>
        <w:t>Versicolor</w:t>
      </w:r>
      <w:r>
        <w:t>, evidenciando sua dificuldade em lidar com densidades sobrepostas.</w:t>
      </w:r>
    </w:p>
    <w:p w14:paraId="35E60525" w14:textId="77777777" w:rsidR="001858A9" w:rsidRDefault="00CA58A0">
      <w:r>
        <w:t>3.2. Análise do SVC</w:t>
      </w:r>
    </w:p>
    <w:p w14:paraId="1B2E2613" w14:textId="351D89BC" w:rsidR="001858A9" w:rsidRDefault="00BB4EEF" w:rsidP="00BB4EEF">
      <w:pPr>
        <w:pStyle w:val="Ttulo3"/>
      </w:pPr>
      <w:r w:rsidRPr="00BB4EEF">
        <w:rPr>
          <w:b w:val="0"/>
          <w:bCs w:val="0"/>
          <w:sz w:val="22"/>
          <w:szCs w:val="22"/>
        </w:rPr>
        <w:t>Diferente do K-</w:t>
      </w:r>
      <w:proofErr w:type="spellStart"/>
      <w:r w:rsidRPr="00BB4EEF">
        <w:rPr>
          <w:b w:val="0"/>
          <w:bCs w:val="0"/>
          <w:sz w:val="22"/>
          <w:szCs w:val="22"/>
        </w:rPr>
        <w:t>means</w:t>
      </w:r>
      <w:proofErr w:type="spellEnd"/>
      <w:r w:rsidRPr="00BB4EEF">
        <w:rPr>
          <w:b w:val="0"/>
          <w:bCs w:val="0"/>
          <w:sz w:val="22"/>
          <w:szCs w:val="22"/>
        </w:rPr>
        <w:t>, o algoritmo SVC, com os parâmetros iniciais (</w:t>
      </w:r>
      <w:proofErr w:type="spellStart"/>
      <w:r w:rsidRPr="00BB4EEF">
        <w:rPr>
          <w:b w:val="0"/>
          <w:bCs w:val="0"/>
          <w:sz w:val="22"/>
          <w:szCs w:val="22"/>
        </w:rPr>
        <w:t>gamma</w:t>
      </w:r>
      <w:proofErr w:type="spellEnd"/>
      <w:r w:rsidRPr="00BB4EEF">
        <w:rPr>
          <w:b w:val="0"/>
          <w:bCs w:val="0"/>
          <w:sz w:val="22"/>
          <w:szCs w:val="22"/>
        </w:rPr>
        <w:t>=0.5), não foi capaz de identificar a separação entre as classes, agrupando todas as 150 instâncias em um único cluster. Isso indica que a esfera mínima envolvente no espaço de alta dimensão foi ampla o suficiente para conter todo o conjunto de dados, sugerindo a necessidade de um ajuste fino (fine-</w:t>
      </w:r>
      <w:proofErr w:type="spellStart"/>
      <w:r w:rsidRPr="00BB4EEF">
        <w:rPr>
          <w:b w:val="0"/>
          <w:bCs w:val="0"/>
          <w:sz w:val="22"/>
          <w:szCs w:val="22"/>
        </w:rPr>
        <w:t>tuning</w:t>
      </w:r>
      <w:proofErr w:type="spellEnd"/>
      <w:r w:rsidRPr="00BB4EEF">
        <w:rPr>
          <w:b w:val="0"/>
          <w:bCs w:val="0"/>
          <w:sz w:val="22"/>
          <w:szCs w:val="22"/>
        </w:rPr>
        <w:t>) no parâmetro de escala do kernel</w:t>
      </w:r>
    </w:p>
    <w:p w14:paraId="547754AF" w14:textId="77777777" w:rsidR="001858A9" w:rsidRDefault="00CA58A0">
      <w:pPr>
        <w:pStyle w:val="Ttulo3"/>
      </w:pPr>
      <w:r>
        <w:t>5</w:t>
      </w:r>
      <w:r>
        <w:t xml:space="preserve">. Recomendações para o Pacote </w:t>
      </w:r>
      <w:proofErr w:type="spellStart"/>
      <w:r>
        <w:t>SVclust</w:t>
      </w:r>
      <w:proofErr w:type="spellEnd"/>
    </w:p>
    <w:p w14:paraId="00F896BE" w14:textId="77777777" w:rsidR="001858A9" w:rsidRDefault="00CA58A0">
      <w:pPr>
        <w:spacing w:before="60"/>
        <w:jc w:val="both"/>
      </w:pPr>
      <w:r>
        <w:t>Com base na experiência de uso da versão experimental de 2026, sugerem-se as seguin</w:t>
      </w:r>
      <w:r>
        <w:t>tes melhorias para futuras iterações do pacote:</w:t>
      </w:r>
    </w:p>
    <w:p w14:paraId="5BBBB058" w14:textId="77777777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Padronização de Nomenclatura:</w:t>
      </w:r>
      <w:r>
        <w:t xml:space="preserve"> Implementar o reconhecimento do termo "</w:t>
      </w:r>
      <w:proofErr w:type="spellStart"/>
      <w:r>
        <w:t>rbf</w:t>
      </w:r>
      <w:proofErr w:type="spellEnd"/>
      <w:r>
        <w:t>" (</w:t>
      </w:r>
      <w:r>
        <w:rPr>
          <w:i/>
          <w:iCs/>
        </w:rPr>
        <w:t xml:space="preserve">Radial </w:t>
      </w:r>
      <w:proofErr w:type="spellStart"/>
      <w:r>
        <w:rPr>
          <w:i/>
          <w:iCs/>
        </w:rPr>
        <w:t>Basis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</w:t>
      </w:r>
      <w:proofErr w:type="spellEnd"/>
      <w:r>
        <w:t>) como sinônimo de "</w:t>
      </w:r>
      <w:proofErr w:type="spellStart"/>
      <w:r>
        <w:t>gaussian</w:t>
      </w:r>
      <w:proofErr w:type="spellEnd"/>
      <w:r>
        <w:t xml:space="preserve">" no argumento kernel, alinhando o pacote aos padrões internacionais de bibliotecas </w:t>
      </w:r>
      <w:r>
        <w:t xml:space="preserve">como </w:t>
      </w:r>
      <w:r>
        <w:rPr>
          <w:i/>
          <w:iCs/>
        </w:rPr>
        <w:t>e1071</w:t>
      </w:r>
      <w:r>
        <w:t xml:space="preserve"> e </w:t>
      </w:r>
      <w:proofErr w:type="spellStart"/>
      <w:r>
        <w:rPr>
          <w:i/>
          <w:iCs/>
        </w:rPr>
        <w:t>scikit-learn</w:t>
      </w:r>
      <w:proofErr w:type="spellEnd"/>
      <w:r>
        <w:t>.</w:t>
      </w:r>
    </w:p>
    <w:p w14:paraId="4A68F816" w14:textId="77777777" w:rsidR="001858A9" w:rsidRDefault="00CA58A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Tratamento de Exceções:</w:t>
      </w:r>
      <w:r>
        <w:t xml:space="preserve"> Aprimorar as mensagens de erro para argumentos não utilizados. Atualmente, o sistema retorna um erro genérico de "argumento não utilizado", quando poderia sugerir os parâmetros válidos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gamma</w:t>
      </w:r>
      <w:proofErr w:type="spellEnd"/>
      <w:r>
        <w:t xml:space="preserve"> em vez de sigma).</w:t>
      </w:r>
    </w:p>
    <w:p w14:paraId="4883CC21" w14:textId="68100294" w:rsidR="001858A9" w:rsidRDefault="00CA58A0" w:rsidP="00BB4EEF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Documentação de Parâmetros:</w:t>
      </w:r>
      <w:r>
        <w:t xml:space="preserve"> Incluir uma f</w:t>
      </w:r>
      <w:r>
        <w:t xml:space="preserve">unção de auxílio que detalhe o impacto do parâmetro </w:t>
      </w:r>
      <w:proofErr w:type="spellStart"/>
      <w:r>
        <w:t>scan_n</w:t>
      </w:r>
      <w:proofErr w:type="spellEnd"/>
      <w:r>
        <w:t xml:space="preserve"> na carga computacional, visando orientar o usuário em </w:t>
      </w:r>
      <w:proofErr w:type="spellStart"/>
      <w:r>
        <w:t>datasets</w:t>
      </w:r>
      <w:proofErr w:type="spellEnd"/>
      <w:r>
        <w:t xml:space="preserve"> de larga escala.</w:t>
      </w:r>
    </w:p>
    <w:p w14:paraId="06131F3C" w14:textId="77777777" w:rsidR="001858A9" w:rsidRDefault="001858A9">
      <w:pPr>
        <w:jc w:val="center"/>
      </w:pPr>
    </w:p>
    <w:p w14:paraId="2DD76D97" w14:textId="4AC1A056" w:rsidR="001858A9" w:rsidRDefault="001858A9">
      <w:pPr>
        <w:spacing w:before="60"/>
      </w:pPr>
    </w:p>
    <w:sectPr w:rsidR="001858A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81E1E"/>
    <w:multiLevelType w:val="hybridMultilevel"/>
    <w:tmpl w:val="3E268B2A"/>
    <w:lvl w:ilvl="0" w:tplc="37E6D970">
      <w:start w:val="1"/>
      <w:numFmt w:val="decimal"/>
      <w:lvlText w:val="%1."/>
      <w:lvlJc w:val="left"/>
      <w:pPr>
        <w:ind w:left="720" w:hanging="360"/>
      </w:pPr>
    </w:lvl>
    <w:lvl w:ilvl="1" w:tplc="5380B1F8">
      <w:numFmt w:val="decimal"/>
      <w:lvlText w:val=""/>
      <w:lvlJc w:val="left"/>
    </w:lvl>
    <w:lvl w:ilvl="2" w:tplc="F296F5CA">
      <w:numFmt w:val="decimal"/>
      <w:lvlText w:val=""/>
      <w:lvlJc w:val="left"/>
    </w:lvl>
    <w:lvl w:ilvl="3" w:tplc="E7924804">
      <w:numFmt w:val="decimal"/>
      <w:lvlText w:val=""/>
      <w:lvlJc w:val="left"/>
    </w:lvl>
    <w:lvl w:ilvl="4" w:tplc="238C13CC">
      <w:numFmt w:val="decimal"/>
      <w:lvlText w:val=""/>
      <w:lvlJc w:val="left"/>
    </w:lvl>
    <w:lvl w:ilvl="5" w:tplc="C6006A54">
      <w:numFmt w:val="decimal"/>
      <w:lvlText w:val=""/>
      <w:lvlJc w:val="left"/>
    </w:lvl>
    <w:lvl w:ilvl="6" w:tplc="8C58ABBA">
      <w:numFmt w:val="decimal"/>
      <w:lvlText w:val=""/>
      <w:lvlJc w:val="left"/>
    </w:lvl>
    <w:lvl w:ilvl="7" w:tplc="9FD88E84">
      <w:numFmt w:val="decimal"/>
      <w:lvlText w:val=""/>
      <w:lvlJc w:val="left"/>
    </w:lvl>
    <w:lvl w:ilvl="8" w:tplc="EE0A8E94">
      <w:numFmt w:val="decimal"/>
      <w:lvlText w:val=""/>
      <w:lvlJc w:val="left"/>
    </w:lvl>
  </w:abstractNum>
  <w:abstractNum w:abstractNumId="1" w15:restartNumberingAfterBreak="0">
    <w:nsid w:val="46560351"/>
    <w:multiLevelType w:val="hybridMultilevel"/>
    <w:tmpl w:val="B75E22B4"/>
    <w:lvl w:ilvl="0" w:tplc="D24AF230">
      <w:start w:val="1"/>
      <w:numFmt w:val="bullet"/>
      <w:lvlText w:val="●"/>
      <w:lvlJc w:val="left"/>
      <w:pPr>
        <w:ind w:left="720" w:hanging="360"/>
      </w:pPr>
    </w:lvl>
    <w:lvl w:ilvl="1" w:tplc="A6D49010">
      <w:start w:val="1"/>
      <w:numFmt w:val="bullet"/>
      <w:lvlText w:val="○"/>
      <w:lvlJc w:val="left"/>
      <w:pPr>
        <w:ind w:left="1440" w:hanging="360"/>
      </w:pPr>
    </w:lvl>
    <w:lvl w:ilvl="2" w:tplc="5B44DCF0">
      <w:start w:val="1"/>
      <w:numFmt w:val="bullet"/>
      <w:lvlText w:val="■"/>
      <w:lvlJc w:val="left"/>
      <w:pPr>
        <w:ind w:left="2160" w:hanging="360"/>
      </w:pPr>
    </w:lvl>
    <w:lvl w:ilvl="3" w:tplc="7D84C67C">
      <w:start w:val="1"/>
      <w:numFmt w:val="bullet"/>
      <w:lvlText w:val="●"/>
      <w:lvlJc w:val="left"/>
      <w:pPr>
        <w:ind w:left="2880" w:hanging="360"/>
      </w:pPr>
    </w:lvl>
    <w:lvl w:ilvl="4" w:tplc="097C2514">
      <w:start w:val="1"/>
      <w:numFmt w:val="bullet"/>
      <w:lvlText w:val="○"/>
      <w:lvlJc w:val="left"/>
      <w:pPr>
        <w:ind w:left="3600" w:hanging="360"/>
      </w:pPr>
    </w:lvl>
    <w:lvl w:ilvl="5" w:tplc="E81E6BA4">
      <w:start w:val="1"/>
      <w:numFmt w:val="bullet"/>
      <w:lvlText w:val="■"/>
      <w:lvlJc w:val="left"/>
      <w:pPr>
        <w:ind w:left="4320" w:hanging="360"/>
      </w:pPr>
    </w:lvl>
    <w:lvl w:ilvl="6" w:tplc="F71A3A88">
      <w:start w:val="1"/>
      <w:numFmt w:val="bullet"/>
      <w:lvlText w:val="●"/>
      <w:lvlJc w:val="left"/>
      <w:pPr>
        <w:ind w:left="5040" w:hanging="360"/>
      </w:pPr>
    </w:lvl>
    <w:lvl w:ilvl="7" w:tplc="C242D8A0">
      <w:start w:val="1"/>
      <w:numFmt w:val="bullet"/>
      <w:lvlText w:val="●"/>
      <w:lvlJc w:val="left"/>
      <w:pPr>
        <w:ind w:left="5760" w:hanging="360"/>
      </w:pPr>
    </w:lvl>
    <w:lvl w:ilvl="8" w:tplc="FDF669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A9"/>
    <w:rsid w:val="001858A9"/>
    <w:rsid w:val="00BB4EEF"/>
    <w:rsid w:val="00CA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C6AD"/>
  <w15:docId w15:val="{D656A2B4-1124-4D1F-A868-FAA5E8CE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624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Vitor Marques Moro</cp:lastModifiedBy>
  <cp:revision>2</cp:revision>
  <dcterms:created xsi:type="dcterms:W3CDTF">2026-06-15T14:43:00Z</dcterms:created>
  <dcterms:modified xsi:type="dcterms:W3CDTF">2026-06-15T14:43:00Z</dcterms:modified>
</cp:coreProperties>
</file>