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Projeto de Extensão — KGE System</w:t>
      </w:r>
    </w:p>
    <w:p>
      <w:pPr>
        <w:jc w:val="center"/>
      </w:pPr>
      <w:r>
        <w:rPr>
          <w:b/>
          <w:sz w:val="24"/>
        </w:rPr>
        <w:t>Engenharia de Software 1</w:t>
      </w:r>
    </w:p>
    <w:p>
      <w:pPr>
        <w:pStyle w:val="Heading1"/>
      </w:pPr>
      <w:r>
        <w:t>1. VISÃO GERAL</w:t>
      </w:r>
    </w:p>
    <w:p>
      <w:pPr>
        <w:pStyle w:val="Heading2"/>
      </w:pPr>
      <w:r>
        <w:t>1.1 Contexto e problema</w:t>
      </w:r>
    </w:p>
    <w:p>
      <w:r>
        <w:t>As unidades públicas de saúde frequentemente enfrentam dificuldades relacionadas ao gerenciamento de filas de atendimento, principalmente em horários de maior demanda. Em muitos casos, pacientes aguardam longos períodos sem uma organização adequada baseada na gravidade clínica, o que pode comprometer a qualidade do atendimento e aumentar riscos para casos urgentes. Além disso, a ausência de transparência no processo gera insegurança tanto para pacientes quanto para profissionais de saúde.</w:t>
      </w:r>
    </w:p>
    <w:p>
      <w:r>
        <w:t>Diante desse cenário, o projeto propõe o desenvolvimento do KGE System, um sistema de apoio ao atendimento comunitário em unidades públicas de saúde. A solução busca auxiliar profissionais na organização da fila de atendimento, priorizando pacientes conforme critérios clínicos e reduzindo o tempo de espera em situações críticas.</w:t>
      </w:r>
    </w:p>
    <w:p>
      <w:pPr>
        <w:pStyle w:val="Heading2"/>
      </w:pPr>
      <w:r>
        <w:t>1.2 Objetivo do sistema</w:t>
      </w:r>
    </w:p>
    <w:p>
      <w:r>
        <w:t>O objetivo do KGE System é auxiliar unidades públicas de saúde no gerenciamento da fila de atendimento de pacientes, organizando os atendimentos conforme níveis de prioridade clínica definidos durante a triagem. O sistema pretende melhorar a eficiência do processo de atendimento, reduzir o tempo de espera para casos graves e fornecer maior transparência sobre a fila e o tempo estimado de atendimento.</w:t>
      </w:r>
    </w:p>
    <w:p>
      <w:r>
        <w:t>Além disso, o sistema busca apoiar profissionais de saúde na tomada de decisão, permitindo uma gestão mais organizada e dinâmica do fluxo de pacientes.</w:t>
      </w:r>
    </w:p>
    <w:p>
      <w:pPr>
        <w:pStyle w:val="Heading2"/>
      </w:pPr>
      <w:r>
        <w:t>1.3 Público-alvo e stakeholders</w:t>
      </w:r>
    </w:p>
    <w:p>
      <w:pPr>
        <w:pStyle w:val="ListBullet"/>
      </w:pPr>
      <w:r>
        <w:t>Público-alvo:</w:t>
      </w:r>
    </w:p>
    <w:p>
      <w:pPr>
        <w:pStyle w:val="ListBullet2"/>
      </w:pPr>
      <w:r>
        <w:t>Pacientes de unidades públicas de saúde</w:t>
      </w:r>
    </w:p>
    <w:p>
      <w:pPr>
        <w:pStyle w:val="ListBullet2"/>
      </w:pPr>
      <w:r>
        <w:t>Profissionais de enfermagem</w:t>
      </w:r>
    </w:p>
    <w:p>
      <w:pPr>
        <w:pStyle w:val="ListBullet2"/>
      </w:pPr>
      <w:r>
        <w:t>Médicos</w:t>
      </w:r>
    </w:p>
    <w:p>
      <w:pPr>
        <w:pStyle w:val="ListBullet2"/>
      </w:pPr>
      <w:r>
        <w:t>Recepcionistas</w:t>
      </w:r>
    </w:p>
    <w:p>
      <w:pPr>
        <w:pStyle w:val="ListBullet2"/>
      </w:pPr>
      <w:r>
        <w:t>Gestores da unidade</w:t>
      </w:r>
    </w:p>
    <w:p>
      <w:pPr>
        <w:pStyle w:val="ListBullet"/>
      </w:pPr>
      <w:r>
        <w:t>Stakeholders:</w:t>
      </w:r>
    </w:p>
    <w:p>
      <w:pPr>
        <w:pStyle w:val="ListBullet2"/>
      </w:pPr>
      <w:r>
        <w:t>Comunidade atendida pela unidade de saúde</w:t>
      </w:r>
    </w:p>
    <w:p>
      <w:pPr>
        <w:pStyle w:val="ListBullet2"/>
      </w:pPr>
      <w:r>
        <w:t>Secretaria municipal de saúde</w:t>
      </w:r>
    </w:p>
    <w:p>
      <w:pPr>
        <w:pStyle w:val="ListBullet2"/>
      </w:pPr>
      <w:r>
        <w:t>Profissionais da área da saúde</w:t>
      </w:r>
    </w:p>
    <w:p>
      <w:pPr>
        <w:pStyle w:val="ListBullet2"/>
      </w:pPr>
      <w:r>
        <w:t>Universidade e equipe do projeto de extensão</w:t>
      </w:r>
    </w:p>
    <w:p>
      <w:pPr>
        <w:pStyle w:val="Heading2"/>
      </w:pPr>
      <w:r>
        <w:t>1.4 Escopo: inclui / não inclui</w:t>
      </w:r>
    </w:p>
    <w:tbl>
      <w:tblPr>
        <w:tblStyle w:val="TableGrid"/>
        <w:tblW w:type="auto" w:w="0"/>
        <w:tblLook w:firstColumn="1" w:firstRow="1" w:lastColumn="0" w:lastRow="0" w:noHBand="0" w:noVBand="1" w:val="04A0"/>
      </w:tblPr>
      <w:tblGrid>
        <w:gridCol w:w="4320"/>
        <w:gridCol w:w="4320"/>
      </w:tblGrid>
      <w:tr>
        <w:tc>
          <w:tcPr>
            <w:tcW w:type="dxa" w:w="4320"/>
          </w:tcPr>
          <w:p>
            <w:r>
              <w:t>Inclui</w:t>
            </w:r>
          </w:p>
        </w:tc>
        <w:tc>
          <w:tcPr>
            <w:tcW w:type="dxa" w:w="4320"/>
          </w:tcPr>
          <w:p>
            <w:r>
              <w:t>Não inclui</w:t>
            </w:r>
          </w:p>
        </w:tc>
      </w:tr>
      <w:tr>
        <w:tc>
          <w:tcPr>
            <w:tcW w:type="dxa" w:w="4320"/>
          </w:tcPr>
          <w:p>
            <w:r>
              <w:t>Cadastro de pacientes</w:t>
            </w:r>
          </w:p>
        </w:tc>
        <w:tc>
          <w:tcPr>
            <w:tcW w:type="dxa" w:w="4320"/>
          </w:tcPr>
          <w:p>
            <w:r>
              <w:t>Prontuário eletrônico completo</w:t>
            </w:r>
          </w:p>
        </w:tc>
      </w:tr>
      <w:tr>
        <w:tc>
          <w:tcPr>
            <w:tcW w:type="dxa" w:w="4320"/>
          </w:tcPr>
          <w:p>
            <w:r>
              <w:t>Registro de triagem</w:t>
            </w:r>
          </w:p>
        </w:tc>
        <w:tc>
          <w:tcPr>
            <w:tcW w:type="dxa" w:w="4320"/>
          </w:tcPr>
          <w:p>
            <w:r>
              <w:t>Prescrição médica</w:t>
            </w:r>
          </w:p>
        </w:tc>
      </w:tr>
      <w:tr>
        <w:tc>
          <w:tcPr>
            <w:tcW w:type="dxa" w:w="4320"/>
          </w:tcPr>
          <w:p>
            <w:r>
              <w:t>Classificação de prioridade</w:t>
            </w:r>
          </w:p>
        </w:tc>
        <w:tc>
          <w:tcPr>
            <w:tcW w:type="dxa" w:w="4320"/>
          </w:tcPr>
          <w:p>
            <w:r>
              <w:t>Controle financeiro</w:t>
            </w:r>
          </w:p>
        </w:tc>
      </w:tr>
      <w:tr>
        <w:tc>
          <w:tcPr>
            <w:tcW w:type="dxa" w:w="4320"/>
          </w:tcPr>
          <w:p>
            <w:r>
              <w:t>Organização dinâmica da fila</w:t>
            </w:r>
          </w:p>
        </w:tc>
        <w:tc>
          <w:tcPr>
            <w:tcW w:type="dxa" w:w="4320"/>
          </w:tcPr>
          <w:p>
            <w:r>
              <w:t>Integração com sistemas externos</w:t>
            </w:r>
          </w:p>
        </w:tc>
      </w:tr>
      <w:tr>
        <w:tc>
          <w:tcPr>
            <w:tcW w:type="dxa" w:w="4320"/>
          </w:tcPr>
          <w:p>
            <w:r>
              <w:t>Consulta do tempo estimado</w:t>
            </w:r>
          </w:p>
        </w:tc>
        <w:tc>
          <w:tcPr>
            <w:tcW w:type="dxa" w:w="4320"/>
          </w:tcPr>
          <w:p>
            <w:r>
              <w:t>Agendamento de consultas futuras</w:t>
            </w:r>
          </w:p>
        </w:tc>
      </w:tr>
      <w:tr>
        <w:tc>
          <w:tcPr>
            <w:tcW w:type="dxa" w:w="4320"/>
          </w:tcPr>
          <w:p>
            <w:r>
              <w:t>Gestão de regras de prioridade</w:t>
            </w:r>
          </w:p>
        </w:tc>
        <w:tc>
          <w:tcPr>
            <w:tcW w:type="dxa" w:w="4320"/>
          </w:tcPr>
          <w:p>
            <w:r>
              <w:t>Controle de estoque hospitalar</w:t>
            </w:r>
          </w:p>
        </w:tc>
      </w:tr>
    </w:tbl>
    <w:p>
      <w:r>
        <w:br w:type="page"/>
      </w:r>
    </w:p>
    <w:p>
      <w:pPr>
        <w:pStyle w:val="Heading1"/>
      </w:pPr>
      <w:r>
        <w:t>0.4 Log de versões (obrigatório na V2)</w:t>
      </w:r>
    </w:p>
    <w:tbl>
      <w:tblPr>
        <w:tblStyle w:val="TableGrid"/>
        <w:tblW w:type="auto" w:w="0"/>
        <w:tblLook w:firstColumn="1" w:firstRow="1" w:lastColumn="0" w:lastRow="0" w:noHBand="0" w:noVBand="1" w:val="04A0"/>
      </w:tblPr>
      <w:tblGrid>
        <w:gridCol w:w="2880"/>
        <w:gridCol w:w="2880"/>
        <w:gridCol w:w="2880"/>
      </w:tblGrid>
      <w:tr>
        <w:tc>
          <w:tcPr>
            <w:tcW w:type="dxa" w:w="2880"/>
          </w:tcPr>
          <w:p>
            <w:r>
              <w:t>Seção alterada</w:t>
            </w:r>
          </w:p>
        </w:tc>
        <w:tc>
          <w:tcPr>
            <w:tcW w:type="dxa" w:w="2880"/>
          </w:tcPr>
          <w:p>
            <w:r>
              <w:t>O que foi revisado</w:t>
            </w:r>
          </w:p>
        </w:tc>
        <w:tc>
          <w:tcPr>
            <w:tcW w:type="dxa" w:w="2880"/>
          </w:tcPr>
          <w:p>
            <w:r>
              <w:t>Motivo</w:t>
            </w:r>
          </w:p>
        </w:tc>
      </w:tr>
      <w:tr>
        <w:tc>
          <w:tcPr>
            <w:tcW w:type="dxa" w:w="2880"/>
          </w:tcPr>
          <w:p>
            <w:r>
              <w:t>Visão Geral</w:t>
            </w:r>
          </w:p>
        </w:tc>
        <w:tc>
          <w:tcPr>
            <w:tcW w:type="dxa" w:w="2880"/>
          </w:tcPr>
          <w:p>
            <w:r>
              <w:t>Reescrita da contextualização, objetivo, stakeholders e escopo em formato textual formal.</w:t>
            </w:r>
          </w:p>
        </w:tc>
        <w:tc>
          <w:tcPr>
            <w:tcW w:type="dxa" w:w="2880"/>
          </w:tcPr>
          <w:p>
            <w:r>
              <w:t>Adequar ao modelo solicitado pela professora e aumentar aderência ao projeto de extensão.</w:t>
            </w:r>
          </w:p>
        </w:tc>
      </w:tr>
      <w:tr>
        <w:tc>
          <w:tcPr>
            <w:tcW w:type="dxa" w:w="2880"/>
          </w:tcPr>
          <w:p>
            <w:r>
              <w:t>BPMN</w:t>
            </w:r>
          </w:p>
        </w:tc>
        <w:tc>
          <w:tcPr>
            <w:tcW w:type="dxa" w:w="2880"/>
          </w:tcPr>
          <w:p>
            <w:r>
              <w:t>Refatoração completa do BPMN utilizando notação correta, swimlanes e gateways padronizados.</w:t>
            </w:r>
          </w:p>
        </w:tc>
        <w:tc>
          <w:tcPr>
            <w:tcW w:type="dxa" w:w="2880"/>
          </w:tcPr>
          <w:p>
            <w:r>
              <w:t>Correção de problemas de notação e adequação ao padrão BPMN acadêmico.</w:t>
            </w:r>
          </w:p>
        </w:tc>
      </w:tr>
      <w:tr>
        <w:tc>
          <w:tcPr>
            <w:tcW w:type="dxa" w:w="2880"/>
          </w:tcPr>
          <w:p>
            <w:r>
              <w:t>Requisitos</w:t>
            </w:r>
          </w:p>
        </w:tc>
        <w:tc>
          <w:tcPr>
            <w:tcW w:type="dxa" w:w="2880"/>
          </w:tcPr>
          <w:p>
            <w:r>
              <w:t>Reescrita dos RFs com identificação explícita dos atores responsáveis pelas ações.</w:t>
            </w:r>
          </w:p>
        </w:tc>
        <w:tc>
          <w:tcPr>
            <w:tcW w:type="dxa" w:w="2880"/>
          </w:tcPr>
          <w:p>
            <w:r>
              <w:t>Melhorar clareza, testabilidade e consistência dos requisitos.</w:t>
            </w:r>
          </w:p>
        </w:tc>
      </w:tr>
      <w:tr>
        <w:tc>
          <w:tcPr>
            <w:tcW w:type="dxa" w:w="2880"/>
          </w:tcPr>
          <w:p>
            <w:r>
              <w:t>Diagrama de Casos de Uso</w:t>
            </w:r>
          </w:p>
        </w:tc>
        <w:tc>
          <w:tcPr>
            <w:tcW w:type="dxa" w:w="2880"/>
          </w:tcPr>
          <w:p>
            <w:r>
              <w:t>Correção das relações include/extend e reorganização dos casos de uso.</w:t>
            </w:r>
          </w:p>
        </w:tc>
        <w:tc>
          <w:tcPr>
            <w:tcW w:type="dxa" w:w="2880"/>
          </w:tcPr>
          <w:p>
            <w:r>
              <w:t>Resolver inconsistências apontadas na avaliação da V1.</w:t>
            </w:r>
          </w:p>
        </w:tc>
      </w:tr>
      <w:tr>
        <w:tc>
          <w:tcPr>
            <w:tcW w:type="dxa" w:w="2880"/>
          </w:tcPr>
          <w:p>
            <w:r>
              <w:t>UCs detalhados</w:t>
            </w:r>
          </w:p>
        </w:tc>
        <w:tc>
          <w:tcPr>
            <w:tcW w:type="dxa" w:w="2880"/>
          </w:tcPr>
          <w:p>
            <w:r>
              <w:t>Correção de atores primários, fluxos e redundâncias entre casos de uso.</w:t>
            </w:r>
          </w:p>
        </w:tc>
        <w:tc>
          <w:tcPr>
            <w:tcW w:type="dxa" w:w="2880"/>
          </w:tcPr>
          <w:p>
            <w:r>
              <w:t>Adequação ao padrão UML e melhoria da coerência dos artefatos.</w:t>
            </w:r>
          </w:p>
        </w:tc>
      </w:tr>
      <w:tr>
        <w:tc>
          <w:tcPr>
            <w:tcW w:type="dxa" w:w="2880"/>
          </w:tcPr>
          <w:p>
            <w:r>
              <w:t>Anexo A</w:t>
            </w:r>
          </w:p>
        </w:tc>
        <w:tc>
          <w:tcPr>
            <w:tcW w:type="dxa" w:w="2880"/>
          </w:tcPr>
          <w:p>
            <w:r>
              <w:t>Inclusão de prompts, saídas da IA e evidências de revisão humana.</w:t>
            </w:r>
          </w:p>
        </w:tc>
        <w:tc>
          <w:tcPr>
            <w:tcW w:type="dxa" w:w="2880"/>
          </w:tcPr>
          <w:p>
            <w:r>
              <w:t>Atender aos requisitos obrigatórios relacionados ao uso de IA.</w:t>
            </w:r>
          </w:p>
        </w:tc>
      </w:tr>
    </w:tbl>
    <w:p>
      <w:r>
        <w:br/>
        <w:t>Observação: O GitHub será utilizado como evidência de versionamento e autoria do projeto, enquanto o documento PDF/Word será considerado a entrega formal da disciplina.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