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45" w:lineRule="auto"/>
        <w:jc w:val="left"/>
      </w:pPr>
      <w:r>
        <w:rPr>
          <w:rFonts w:ascii="Arial" w:hAnsi="Arial"/>
          <w:b/>
          <w:color w:val="0F5C8C"/>
          <w:sz w:val="15"/>
        </w:rPr>
        <w:t>INF01006 · PROJETO DE BANCO DE DADOS · UFRGS</w:t>
      </w:r>
    </w:p>
    <w:p>
      <w:pPr>
        <w:spacing w:after="40" w:before="0" w:line="245" w:lineRule="auto"/>
        <w:jc w:val="left"/>
      </w:pPr>
      <w:r>
        <w:rPr>
          <w:rFonts w:ascii="Arial" w:hAnsi="Arial"/>
          <w:b/>
          <w:color w:val="16202B"/>
          <w:sz w:val="34"/>
        </w:rPr>
        <w:t>Gasto x Desempenho na Atenção Primária</w:t>
      </w:r>
    </w:p>
    <w:p>
      <w:pPr>
        <w:spacing w:after="180" w:before="0" w:line="245" w:lineRule="auto"/>
        <w:jc w:val="left"/>
      </w:pPr>
      <w:r>
        <w:rPr>
          <w:rFonts w:ascii="Arial" w:hAnsi="Arial"/>
          <w:b w:val="0"/>
          <w:color w:val="5B6D80"/>
          <w:sz w:val="18"/>
        </w:rPr>
        <w:t>Integração do gasto público municipal em Atenção Básica com os indicadores de desempenho da Atenção Primária do Ministério da Saúde. 497 municípios do Rio Grande do Sul, 2020–2024.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INTEGRANTES</w:t>
            </w:r>
          </w:p>
        </w:tc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7"/>
              </w:rPr>
              <w:t>Vinícius Witt Herzog · Pedro Rocha · Eduardo Rosa</w:t>
            </w:r>
          </w:p>
        </w:tc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LÍDER</w:t>
            </w:r>
          </w:p>
        </w:tc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B02A37"/>
                <w:sz w:val="17"/>
              </w:rPr>
              <w:t>a definir</w:t>
            </w:r>
          </w:p>
        </w:tc>
      </w:tr>
      <w:tr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COOPERAÇÃO</w:t>
            </w:r>
          </w:p>
        </w:tc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7"/>
              </w:rPr>
              <w:t>Extensão PET-Saúde Digital — GAT05 Indicadores</w:t>
            </w:r>
          </w:p>
        </w:tc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TECNOLOGIAS</w:t>
            </w:r>
          </w:p>
        </w:tc>
        <w:tc>
          <w:tcPr>
            <w:tcW w:type="dxa" w:w="2581"/>
            <w:shd w:val="clear" w:color="auto" w:fill="F2F6F9"/>
            <w:vAlign w:val="center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7"/>
              </w:rPr>
              <w:t>PostgreSQL · Python · Git</w:t>
            </w:r>
          </w:p>
        </w:tc>
      </w:tr>
    </w:tbl>
    <w:p>
      <w:pPr>
        <w:spacing w:after="60" w:before="160" w:line="245" w:lineRule="auto"/>
        <w:jc w:val="left"/>
      </w:pPr>
      <w:r>
        <w:rPr>
          <w:rFonts w:ascii="Arial" w:hAnsi="Arial"/>
          <w:b/>
          <w:color w:val="0F5C8C"/>
          <w:sz w:val="15"/>
        </w:rPr>
        <w:t>RESUMO</w:t>
      </w:r>
    </w:p>
    <w:p>
      <w:pPr>
        <w:spacing w:after="120" w:before="0" w:line="245" w:lineRule="auto"/>
        <w:jc w:val="both"/>
      </w:pPr>
      <w:r>
        <w:rPr>
          <w:rFonts w:ascii="Arial" w:hAnsi="Arial"/>
          <w:b/>
          <w:color w:val="16202B"/>
          <w:sz w:val="16"/>
        </w:rPr>
        <w:t>Objetivo geral.</w:t>
      </w:r>
      <w:r>
        <w:rPr>
          <w:rFonts w:ascii="Arial" w:hAnsi="Arial"/>
          <w:b w:val="0"/>
          <w:color w:val="16202B"/>
          <w:sz w:val="16"/>
        </w:rPr>
        <w:t xml:space="preserve"> Integrar, numa única base de dados, quanto cada município gasta em Atenção Básica e como esse município é avaliado nos indicadores da Atenção Primária. A pergunta é se investir mais por habitante se traduz em melhor desempenho, e quanto da variação observada vem do serviço prestado ou da regra de cálculo.</w:t>
      </w:r>
    </w:p>
    <w:p>
      <w:pPr>
        <w:spacing w:after="60" w:before="0" w:line="245" w:lineRule="auto"/>
        <w:jc w:val="left"/>
      </w:pPr>
      <w:r>
        <w:rPr>
          <w:rFonts w:ascii="Arial" w:hAnsi="Arial"/>
          <w:b/>
          <w:color w:val="16202B"/>
          <w:sz w:val="16"/>
        </w:rPr>
        <w:t>Objetivos específicos:</w:t>
      </w:r>
    </w:p>
    <w:p>
      <w:pPr>
        <w:spacing w:after="40" w:before="0" w:line="245" w:lineRule="auto"/>
        <w:ind w:left="317"/>
        <w:jc w:val="both"/>
      </w:pPr>
      <w:r>
        <w:rPr>
          <w:rFonts w:ascii="Arial" w:hAnsi="Arial"/>
          <w:b w:val="0"/>
          <w:color w:val="16202B"/>
          <w:sz w:val="16"/>
        </w:rPr>
        <w:t>1. Modelar e implementar um esquema relacional que integre as diferentes fontes, resolvendo chaves e granularidades incompatíveis.</w:t>
      </w:r>
    </w:p>
    <w:p>
      <w:pPr>
        <w:spacing w:after="40" w:before="0" w:line="245" w:lineRule="auto"/>
        <w:ind w:left="317"/>
        <w:jc w:val="both"/>
      </w:pPr>
      <w:r>
        <w:rPr>
          <w:rFonts w:ascii="Arial" w:hAnsi="Arial"/>
          <w:b w:val="0"/>
          <w:color w:val="16202B"/>
          <w:sz w:val="16"/>
        </w:rPr>
        <w:t>2. Construir a dimensão versionada a partir das Notas Técnicas do Ministério da Saúde.</w:t>
      </w:r>
    </w:p>
    <w:p>
      <w:pPr>
        <w:spacing w:after="40" w:before="0" w:line="245" w:lineRule="auto"/>
        <w:ind w:left="317"/>
        <w:jc w:val="both"/>
      </w:pPr>
      <w:r>
        <w:rPr>
          <w:rFonts w:ascii="Arial" w:hAnsi="Arial"/>
          <w:b w:val="0"/>
          <w:color w:val="16202B"/>
          <w:sz w:val="16"/>
        </w:rPr>
        <w:t>3. Quantificar, por faixas de investimento, a associação entre gasto per capita em Atenção Básica e desempenho nos sete indicadores.</w:t>
      </w:r>
    </w:p>
    <w:p>
      <w:pPr>
        <w:spacing w:after="40" w:before="0" w:line="245" w:lineRule="auto"/>
        <w:ind w:left="317"/>
        <w:jc w:val="both"/>
      </w:pPr>
      <w:r>
        <w:rPr>
          <w:rFonts w:ascii="Arial" w:hAnsi="Arial"/>
          <w:b w:val="0"/>
          <w:color w:val="16202B"/>
          <w:sz w:val="16"/>
        </w:rPr>
        <w:t>4. Separar, na variação da série, o desempenho real do efeito da mudança de regra: a troca de Nota Técnica e a escolha entre os denominadores concorrentes.</w:t>
      </w:r>
    </w:p>
    <w:p>
      <w:pPr>
        <w:spacing w:after="40" w:before="0" w:line="245" w:lineRule="auto"/>
        <w:ind w:left="317"/>
        <w:jc w:val="both"/>
      </w:pPr>
      <w:r>
        <w:rPr>
          <w:rFonts w:ascii="Arial" w:hAnsi="Arial"/>
          <w:b w:val="0"/>
          <w:color w:val="16202B"/>
          <w:sz w:val="16"/>
        </w:rPr>
        <w:t>5. Documentar a completude e a qualidade dos dados, produzindo uma base confiável e de fácil entendimento para as análises desenvolvidas.</w:t>
      </w:r>
    </w:p>
    <w:p>
      <w:pPr>
        <w:spacing w:after="120" w:before="40" w:line="245" w:lineRule="auto"/>
        <w:jc w:val="both"/>
      </w:pPr>
      <w:r>
        <w:rPr>
          <w:rFonts w:ascii="Arial" w:hAnsi="Arial"/>
          <w:b w:val="0"/>
          <w:color w:val="5B6D80"/>
          <w:sz w:val="15"/>
        </w:rPr>
        <w:t xml:space="preserve">A subfunção 10.301 reúne recurso próprio, federal e estadual, e o pagamento por desempenho corresponde a apenas parte do repasse federal. A relação investigada é de </w:t>
      </w:r>
      <w:r>
        <w:rPr>
          <w:rFonts w:ascii="Arial" w:hAnsi="Arial"/>
          <w:b/>
          <w:color w:val="5B6D80"/>
          <w:sz w:val="15"/>
        </w:rPr>
        <w:t>associação, não de causalidade</w:t>
      </w:r>
      <w:r>
        <w:rPr>
          <w:rFonts w:ascii="Arial" w:hAnsi="Arial"/>
          <w:b w:val="0"/>
          <w:color w:val="5B6D80"/>
          <w:sz w:val="15"/>
        </w:rPr>
        <w:t>.</w:t>
      </w:r>
    </w:p>
    <w:p>
      <w:pPr>
        <w:spacing w:after="60" w:before="160" w:line="245" w:lineRule="auto"/>
        <w:jc w:val="left"/>
      </w:pPr>
      <w:r>
        <w:rPr>
          <w:rFonts w:ascii="Arial" w:hAnsi="Arial"/>
          <w:b/>
          <w:color w:val="0F5C8C"/>
          <w:sz w:val="15"/>
        </w:rPr>
        <w:t>BASE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FONTE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PAPEL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COBERTURA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REGISTROS</w:t>
            </w:r>
          </w:p>
        </w:tc>
      </w:tr>
      <w:tr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FINBRA — Tesouro Nacional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o gasto — despesa por função, subfunção 10.301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2020–2025 · município × ano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right"/>
            </w:pPr>
            <w:r>
              <w:rPr>
                <w:rFonts w:ascii="Arial" w:hAnsi="Arial"/>
                <w:b w:val="0"/>
                <w:color w:val="16202B"/>
                <w:sz w:val="15"/>
              </w:rPr>
              <w:t>651.198</w:t>
            </w:r>
          </w:p>
        </w:tc>
      </w:tr>
      <w:tr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SISAB — Ministério da Saúde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os indicadores — série histórica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2018–2025 · município × quadrimestre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right"/>
            </w:pPr>
            <w:r>
              <w:rPr>
                <w:rFonts w:ascii="Arial" w:hAnsi="Arial"/>
                <w:b w:val="0"/>
                <w:color w:val="16202B"/>
                <w:sz w:val="15"/>
              </w:rPr>
              <w:t>76.538</w:t>
            </w:r>
          </w:p>
        </w:tc>
      </w:tr>
      <w:tr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API DEMAS — Ministério da Saúde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numerador e os três denominadores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2024 · + visão de equipe</w:t>
            </w:r>
          </w:p>
        </w:tc>
        <w:tc>
          <w:tcPr>
            <w:tcW w:type="dxa" w:w="2581"/>
          </w:tcPr>
          <w:p>
            <w:pPr>
              <w:spacing w:after="0" w:before="0" w:line="245" w:lineRule="auto"/>
              <w:jc w:val="right"/>
            </w:pPr>
            <w:r>
              <w:rPr>
                <w:rFonts w:ascii="Arial" w:hAnsi="Arial"/>
                <w:b w:val="0"/>
                <w:color w:val="16202B"/>
                <w:sz w:val="15"/>
              </w:rPr>
              <w:t>26.838</w:t>
            </w:r>
          </w:p>
        </w:tc>
      </w:tr>
    </w:tbl>
    <w:p>
      <w:pPr>
        <w:spacing w:after="120" w:before="60" w:line="245" w:lineRule="auto"/>
        <w:jc w:val="both"/>
      </w:pPr>
      <w:r>
        <w:rPr>
          <w:rFonts w:ascii="Arial" w:hAnsi="Arial"/>
          <w:b w:val="0"/>
          <w:color w:val="5B6D80"/>
          <w:sz w:val="15"/>
        </w:rPr>
        <w:t xml:space="preserve">Junção por </w:t>
      </w:r>
      <w:r>
        <w:rPr>
          <w:rFonts w:ascii="Arial" w:hAnsi="Arial"/>
          <w:b/>
          <w:color w:val="5B6D80"/>
          <w:sz w:val="15"/>
        </w:rPr>
        <w:t>cod_ibge7 / 10</w:t>
      </w:r>
      <w:r>
        <w:rPr>
          <w:rFonts w:ascii="Arial" w:hAnsi="Arial"/>
          <w:b w:val="0"/>
          <w:color w:val="5B6D80"/>
          <w:sz w:val="15"/>
        </w:rPr>
        <w:t>: o FINBRA usa código IBGE de sete dígitos; SISAB e API, de seis. Testada nos 497 municípios do estado, que somam 754.574 linhas carregadas.</w:t>
      </w:r>
    </w:p>
    <w:p>
      <w:pPr>
        <w:spacing w:after="60" w:before="160" w:line="245" w:lineRule="auto"/>
        <w:jc w:val="left"/>
      </w:pPr>
      <w:r>
        <w:rPr>
          <w:rFonts w:ascii="Arial" w:hAnsi="Arial"/>
          <w:b/>
          <w:color w:val="0F5C8C"/>
          <w:sz w:val="15"/>
        </w:rPr>
        <w:t>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TABELA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5B6D80"/>
                <w:sz w:val="14"/>
              </w:rPr>
              <w:t>GRÃO / ATRIBUTOS</w:t>
            </w:r>
          </w:p>
        </w:tc>
      </w:tr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16202B"/>
                <w:sz w:val="15"/>
              </w:rPr>
              <w:t>dim_municipio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cod_ibge6 · cod_ibge7 · nome · uf</w:t>
            </w:r>
          </w:p>
        </w:tc>
      </w:tr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16202B"/>
                <w:sz w:val="15"/>
              </w:rPr>
              <w:t>dim_periodo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quadrimestre · ano · competência · regime</w:t>
            </w:r>
          </w:p>
        </w:tc>
      </w:tr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16202B"/>
                <w:sz w:val="15"/>
              </w:rPr>
              <w:t>dim_indicador (versionada)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código · regime · nome · meta · peso · vigência · nota técnica</w:t>
            </w:r>
          </w:p>
        </w:tc>
      </w:tr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16202B"/>
                <w:sz w:val="15"/>
              </w:rPr>
              <w:t>dim_conta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função · subfunção · nível · residual</w:t>
            </w:r>
          </w:p>
        </w:tc>
      </w:tr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16202B"/>
                <w:sz w:val="15"/>
              </w:rPr>
              <w:t>fato_despesa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município × exercício × estágio × conta → valor</w:t>
            </w:r>
          </w:p>
        </w:tc>
      </w:tr>
      <w:tr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/>
                <w:color w:val="16202B"/>
                <w:sz w:val="15"/>
              </w:rPr>
              <w:t>fato_indicador</w:t>
            </w:r>
          </w:p>
        </w:tc>
        <w:tc>
          <w:tcPr>
            <w:tcW w:type="dxa" w:w="5162"/>
          </w:tcPr>
          <w:p>
            <w:pPr>
              <w:spacing w:after="0" w:before="0" w:line="245" w:lineRule="auto"/>
              <w:jc w:val="left"/>
            </w:pPr>
            <w:r>
              <w:rPr>
                <w:rFonts w:ascii="Arial" w:hAnsi="Arial"/>
                <w:b w:val="0"/>
                <w:color w:val="16202B"/>
                <w:sz w:val="15"/>
              </w:rPr>
              <w:t>município × quadrimestre × versão do indicador × visão × fonte</w:t>
            </w:r>
          </w:p>
        </w:tc>
      </w:tr>
    </w:tbl>
    <w:p>
      <w:pPr>
        <w:spacing w:after="120" w:before="60" w:line="245" w:lineRule="auto"/>
        <w:jc w:val="both"/>
      </w:pPr>
      <w:r>
        <w:rPr>
          <w:rFonts w:ascii="Arial" w:hAnsi="Arial"/>
          <w:b w:val="0"/>
          <w:color w:val="5B6D80"/>
          <w:sz w:val="15"/>
        </w:rPr>
        <w:t>Cada fato aponta para uma versão datada do indicador, de modo que 2021 e 2022 não sejam tratados como a mesma medida.</w:t>
      </w:r>
    </w:p>
    <w:p>
      <w:pPr>
        <w:spacing w:after="60" w:before="160" w:line="245" w:lineRule="auto"/>
        <w:jc w:val="left"/>
      </w:pPr>
      <w:r>
        <w:rPr>
          <w:rFonts w:ascii="Arial" w:hAnsi="Arial"/>
          <w:b/>
          <w:color w:val="0F5C8C"/>
          <w:sz w:val="15"/>
        </w:rPr>
        <w:t>RESULTADO REAL OU MUDANÇA DE RÉGUA?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758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ha_tem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58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5" w:lineRule="auto"/>
        <w:jc w:val="both"/>
      </w:pPr>
      <w:r>
        <w:rPr>
          <w:rFonts w:ascii="Arial" w:hAnsi="Arial"/>
          <w:b/>
          <w:color w:val="5B6D80"/>
          <w:sz w:val="15"/>
        </w:rPr>
        <w:t>Os documentos oficiais que regem o cálculo dos indicadores.</w:t>
      </w:r>
      <w:r>
        <w:rPr>
          <w:rFonts w:ascii="Arial" w:hAnsi="Arial"/>
          <w:b w:val="0"/>
          <w:color w:val="5B6D80"/>
          <w:sz w:val="15"/>
        </w:rPr>
        <w:t xml:space="preserve"> A Portaria GM/MS nº 102/2022 determinou que, em indicadores e quadrimestres específicos, o alcance fosse considerado 100% apenas para fins de financiamento, enquanto o alcance medido era outro. Foi o caso da cobertura vacinal de Poliomielite e Pentavalente. Um mesmo indicador passa, assim, a ter dois valores: o publicado e o que entra no cálculo do repasse.</w:t>
      </w:r>
    </w:p>
    <w:p>
      <w:pPr>
        <w:spacing w:after="60" w:before="160" w:line="245" w:lineRule="auto"/>
        <w:jc w:val="left"/>
      </w:pPr>
      <w:r>
        <w:rPr>
          <w:rFonts w:ascii="Arial" w:hAnsi="Arial"/>
          <w:b/>
          <w:color w:val="0F5C8C"/>
          <w:sz w:val="15"/>
        </w:rPr>
        <w:t>O QUE VAMOS PERGUNTAR À BASE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</w:tcPr>
          <w:p>
            <w:pPr>
              <w:spacing w:after="20" w:line="245" w:lineRule="auto" w:before="0"/>
              <w:jc w:val="left"/>
            </w:pPr>
            <w:r>
              <w:rPr>
                <w:rFonts w:ascii="Arial" w:hAnsi="Arial"/>
                <w:b/>
                <w:color w:val="16202B"/>
                <w:sz w:val="16"/>
              </w:rPr>
              <w:t>Básicas.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Gasto per capita por município e por ano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Ranking de desempenho por indicador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Evolução quadrimestral de cada indicador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Composição do orçamento de saúde por subfunção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Cobertura e completude dos dados por ano</w:t>
            </w:r>
          </w:p>
        </w:tc>
        <w:tc>
          <w:tcPr>
            <w:tcW w:type="dxa" w:w="5162"/>
          </w:tcPr>
          <w:p>
            <w:pPr>
              <w:spacing w:after="20" w:line="245" w:lineRule="auto" w:before="0"/>
              <w:jc w:val="left"/>
            </w:pPr>
            <w:r>
              <w:rPr>
                <w:rFonts w:ascii="Arial" w:hAnsi="Arial"/>
                <w:b/>
                <w:color w:val="16202B"/>
                <w:sz w:val="16"/>
              </w:rPr>
              <w:t>Avançadas.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Faixas de gasto contra faixas de desempenho (NTILE)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Variação ano a ano com funções de janela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Comparação entre municípios de porte semelhante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Recálculo do indicador sob cada um dos três denominadores</w:t>
            </w:r>
          </w:p>
          <w:p>
            <w:pPr>
              <w:pStyle w:val="ListBullet"/>
              <w:spacing w:after="0" w:before="0" w:line="245" w:lineRule="auto"/>
              <w:ind w:left="259"/>
              <w:jc w:val="left"/>
            </w:pPr>
            <w:r>
              <w:rPr>
                <w:rFonts w:ascii="Arial" w:hAnsi="Arial"/>
                <w:b w:val="0"/>
                <w:color w:val="16202B"/>
                <w:sz w:val="16"/>
              </w:rPr>
              <w:t>Quanto da variação é serviço prestado e quanto é mudança de regra</w:t>
            </w:r>
          </w:p>
        </w:tc>
      </w:tr>
    </w:tbl>
    <w:p>
      <w:pPr>
        <w:spacing w:after="60" w:before="160" w:line="245" w:lineRule="auto"/>
        <w:jc w:val="left"/>
      </w:pPr>
      <w:r>
        <w:rPr>
          <w:rFonts w:ascii="Arial" w:hAnsi="Arial"/>
          <w:b/>
          <w:color w:val="0F5C8C"/>
          <w:sz w:val="15"/>
        </w:rPr>
        <w:t>JUSTIFICATIVA — POR QUE O TEMA CABE NA DISCIPLINA</w:t>
      </w:r>
    </w:p>
    <w:p>
      <w:pPr>
        <w:spacing w:after="60" w:before="0" w:line="245" w:lineRule="auto"/>
        <w:jc w:val="both"/>
      </w:pPr>
      <w:r>
        <w:rPr>
          <w:rFonts w:ascii="Arial" w:hAnsi="Arial"/>
          <w:b/>
          <w:color w:val="16202B"/>
          <w:sz w:val="16"/>
        </w:rPr>
        <w:t>Chaves e granularidades incompatíveis.</w:t>
      </w:r>
      <w:r>
        <w:rPr>
          <w:rFonts w:ascii="Arial" w:hAnsi="Arial"/>
          <w:b w:val="0"/>
          <w:color w:val="16202B"/>
          <w:sz w:val="16"/>
        </w:rPr>
        <w:t xml:space="preserve"> O código IBGE tem seis dígitos em duas fontes e sete na terceira; o gasto é anual e os indicadores são quadrimestrais; os formatos de arquivo diferem entre si. Sem tratamento prévio, a junção não retorna nenhuma linha.</w:t>
      </w:r>
    </w:p>
    <w:p>
      <w:pPr>
        <w:spacing w:after="60" w:before="0" w:line="245" w:lineRule="auto"/>
        <w:jc w:val="both"/>
      </w:pPr>
      <w:r>
        <w:rPr>
          <w:rFonts w:ascii="Arial" w:hAnsi="Arial"/>
          <w:b/>
          <w:color w:val="16202B"/>
          <w:sz w:val="16"/>
        </w:rPr>
        <w:t>O indicador muda de definição.</w:t>
      </w:r>
      <w:r>
        <w:rPr>
          <w:rFonts w:ascii="Arial" w:hAnsi="Arial"/>
          <w:b w:val="0"/>
          <w:color w:val="16202B"/>
          <w:sz w:val="16"/>
        </w:rPr>
        <w:t xml:space="preserve"> A regra de cálculo mudou em 2022 e há denominadores concorrentes por registro. A definição do indicador torna-se uma </w:t>
      </w:r>
      <w:r>
        <w:rPr>
          <w:rFonts w:ascii="Arial" w:hAnsi="Arial"/>
          <w:b/>
          <w:color w:val="16202B"/>
          <w:sz w:val="16"/>
        </w:rPr>
        <w:t>dimensão versionada</w:t>
      </w:r>
      <w:r>
        <w:rPr>
          <w:rFonts w:ascii="Arial" w:hAnsi="Arial"/>
          <w:b w:val="0"/>
          <w:color w:val="16202B"/>
          <w:sz w:val="16"/>
        </w:rPr>
        <w:t>, com vigência e nota técnica próprias.</w:t>
      </w:r>
    </w:p>
    <w:p>
      <w:pPr>
        <w:spacing w:after="120" w:before="0" w:line="245" w:lineRule="auto"/>
        <w:jc w:val="both"/>
      </w:pPr>
      <w:r>
        <w:rPr>
          <w:rFonts w:ascii="Arial" w:hAnsi="Arial"/>
          <w:b/>
          <w:color w:val="16202B"/>
          <w:sz w:val="16"/>
        </w:rPr>
        <w:t>Volume, domínio e operações.</w:t>
      </w:r>
      <w:r>
        <w:rPr>
          <w:rFonts w:ascii="Arial" w:hAnsi="Arial"/>
          <w:b w:val="0"/>
          <w:color w:val="16202B"/>
          <w:sz w:val="16"/>
        </w:rPr>
        <w:t xml:space="preserve"> Três bases oficiais e abertas sobre o gasto em saúde e o desempenho dos 497 municípios do Rio Grande do Sul, seguindo as normas de extensão estabelecidas pelo projeto PET-Saúde Digital. As consultas previstas empregam funções de janela, CTEs e agregação por faixa.</w:t>
      </w:r>
    </w:p>
    <w:sectPr w:rsidR="00FC693F" w:rsidRPr="0006063C" w:rsidSect="00034616">
      <w:pgSz w:w="11909" w:h="16834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