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drawing>
          <wp:inline distT="0" distB="0" distL="0" distR="0">
            <wp:extent cx="41910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20" w:before="260"/>
        <w:jc w:val="center"/>
      </w:pPr>
      <w:r>
        <w:rPr>
          <w:color w:val="232121"/>
          <w:sz w:val="26"/>
          <w:szCs w:val="26"/>
        </w:rPr>
        <w:t xml:space="preserve">Plataforma de Asistencia · Aspel NOI</w:t>
      </w:r>
    </w:p>
    <w:p>
      <w:pPr>
        <w:pBdr>
          <w:top w:val="single" w:color="ED3237" w:sz="12" w:space="10"/>
          <w:bottom w:val="single" w:color="ED3237" w:sz="12" w:space="10"/>
        </w:pBdr>
        <w:jc w:val="center"/>
      </w:pPr>
      <w:r>
        <w:rPr>
          <w:b/>
          <w:bCs/>
          <w:color w:val="232121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60606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D3D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606062"/>
          <w:sz w:val="20"/>
          <w:szCs w:val="20"/>
        </w:rPr>
        <w:t xml:space="preserve">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D3237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Mallatex · Plataforma de Asistencia</w:t>
      </w:r>
      <w:r>
        <w:rPr>
          <w:color w:val="3F3D3D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D3D"/>
          <w:sz w:val="21"/>
          <w:szCs w:val="21"/>
        </w:rPr>
        <w:t xml:space="preserve">capa de control entre el checador facial (Hikvision) y Aspel NOI</w:t>
      </w:r>
      <w:r>
        <w:rPr>
          <w:color w:val="3F3D3D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D3D"/>
          <w:sz w:val="21"/>
          <w:szCs w:val="21"/>
        </w:rPr>
        <w:t xml:space="preserve">revisa y valida antes</w:t>
      </w:r>
      <w:r>
        <w:rPr>
          <w:color w:val="3F3D3D"/>
          <w:sz w:val="21"/>
          <w:szCs w:val="21"/>
        </w:rPr>
        <w:t xml:space="preserve"> de generar los movimientos de nómina.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Principio clave: </w:t>
      </w:r>
      <w:r>
        <w:rPr>
          <w:color w:val="3F3D3D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Responsable de nómina: </w:t>
      </w:r>
      <w:r>
        <w:rPr>
          <w:color w:val="3F3D3D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Contador general: </w:t>
      </w:r>
      <w:r>
        <w:rPr>
          <w:color w:val="3F3D3D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Administrador: </w:t>
      </w:r>
      <w:r>
        <w:rPr>
          <w:color w:val="3F3D3D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Abra la plataforma en su navegador (por ejemplo </w:t>
      </w:r>
      <w:r>
        <w:rPr>
          <w:b/>
          <w:bCs/>
          <w:color w:val="3F3D3D"/>
          <w:sz w:val="21"/>
          <w:szCs w:val="21"/>
        </w:rPr>
        <w:t xml:space="preserve">http://localhost:3000</w:t>
      </w:r>
      <w:r>
        <w:rPr>
          <w:color w:val="3F3D3D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Entrar</w:t>
      </w:r>
      <w:r>
        <w:rPr>
          <w:color w:val="3F3D3D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Cerrar sesión: </w:t>
      </w:r>
      <w:r>
        <w:rPr>
          <w:color w:val="3F3D3D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Operación: </w:t>
      </w:r>
      <w:r>
        <w:rPr>
          <w:color w:val="3F3D3D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Nómina: </w:t>
      </w:r>
      <w:r>
        <w:rPr>
          <w:color w:val="3F3D3D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Catálogos: </w:t>
      </w:r>
      <w:r>
        <w:rPr>
          <w:color w:val="3F3D3D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Administración: </w:t>
      </w:r>
      <w:r>
        <w:rPr>
          <w:color w:val="3F3D3D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Selector de Periodo: </w:t>
      </w:r>
      <w:r>
        <w:rPr>
          <w:color w:val="3F3D3D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Indicadores (KPIs): </w:t>
      </w:r>
      <w:r>
        <w:rPr>
          <w:color w:val="3F3D3D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Distribución de asistencia: </w:t>
      </w:r>
      <w:r>
        <w:rPr>
          <w:color w:val="3F3D3D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Checador: </w:t>
      </w:r>
      <w:r>
        <w:rPr>
          <w:color w:val="3F3D3D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Pendientes por autorizar: </w:t>
      </w:r>
      <w:r>
        <w:rPr>
          <w:color w:val="3F3D3D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Flujo operativo: </w:t>
      </w:r>
      <w:r>
        <w:rPr>
          <w:color w:val="3F3D3D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Corregir</w:t>
      </w:r>
      <w:r>
        <w:rPr>
          <w:color w:val="3F3D3D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b/>
          <w:bCs/>
          <w:color w:val="3F3D3D"/>
          <w:sz w:val="21"/>
          <w:szCs w:val="21"/>
        </w:rPr>
        <w:t xml:space="preserve">Escriba el motivo (obligatorio) </w:t>
      </w:r>
      <w:r>
        <w:rPr>
          <w:color w:val="3F3D3D"/>
          <w:sz w:val="21"/>
          <w:szCs w:val="21"/>
        </w:rPr>
        <w:t xml:space="preserve">y guarde. El registro se marca como “manual”.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Toda corrección exige un motivo y queda en la </w:t>
      </w:r>
      <w:r>
        <w:rPr>
          <w:b/>
          <w:bCs/>
          <w:color w:val="3F3D3D"/>
          <w:sz w:val="21"/>
          <w:szCs w:val="21"/>
        </w:rPr>
        <w:t xml:space="preserve">bitácora</w:t>
      </w:r>
      <w:r>
        <w:rPr>
          <w:color w:val="3F3D3D"/>
          <w:sz w:val="21"/>
          <w:szCs w:val="21"/>
        </w:rPr>
        <w:t xml:space="preserve">. En un periodo </w:t>
      </w:r>
      <w:r>
        <w:rPr>
          <w:b/>
          <w:bCs/>
          <w:color w:val="3F3D3D"/>
          <w:sz w:val="21"/>
          <w:szCs w:val="21"/>
        </w:rPr>
        <w:t xml:space="preserve">cerrado</w:t>
      </w:r>
      <w:r>
        <w:rPr>
          <w:color w:val="3F3D3D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+ Nueva incidencia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Registre. La incidencia queda en estado </w:t>
      </w:r>
      <w:r>
        <w:rPr>
          <w:b/>
          <w:bCs/>
          <w:color w:val="3F3D3D"/>
          <w:sz w:val="21"/>
          <w:szCs w:val="21"/>
        </w:rPr>
        <w:t xml:space="preserve">Pendiente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Autorizar </w:t>
      </w:r>
      <w:r>
        <w:rPr>
          <w:color w:val="3F3D3D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Rechazar: </w:t>
      </w:r>
      <w:r>
        <w:rPr>
          <w:color w:val="3F3D3D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Ajuste, si es necesario, las </w:t>
      </w:r>
      <w:r>
        <w:rPr>
          <w:b/>
          <w:bCs/>
          <w:color w:val="3F3D3D"/>
          <w:sz w:val="21"/>
          <w:szCs w:val="21"/>
        </w:rPr>
        <w:t xml:space="preserve">horas a autorizar</w:t>
      </w:r>
      <w:r>
        <w:rPr>
          <w:color w:val="3F3D3D"/>
          <w:sz w:val="21"/>
          <w:szCs w:val="21"/>
        </w:rPr>
        <w:t xml:space="preserve"> y el </w:t>
      </w:r>
      <w:r>
        <w:rPr>
          <w:b/>
          <w:bCs/>
          <w:color w:val="3F3D3D"/>
          <w:sz w:val="21"/>
          <w:szCs w:val="21"/>
        </w:rPr>
        <w:t xml:space="preserve">tipo</w:t>
      </w:r>
      <w:r>
        <w:rPr>
          <w:color w:val="3F3D3D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Autorizar</w:t>
      </w:r>
      <w:r>
        <w:rPr>
          <w:color w:val="3F3D3D"/>
          <w:sz w:val="21"/>
          <w:szCs w:val="21"/>
        </w:rPr>
        <w:t xml:space="preserve"> (o </w:t>
      </w:r>
      <w:r>
        <w:rPr>
          <w:b/>
          <w:bCs/>
          <w:color w:val="3F3D3D"/>
          <w:sz w:val="21"/>
          <w:szCs w:val="21"/>
        </w:rPr>
        <w:t xml:space="preserve">Rechazar</w:t>
      </w:r>
      <w:r>
        <w:rPr>
          <w:color w:val="3F3D3D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Exportar .txt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Exportar .csv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D3D"/>
          <w:sz w:val="21"/>
          <w:szCs w:val="21"/>
        </w:rPr>
        <w:t xml:space="preserve">bloquea</w:t>
      </w:r>
      <w:r>
        <w:rPr>
          <w:color w:val="3F3D3D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Cerrar periodo: </w:t>
      </w:r>
      <w:r>
        <w:rPr>
          <w:color w:val="3F3D3D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Reabrir </w:t>
      </w:r>
      <w:r>
        <w:rPr>
          <w:color w:val="3F3D3D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9.1 Percepciones variables (kilometraje, costura por m², comisiones)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Administrar pagos que no dependen del reloj checador sino de una cantidad capturada por periodo: el bono por kilometraje del conductor, la costura extra por metro cuadrado del operador de producción y la comisión sobre ventas del vendedor. Se abre en </w:t>
      </w:r>
      <w:r>
        <w:rPr>
          <w:b/>
          <w:bCs/>
          <w:color w:val="3F3D3D"/>
          <w:sz w:val="21"/>
          <w:szCs w:val="21"/>
        </w:rPr>
        <w:t xml:space="preserve">Nómina → Percepciones variables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94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Percepciones variables: capturas del periodo y catálogo de conceptos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Conceptos variables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Cada tipo de pago es un concepto configurable con su número de Aspel NOI y su forma de cálculo: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600"/>
        <w:gridCol w:w="3200"/>
        <w:gridCol w:w="2400"/>
      </w:tblGrid>
      <w:tr>
        <w:trPr>
          <w:tblHeader/>
        </w:trPr>
        <w:tc>
          <w:tcPr>
            <w:tcW w:type="dxa" w:w="2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Forma de cálculo</w:t>
            </w:r>
          </w:p>
        </w:tc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obtiene el importe</w:t>
            </w:r>
          </w:p>
        </w:tc>
        <w:tc>
          <w:tcPr>
            <w:tcW w:type="dxa" w:w="24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Tarifa por unidad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cantidad × tarifa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640 km × $2.50 = $1,600</w:t>
            </w:r>
          </w:p>
        </w:tc>
      </w:tr>
      <w:tr>
        <w:tc>
          <w:tcPr>
            <w:tcW w:type="dxa" w:w="2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Porcentaje sobre base</w:t>
            </w:r>
          </w:p>
        </w:tc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base × (porcentaje ÷ 100)</w:t>
            </w:r>
          </w:p>
        </w:tc>
        <w:tc>
          <w:tcPr>
            <w:tcW w:type="dxa" w:w="2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$92,000 × 3 % = $2,760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Importe directo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captura el importe ya calculado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color w:val="3F3D3D"/>
          <w:sz w:val="21"/>
          <w:szCs w:val="21"/>
        </w:rPr>
        <w:t xml:space="preserve">Con </w:t>
      </w:r>
      <w:r>
        <w:rPr>
          <w:b/>
          <w:bCs/>
          <w:color w:val="3F3D3D"/>
          <w:sz w:val="21"/>
          <w:szCs w:val="21"/>
        </w:rPr>
        <w:t xml:space="preserve">+ Concepto</w:t>
      </w:r>
      <w:r>
        <w:rPr>
          <w:color w:val="3F3D3D"/>
          <w:sz w:val="21"/>
          <w:szCs w:val="21"/>
        </w:rPr>
        <w:t xml:space="preserve"> (Contador/Administrador) se crea un concepto con nombre, número NOI, forma de cálculo, unidad (km, m², $ ventas…), tarifa/porcentaje y área sugerida.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Capturar una percepción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Con el periodo </w:t>
      </w:r>
      <w:r>
        <w:rPr>
          <w:b/>
          <w:bCs/>
          <w:color w:val="3F3D3D"/>
          <w:sz w:val="21"/>
          <w:szCs w:val="21"/>
        </w:rPr>
        <w:t xml:space="preserve">Abierto</w:t>
      </w:r>
      <w:r>
        <w:rPr>
          <w:color w:val="3F3D3D"/>
          <w:sz w:val="21"/>
          <w:szCs w:val="21"/>
        </w:rPr>
        <w:t xml:space="preserve">, presione </w:t>
      </w:r>
      <w:r>
        <w:rPr>
          <w:b/>
          <w:bCs/>
          <w:color w:val="3F3D3D"/>
          <w:sz w:val="21"/>
          <w:szCs w:val="21"/>
        </w:rPr>
        <w:t xml:space="preserve">+ Captura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Elija el empleado y el concepto.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Escriba la </w:t>
      </w:r>
      <w:r>
        <w:rPr>
          <w:b/>
          <w:bCs/>
          <w:color w:val="3F3D3D"/>
          <w:sz w:val="21"/>
          <w:szCs w:val="21"/>
        </w:rPr>
        <w:t xml:space="preserve">cantidad</w:t>
      </w:r>
      <w:r>
        <w:rPr>
          <w:color w:val="3F3D3D"/>
          <w:sz w:val="21"/>
          <w:szCs w:val="21"/>
        </w:rPr>
        <w:t xml:space="preserve"> (kilómetros, metros cuadrados o monto de ventas). El importe se calcula en vivo.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4. </w:t>
      </w:r>
      <w:r>
        <w:rPr>
          <w:color w:val="3F3D3D"/>
          <w:sz w:val="21"/>
          <w:szCs w:val="21"/>
        </w:rPr>
        <w:t xml:space="preserve">Opcional: indique una </w:t>
      </w:r>
      <w:r>
        <w:rPr>
          <w:b/>
          <w:bCs/>
          <w:color w:val="3F3D3D"/>
          <w:sz w:val="21"/>
          <w:szCs w:val="21"/>
        </w:rPr>
        <w:t xml:space="preserve">tarifa o porcentaje distinto</w:t>
      </w:r>
      <w:r>
        <w:rPr>
          <w:color w:val="3F3D3D"/>
          <w:sz w:val="21"/>
          <w:szCs w:val="21"/>
        </w:rPr>
        <w:t xml:space="preserve"> para ese empleado; si se deja vacío, se usa la del concepto.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5. </w:t>
      </w:r>
      <w:r>
        <w:rPr>
          <w:color w:val="3F3D3D"/>
          <w:sz w:val="21"/>
          <w:szCs w:val="21"/>
        </w:rPr>
        <w:t xml:space="preserve">Guarde. La captura aparece en la tabla del periodo.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Los importes capturados se </w:t>
      </w:r>
      <w:r>
        <w:rPr>
          <w:b/>
          <w:bCs/>
          <w:color w:val="3F3D3D"/>
          <w:sz w:val="21"/>
          <w:szCs w:val="21"/>
        </w:rPr>
        <w:t xml:space="preserve">suman a los movimientos calculados por asistencia</w:t>
      </w:r>
      <w:r>
        <w:rPr>
          <w:color w:val="3F3D3D"/>
          <w:sz w:val="21"/>
          <w:szCs w:val="21"/>
        </w:rPr>
        <w:t xml:space="preserve"> y viajan en la misma exportación a Aspel NOI. Sólo se capturan en periodos abiertos; al cerrar el periodo quedan bloqueadas.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Fuente de datos y sincronización (conectores)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Cada concepto declara su </w:t>
      </w:r>
      <w:r>
        <w:rPr>
          <w:b/>
          <w:bCs/>
          <w:color w:val="3F3D3D"/>
          <w:sz w:val="21"/>
          <w:szCs w:val="21"/>
        </w:rPr>
        <w:t xml:space="preserve">fuente de datos</w:t>
      </w:r>
      <w:r>
        <w:rPr>
          <w:color w:val="3F3D3D"/>
          <w:sz w:val="21"/>
          <w:szCs w:val="21"/>
        </w:rPr>
        <w:t xml:space="preserve">. Hoy la captura es manual; en una </w:t>
      </w:r>
      <w:r>
        <w:rPr>
          <w:b/>
          <w:bCs/>
          <w:color w:val="3F3D3D"/>
          <w:sz w:val="21"/>
          <w:szCs w:val="21"/>
        </w:rPr>
        <w:t xml:space="preserve">fase posterior</w:t>
      </w:r>
      <w:r>
        <w:rPr>
          <w:color w:val="3F3D3D"/>
          <w:sz w:val="21"/>
          <w:szCs w:val="21"/>
        </w:rPr>
        <w:t xml:space="preserve"> cada fuente externa se sincroniza automáticamente (tal como la descarga del checador Hikvision está simulada hoy y en producción usa ISAPI/SDK). La columna </w:t>
      </w:r>
      <w:r>
        <w:rPr>
          <w:b/>
          <w:bCs/>
          <w:color w:val="3F3D3D"/>
          <w:sz w:val="21"/>
          <w:szCs w:val="21"/>
        </w:rPr>
        <w:t xml:space="preserve">Origen</w:t>
      </w:r>
      <w:r>
        <w:rPr>
          <w:color w:val="3F3D3D"/>
          <w:sz w:val="21"/>
          <w:szCs w:val="21"/>
        </w:rPr>
        <w:t xml:space="preserve"> de cada captura indica de dónde provino.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Alimenta</w:t>
            </w:r>
          </w:p>
        </w:tc>
        <w:tc>
          <w:tcPr>
            <w:tcW w:type="dxa" w:w="35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Origen en producción (fase posterior)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G3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Kilometraje del conductor</w:t>
            </w:r>
          </w:p>
        </w:tc>
        <w:tc>
          <w:tcPr>
            <w:tcW w:type="dxa" w:w="3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Telemetría de flotilla (G3 Drive)</w:t>
            </w:r>
          </w:p>
        </w:tc>
      </w:tr>
      <w:tr>
        <w:tc>
          <w:tcPr>
            <w:tcW w:type="dxa" w:w="15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MES</w:t>
            </w:r>
          </w:p>
        </w:tc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m² de costura en fabricación</w:t>
            </w:r>
          </w:p>
        </w:tc>
        <w:tc>
          <w:tcPr>
            <w:tcW w:type="dxa" w:w="35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Plataforma MES (órdenes de producción)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Aspel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Base de comisión de ventas</w:t>
            </w:r>
          </w:p>
        </w:tc>
        <w:tc>
          <w:tcPr>
            <w:tcW w:type="dxa" w:w="3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Aspel (CxC/SAE) al confirmarse el pago de facturas</w:t>
            </w:r>
          </w:p>
        </w:tc>
      </w:tr>
    </w:tbl>
    <w:p>
      <w:pPr>
        <w:spacing w:after="120" w:line="276"/>
      </w:pPr>
      <w:r>
        <w:rPr>
          <w:color w:val="3F3D3D"/>
          <w:sz w:val="21"/>
          <w:szCs w:val="21"/>
        </w:rPr>
        <w:t xml:space="preserve">Los botones </w:t>
      </w:r>
      <w:r>
        <w:rPr>
          <w:b/>
          <w:bCs/>
          <w:color w:val="3F3D3D"/>
          <w:sz w:val="21"/>
          <w:szCs w:val="21"/>
        </w:rPr>
        <w:t xml:space="preserve">⟳ G3</w:t>
      </w:r>
      <w:r>
        <w:rPr>
          <w:color w:val="3F3D3D"/>
          <w:sz w:val="21"/>
          <w:szCs w:val="21"/>
        </w:rPr>
        <w:t xml:space="preserve">, </w:t>
      </w:r>
      <w:r>
        <w:rPr>
          <w:b/>
          <w:bCs/>
          <w:color w:val="3F3D3D"/>
          <w:sz w:val="21"/>
          <w:szCs w:val="21"/>
        </w:rPr>
        <w:t xml:space="preserve">⟳ MES</w:t>
      </w:r>
      <w:r>
        <w:rPr>
          <w:color w:val="3F3D3D"/>
          <w:sz w:val="21"/>
          <w:szCs w:val="21"/>
        </w:rPr>
        <w:t xml:space="preserve"> y </w:t>
      </w:r>
      <w:r>
        <w:rPr>
          <w:b/>
          <w:bCs/>
          <w:color w:val="3F3D3D"/>
          <w:sz w:val="21"/>
          <w:szCs w:val="21"/>
        </w:rPr>
        <w:t xml:space="preserve">⟳ Aspel</w:t>
      </w:r>
      <w:r>
        <w:rPr>
          <w:color w:val="3F3D3D"/>
          <w:sz w:val="21"/>
          <w:szCs w:val="21"/>
        </w:rPr>
        <w:t xml:space="preserve"> del encabezado ejecutan la sincronización (hoy en modo simulado). La sincronización hace actualización por identificador externo: re-sincronizar actualiza las capturas de esa fuente sin duplicarlas, y no toca las capturas manuales.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509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/ edición de empleado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Mapeo con NOI: </w:t>
      </w:r>
      <w:r>
        <w:rPr>
          <w:color w:val="3F3D3D"/>
          <w:sz w:val="21"/>
          <w:szCs w:val="21"/>
        </w:rPr>
        <w:t xml:space="preserve">la </w:t>
      </w:r>
      <w:r>
        <w:rPr>
          <w:b/>
          <w:bCs/>
          <w:color w:val="3F3D3D"/>
          <w:sz w:val="21"/>
          <w:szCs w:val="21"/>
        </w:rPr>
        <w:t xml:space="preserve">Clave NOI</w:t>
      </w:r>
      <w:r>
        <w:rPr>
          <w:color w:val="3F3D3D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D3D"/>
          <w:sz w:val="21"/>
          <w:szCs w:val="21"/>
        </w:rPr>
        <w:t xml:space="preserve">ID en checador</w:t>
      </w:r>
      <w:r>
        <w:rPr>
          <w:color w:val="3F3D3D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Sincronizar checadas</w:t>
      </w:r>
      <w:r>
        <w:rPr>
          <w:color w:val="3F3D3D"/>
          <w:sz w:val="21"/>
          <w:szCs w:val="21"/>
        </w:rPr>
        <w:t xml:space="preserve">. Se descargan y procesan las checadas del rango.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Nota técnica: </w:t>
      </w:r>
      <w:r>
        <w:rPr>
          <w:color w:val="3F3D3D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13. Kiosco y reconocimiento facial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que ve el colaborador al registrar su entrada/salida por </w:t>
      </w:r>
      <w:r>
        <w:rPr>
          <w:b/>
          <w:bCs/>
          <w:color w:val="3F3D3D"/>
          <w:sz w:val="21"/>
          <w:szCs w:val="21"/>
        </w:rPr>
        <w:t xml:space="preserve">reconocimiento facial con la cámara frontal de una tablet o una webcam</w:t>
      </w:r>
      <w:r>
        <w:rPr>
          <w:color w:val="3F3D3D"/>
          <w:sz w:val="21"/>
          <w:szCs w:val="21"/>
        </w:rPr>
        <w:t xml:space="preserve">. El reconocimiento se ejecuta en el navegador, de forma local y sin servicios externos.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Kiosco de acceso con cámara en vivo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Enrolamiento del rostro (una vez por empleado)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En </w:t>
      </w:r>
      <w:r>
        <w:rPr>
          <w:b/>
          <w:bCs/>
          <w:color w:val="3F3D3D"/>
          <w:sz w:val="21"/>
          <w:szCs w:val="21"/>
        </w:rPr>
        <w:t xml:space="preserve">Empleados</w:t>
      </w:r>
      <w:r>
        <w:rPr>
          <w:color w:val="3F3D3D"/>
          <w:sz w:val="21"/>
          <w:szCs w:val="21"/>
        </w:rPr>
        <w:t xml:space="preserve">, la columna </w:t>
      </w:r>
      <w:r>
        <w:rPr>
          <w:b/>
          <w:bCs/>
          <w:color w:val="3F3D3D"/>
          <w:sz w:val="21"/>
          <w:szCs w:val="21"/>
        </w:rPr>
        <w:t xml:space="preserve">Biometría</w:t>
      </w:r>
      <w:r>
        <w:rPr>
          <w:color w:val="3F3D3D"/>
          <w:sz w:val="21"/>
          <w:szCs w:val="21"/>
        </w:rPr>
        <w:t xml:space="preserve"> indica el estado. Para registrar el rostro: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En la fila del empleado, presione </w:t>
      </w:r>
      <w:r>
        <w:rPr>
          <w:b/>
          <w:bCs/>
          <w:color w:val="3F3D3D"/>
          <w:sz w:val="21"/>
          <w:szCs w:val="21"/>
        </w:rPr>
        <w:t xml:space="preserve">📷 Registrar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Permita el acceso a la cámara y encuadre el rostro, bien iluminado y de frente.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Capturar rostro</w:t>
      </w:r>
      <w:r>
        <w:rPr>
          <w:color w:val="3F3D3D"/>
          <w:sz w:val="21"/>
          <w:szCs w:val="21"/>
        </w:rPr>
        <w:t xml:space="preserve"> y luego </w:t>
      </w:r>
      <w:r>
        <w:rPr>
          <w:b/>
          <w:bCs/>
          <w:color w:val="3F3D3D"/>
          <w:sz w:val="21"/>
          <w:szCs w:val="21"/>
        </w:rPr>
        <w:t xml:space="preserve">Guardar registro</w:t>
      </w:r>
      <w:r>
        <w:rPr>
          <w:color w:val="3F3D3D"/>
          <w:sz w:val="21"/>
          <w:szCs w:val="21"/>
        </w:rPr>
        <w:t xml:space="preserve">. Se genera una plantilla facial (128 valores) que se guarda en el empleado.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Registro biométrico del rostro del empleado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Registro de acceso en el kiosco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Abra el kiosco desde </w:t>
      </w:r>
      <w:r>
        <w:rPr>
          <w:b/>
          <w:bCs/>
          <w:color w:val="3F3D3D"/>
          <w:sz w:val="21"/>
          <w:szCs w:val="21"/>
        </w:rPr>
        <w:t xml:space="preserve">Checador → Abrir modo kiosco</w:t>
      </w:r>
      <w:r>
        <w:rPr>
          <w:color w:val="3F3D3D"/>
          <w:sz w:val="21"/>
          <w:szCs w:val="21"/>
        </w:rPr>
        <w:t xml:space="preserve"> o en la dirección </w:t>
      </w:r>
      <w:r>
        <w:rPr>
          <w:b/>
          <w:bCs/>
          <w:color w:val="3F3D3D"/>
          <w:sz w:val="21"/>
          <w:szCs w:val="21"/>
        </w:rPr>
        <w:t xml:space="preserve">/kiosk</w:t>
      </w:r>
      <w:r>
        <w:rPr>
          <w:color w:val="3F3D3D"/>
          <w:sz w:val="21"/>
          <w:szCs w:val="21"/>
        </w:rPr>
        <w:t xml:space="preserve">. El colaborador se coloca frente a la cámara; el sistema identifica el rostro contra los enrolados y registra automáticamente la </w:t>
      </w:r>
      <w:r>
        <w:rPr>
          <w:b/>
          <w:bCs/>
          <w:color w:val="3F3D3D"/>
          <w:sz w:val="21"/>
          <w:szCs w:val="21"/>
        </w:rPr>
        <w:t xml:space="preserve">entrada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salida</w:t>
      </w:r>
      <w:r>
        <w:rPr>
          <w:color w:val="3F3D3D"/>
          <w:sz w:val="21"/>
          <w:szCs w:val="21"/>
        </w:rPr>
        <w:t xml:space="preserve">, mostrando la confirmación con nombre, hora y estatus.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Confirmación que ve el empleado al registrar su acceso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Respaldo: </w:t>
      </w:r>
      <w:r>
        <w:rPr>
          <w:color w:val="3F3D3D"/>
          <w:sz w:val="21"/>
          <w:szCs w:val="21"/>
        </w:rPr>
        <w:t xml:space="preserve">si la cámara no está disponible, el kiosco ofrece un registro manual por selección de nombre.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Requisito técnico: </w:t>
      </w:r>
      <w:r>
        <w:rPr>
          <w:color w:val="3F3D3D"/>
          <w:sz w:val="21"/>
          <w:szCs w:val="21"/>
        </w:rPr>
        <w:t xml:space="preserve">la cámara del navegador funciona en localhost o sobre HTTPS. Para una tablet en red local, sirva la plataforma por HTTPS.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14. Usuarios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Usuarios administrativos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plan Renta Operativa contempla </w:t>
      </w:r>
      <w:r>
        <w:rPr>
          <w:b/>
          <w:bCs/>
          <w:color w:val="3F3D3D"/>
          <w:sz w:val="21"/>
          <w:szCs w:val="21"/>
        </w:rPr>
        <w:t xml:space="preserve">hasta 5 usuarios administrativos</w:t>
      </w:r>
      <w:r>
        <w:rPr>
          <w:color w:val="3F3D3D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15. Bitácora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16. Recursos Humanos (RH)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Módulos administrativos de RH (grupo Recursos Humanos en la barra lateral): indicadores, recibos preliminares, saldos de vacaciones y tickets.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Indicadores RH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Tablero con % de asistencia, puntualidad y ausentismo, tiempo extra, empleados elegibles a bono, asistencia por área, top de retardos y pendientes por autorizar.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Indicadores de Recursos Humanos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Recibos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Genera </w:t>
      </w:r>
      <w:r>
        <w:rPr>
          <w:b/>
          <w:bCs/>
          <w:color w:val="3F3D3D"/>
          <w:sz w:val="21"/>
          <w:szCs w:val="21"/>
        </w:rPr>
        <w:t xml:space="preserve">recibos preliminares</w:t>
      </w:r>
      <w:r>
        <w:rPr>
          <w:color w:val="3F3D3D"/>
          <w:sz w:val="21"/>
          <w:szCs w:val="21"/>
        </w:rPr>
        <w:t xml:space="preserve"> del periodo a partir de la asistencia, incidencias, tiempo extra y bono (percepciones, deducciones y neto); cada recibo puede consultarse y descargarse.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Detalle de un recibo preliminar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Importante: </w:t>
      </w:r>
      <w:r>
        <w:rPr>
          <w:color w:val="3F3D3D"/>
          <w:sz w:val="21"/>
          <w:szCs w:val="21"/>
        </w:rPr>
        <w:t xml:space="preserve">los recibos son preliminares/informativos. El cálculo fiscal definitivo (ISR/IMSS) se realiza en Aspel NOI.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Vacaciones (saldos) y Tickets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Los saldos de vacaciones se calculan conforme a la Ley Federal del Trabajo (reforma 2023) según la antigüedad. La bandeja de tickets permite a RH responder y cambiar el estado (abierto, en proceso, resuelto).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Saldos de vacaciones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17. Portal del empleado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Autoservicio del colaborador. Se accede desde la pantalla de inicio eligiendo </w:t>
      </w:r>
      <w:r>
        <w:rPr>
          <w:b/>
          <w:bCs/>
          <w:color w:val="3F3D3D"/>
          <w:sz w:val="21"/>
          <w:szCs w:val="21"/>
        </w:rPr>
        <w:t xml:space="preserve">Empleado</w:t>
      </w:r>
      <w:r>
        <w:rPr>
          <w:color w:val="3F3D3D"/>
          <w:sz w:val="21"/>
          <w:szCs w:val="21"/>
        </w:rPr>
        <w:t xml:space="preserve"> e ingresando su </w:t>
      </w:r>
      <w:r>
        <w:rPr>
          <w:b/>
          <w:bCs/>
          <w:color w:val="3F3D3D"/>
          <w:sz w:val="21"/>
          <w:szCs w:val="21"/>
        </w:rPr>
        <w:t xml:space="preserve">código y PIN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Mi asistencia (portal del empleado)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Funciones del portal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 asistencia: </w:t>
      </w:r>
      <w:r>
        <w:rPr>
          <w:color w:val="3F3D3D"/>
          <w:sz w:val="21"/>
          <w:szCs w:val="21"/>
        </w:rPr>
        <w:t xml:space="preserve">indicadores y detalle diario del periodo (sólo su propia información).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Vacaciones y permisos: </w:t>
      </w:r>
      <w:r>
        <w:rPr>
          <w:color w:val="3F3D3D"/>
          <w:sz w:val="21"/>
          <w:szCs w:val="21"/>
        </w:rPr>
        <w:t xml:space="preserve">saldo y solicitud de vacaciones/permisos, que quedan pendientes hasta su autorización.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recibos: </w:t>
      </w:r>
      <w:r>
        <w:rPr>
          <w:color w:val="3F3D3D"/>
          <w:sz w:val="21"/>
          <w:szCs w:val="21"/>
        </w:rPr>
        <w:t xml:space="preserve">consulta y descarga de los recibos emitidos.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tickets: </w:t>
      </w:r>
      <w:r>
        <w:rPr>
          <w:color w:val="3F3D3D"/>
          <w:sz w:val="21"/>
          <w:szCs w:val="21"/>
        </w:rPr>
        <w:t xml:space="preserve">apertura y seguimiento de solicitudes a Recursos Humanos.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portal del empleado corresponde a la </w:t>
      </w:r>
      <w:r>
        <w:rPr>
          <w:b/>
          <w:bCs/>
          <w:color w:val="3F3D3D"/>
          <w:sz w:val="21"/>
          <w:szCs w:val="21"/>
        </w:rPr>
        <w:t xml:space="preserve">etapa siguiente</w:t>
      </w:r>
      <w:r>
        <w:rPr>
          <w:color w:val="3F3D3D"/>
          <w:sz w:val="21"/>
          <w:szCs w:val="21"/>
        </w:rPr>
        <w:t xml:space="preserve"> de la propuesta (crecimiento por módulos).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18. Referencia: motor de reglas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4. </w:t>
      </w:r>
      <w:r>
        <w:rPr>
          <w:color w:val="3F3D3D"/>
          <w:sz w:val="21"/>
          <w:szCs w:val="21"/>
        </w:rPr>
        <w:t xml:space="preserve">Entrada dentro de tolerancia → </w:t>
      </w:r>
      <w:r>
        <w:rPr>
          <w:b/>
          <w:bCs/>
          <w:color w:val="3F3D3D"/>
          <w:sz w:val="21"/>
          <w:szCs w:val="21"/>
        </w:rPr>
        <w:t xml:space="preserve">Asistencia</w:t>
      </w:r>
      <w:r>
        <w:rPr>
          <w:color w:val="3F3D3D"/>
          <w:sz w:val="21"/>
          <w:szCs w:val="21"/>
        </w:rPr>
        <w:t xml:space="preserve">; hasta el umbral → </w:t>
      </w:r>
      <w:r>
        <w:rPr>
          <w:b/>
          <w:bCs/>
          <w:color w:val="3F3D3D"/>
          <w:sz w:val="21"/>
          <w:szCs w:val="21"/>
        </w:rPr>
        <w:t xml:space="preserve">Retardo</w:t>
      </w:r>
      <w:r>
        <w:rPr>
          <w:color w:val="3F3D3D"/>
          <w:sz w:val="21"/>
          <w:szCs w:val="21"/>
        </w:rPr>
        <w:t xml:space="preserve">; más allá → </w:t>
      </w:r>
      <w:r>
        <w:rPr>
          <w:b/>
          <w:bCs/>
          <w:color w:val="3F3D3D"/>
          <w:sz w:val="21"/>
          <w:szCs w:val="21"/>
        </w:rPr>
        <w:t xml:space="preserve">Falta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5. </w:t>
      </w:r>
      <w:r>
        <w:rPr>
          <w:color w:val="3F3D3D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Bono de puntualidad. </w:t>
      </w:r>
      <w:r>
        <w:rPr>
          <w:color w:val="3F3D3D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19.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D3237" w:sz="8" w:space="12"/>
        </w:pBdr>
        <w:spacing w:before="500"/>
        <w:jc w:val="center"/>
      </w:pPr>
      <w:r>
        <w:rPr>
          <w:b/>
          <w:bCs/>
          <w:color w:val="232121"/>
          <w:sz w:val="20"/>
          <w:szCs w:val="20"/>
        </w:rPr>
        <w:t xml:space="preserve">Mallatex · Plataforma de Asistencia · Aspel NOI</w:t>
      </w:r>
      <w:r>
        <w:rPr>
          <w:color w:val="606062"/>
          <w:sz w:val="20"/>
          <w:szCs w:val="20"/>
        </w:rPr>
        <w:t xml:space="preserve">   ·   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D3D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D3237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212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6e0963214950d681f1609e89ed866a05cd8087.png"/><Relationship Id="rId10" Type="http://schemas.openxmlformats.org/officeDocument/2006/relationships/image" Target="media/a30d7140c37c6f7f6e7befddd08a09d664e564e6.png"/><Relationship Id="rId11" Type="http://schemas.openxmlformats.org/officeDocument/2006/relationships/image" Target="media/8829286881dba3745c162a64b99a553e9273223d.png"/><Relationship Id="rId12" Type="http://schemas.openxmlformats.org/officeDocument/2006/relationships/image" Target="media/cd558d5bad9958d8b4f893b3985efaf4511bf0d4.png"/><Relationship Id="rId13" Type="http://schemas.openxmlformats.org/officeDocument/2006/relationships/image" Target="media/23e5fdd0ce82c2d4805ffe6a09572f5ba077d736.png"/><Relationship Id="rId14" Type="http://schemas.openxmlformats.org/officeDocument/2006/relationships/image" Target="media/b2c45c84056bcb9cb2cf8f65decb21e5c5126fd5.png"/><Relationship Id="rId15" Type="http://schemas.openxmlformats.org/officeDocument/2006/relationships/image" Target="media/e1e02e57cb6d29accec32856993457ec25db4eb3.png"/><Relationship Id="rId16" Type="http://schemas.openxmlformats.org/officeDocument/2006/relationships/image" Target="media/29a07d5fd409271ae0db3b13fc81978ab6b47d93.png"/><Relationship Id="rId17" Type="http://schemas.openxmlformats.org/officeDocument/2006/relationships/image" Target="media/aef8e6a9fb67a0e095eed3568c8bec0fac04a828.png"/><Relationship Id="rId18" Type="http://schemas.openxmlformats.org/officeDocument/2006/relationships/image" Target="media/86889abf71cba441954a06b6ae268b5abf07c52b.png"/><Relationship Id="rId19" Type="http://schemas.openxmlformats.org/officeDocument/2006/relationships/image" Target="media/e2354448cfb127f9ec1776e16652b3a0a00edd3d.png"/><Relationship Id="rId20" Type="http://schemas.openxmlformats.org/officeDocument/2006/relationships/image" Target="media/f4c5f8f8fa6ec986759d300079bdcd64ca8d416f.png"/><Relationship Id="rId21" Type="http://schemas.openxmlformats.org/officeDocument/2006/relationships/image" Target="media/acf36d2a7291dd2270cb593784b87dfbbf4d068b.png"/><Relationship Id="rId22" Type="http://schemas.openxmlformats.org/officeDocument/2006/relationships/image" Target="media/ed628b23a8b9667d0572dd6a7dd66a2e0e575d44.png"/><Relationship Id="rId23" Type="http://schemas.openxmlformats.org/officeDocument/2006/relationships/image" Target="media/d1a6fbe17bb7108b25215422484251d05f26a3d4.png"/><Relationship Id="rId24" Type="http://schemas.openxmlformats.org/officeDocument/2006/relationships/image" Target="media/6c3f666db623274d08ee2bb0d1de4b9515ab29fa.png"/><Relationship Id="rId25" Type="http://schemas.openxmlformats.org/officeDocument/2006/relationships/image" Target="media/6b88512a0c19e56b3fa02d18636cc840071fedd7.png"/><Relationship Id="rId26" Type="http://schemas.openxmlformats.org/officeDocument/2006/relationships/image" Target="media/3f366ed767a80044414c4043ff7cb1ba4ca99756.png"/><Relationship Id="rId27" Type="http://schemas.openxmlformats.org/officeDocument/2006/relationships/image" Target="media/b5e71d121a84470646624579dcfbe37bff11a15d.png"/><Relationship Id="rId28" Type="http://schemas.openxmlformats.org/officeDocument/2006/relationships/image" Target="media/a2bff402d7aac4410d23f0b128649703a339c1cb.png"/><Relationship Id="rId29" Type="http://schemas.openxmlformats.org/officeDocument/2006/relationships/image" Target="media/3b442d8b5d5ad802d9b7901dc4e6bd6da0020454.png"/><Relationship Id="rId30" Type="http://schemas.openxmlformats.org/officeDocument/2006/relationships/image" Target="media/26c765f6be1e6dae20d78fafe5f34997bcdb6861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2026-07-25T00:11:20.735Z</dcterms:created>
  <dcterms:modified xsi:type="dcterms:W3CDTF">2026-07-25T00:11:20.735Z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