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rFonts w:ascii="Arial" w:hAnsi="Arial"/>
          <w:b/>
          <w:i w:val="1"/>
          <w:iCs w:val="1"/>
          <w:color w:val="000000"/>
          <w:sz w:val="24"/>
          <w:szCs w:val="24"/>
          <w:rtl w:val="0"/>
        </w:rPr>
        <w:t xml:space="preserve">CÂMPUS 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220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B">
      <w:pPr>
        <w:spacing w:line="276" w:lineRule="auto" w:before="0" w:after="26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14">
      <w:pPr>
        <w:spacing w:line="276" w:lineRule="auto" w:before="0" w:after="42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1F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pageBreakBefore/>
        <w:spacing w:line="276" w:lineRule="auto" w:before="0" w:after="2400"/>
        <w:ind w:firstLine="0" w:lef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EDUARDO HENRIQUE GUIMARÃES MARQUES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29">
      <w:pPr>
        <w:spacing w:line="276" w:lineRule="auto" w:before="0" w:after="180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33">
      <w:pPr>
        <w:spacing w:after="160" w:line="240" w:lineRule="auto" w:before="0"/>
        <w:ind w:left="4535" w:firstLine="0"/>
        <w:jc w:val="both"/>
        <w:rPr>
          <w:sz w:val="20"/>
          <w:szCs w:val="20"/>
        </w:rPr>
      </w:pPr>
      <w:r>
        <w:rPr>
          <w:rFonts w:ascii="Arial" w:hAnsi="Arial"/>
          <w:b w:val="0"/>
          <w:color w:val="000000"/>
          <w:sz w:val="20"/>
        </w:rP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2900" w:line="240" w:lineRule="auto" w:before="0"/>
        <w:ind w:left="4535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hAnsi="Arial"/>
          <w:b w:val="0"/>
          <w:color w:val="000000"/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D">
      <w:pPr>
        <w:spacing w:after="0" w:line="276" w:lineRule="auto" w:before="0"/>
        <w:ind w:firstLine="0" w:left="0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276" w:lineRule="auto" w:before="0"/>
        <w:ind w:firstLine="0" w:left="0"/>
        <w:jc w:val="center"/>
        <w:rPr/>
      </w:pP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Title"/>
        <w:pageBreakBefore/>
        <w:spacing w:line="276" w:lineRule="auto" w:before="0" w:after="200"/>
        <w:ind w:firstLine="0" w:left="0"/>
        <w:jc w:val="center"/>
        <w:rPr>
          <w:b w:val="1"/>
          <w:bCs w:val="1"/>
        </w:rPr>
      </w:pPr>
      <w:r>
        <w:rPr>
          <w:rFonts w:ascii="Arial" w:hAnsi="Arial"/>
          <w:b/>
          <w:color w:val="000000"/>
          <w:sz w:val="24"/>
        </w:rPr>
        <w:t>SUMÁRIO</w:t>
      </w:r>
    </w:p>
    <w:tbl>
      <w:tblPr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2" w:type="dxa"/>
          <w:left w:w="20" w:type="dxa"/>
          <w:bottom w:w="12" w:type="dxa"/>
          <w:right w:w="20" w:type="dxa"/>
        </w:tblCellMar>
        <w:tblLook w:val="0000"/>
      </w:tblPr>
      <w:tblGrid>
        <w:gridCol w:w="8070"/>
        <w:gridCol w:w="1000"/>
      </w:tblGrid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1 INTRODUÇÃO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 OBJETIVOS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1.1.1 Objetivo Geral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1.1.2 Objetivos Específicos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1.2 Justificativa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2 REFERENCIAL TEÓRICO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2.1 Contexto Neurofisiológico e Desafios da Análise Computacional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2.2 Desenvolvimento Ágil e Arquitetura Orientada a Serviços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2.3 Tecnologias Full-Stack e Persistência de Dados Biomédicos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2.4 Inteligência Artificial Híbrida e Explicabilidade (XAI)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2.5 Transformação Digital no Diagnóstico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10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3 METODOLOGIA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3.1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3.2 Desenvolvimento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3.3 Tecnologias e ferramentas utilizadas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3.4 Desenvolvimento incremental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3.5 Testes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3.6 Implementação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4 SOFTWARE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4.1 Descrição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4.2 Levantamento de Requisitos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4.3 Requisitos Funcionais e Não Funcionais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4.4 Casos de uso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4.5 Arquitetura do Sistema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4.6 Fluxograma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4.7 Modelo Entidade Relacionamento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4.8 Protótipos de baixa fidelidade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26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5 RESULTADOS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5.1 Interface implementada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32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5.2 Protocolo experimental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33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5.3 Desempenho do modelo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5.4 Evolução experimental e estabilidade entre seeds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5.5 Análise dos erros e generalização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before="0" w:after="0"/>
            </w:pPr>
            <w:r>
              <w:rPr>
                <w:sz w:val="19"/>
              </w:rPr>
              <w:t>5.6 Verificação do software e dos artefatos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36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6 DISCUSSÃO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6.1 Limitações e ameaças à validade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7 CONCLUSÃO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REFERÊNCIAS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40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APÊNDICE A - RECURSOS E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A.1 Recursos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  <w:tr>
        <w:trPr>
          <w:cantSplit/>
        </w:trPr>
        <w:tc>
          <w:tcPr>
            <w:tcW w:w="8070" w:type="dxa"/>
            <w:tcMar>
              <w:top w:w="12" w:type="dxa"/>
              <w:left w:w="10" w:type="dxa"/>
              <w:bottom w:w="12" w:type="dxa"/>
              <w:right w:w="40" w:type="dxa"/>
            </w:tcMar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A.2 Cronograma</w:t>
            </w:r>
          </w:p>
        </w:tc>
        <w:tc>
          <w:tcPr>
            <w:tcW w:w="1000" w:type="dxa"/>
            <w:tcMar>
              <w:top w:w="12" w:type="dxa"/>
              <w:left w:w="20" w:type="dxa"/>
              <w:bottom w:w="12" w:type="dxa"/>
              <w:right w:w="10" w:type="dxa"/>
            </w:tcMar>
            <w:vAlign w:val="center"/>
          </w:tcPr>
          <w:p>
            <w:r>
              <w:t>44</w:t>
            </w:r>
          </w:p>
        </w:tc>
      </w:tr>
    </w:tbl>
    <w:p w:rsidR="00000000" w:rsidDel="00000000" w:rsidP="00000000" w:rsidRDefault="00000000" w:rsidRPr="00000000" w14:paraId="00000060">
      <w:pPr>
        <w:pStyle w:val="Title"/>
        <w:spacing w:after="0" w:line="240" w:lineRule="auto" w:before="0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sz w:val="2"/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/>
        <w:pageBreakBefore w:val="0"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 INTRODUÇÃO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2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</w:rPr>
        <w:t>Diante dessa lacuna, o presente trabalho desenvolveu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keepNext w:val="0"/>
        <w:spacing w:after="0" w:before="0" w:line="360" w:lineRule="auto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Arial" w:hAnsi="Arial"/>
          <w:color w:val="000000"/>
          <w:sz w:val="24"/>
        </w:rP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1.1 OBJETIVOS</w:t>
      </w:r>
    </w:p>
    <w:p w:rsidR="00000000" w:rsidDel="00000000" w:rsidP="00000000" w:rsidRDefault="00000000" w:rsidRPr="00000000" w14:paraId="00000067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8">
      <w:pPr>
        <w:keepNext w:val="0"/>
        <w:spacing w:after="0" w:before="0" w:line="360" w:lineRule="auto"/>
        <w:ind w:firstLine="709" w:left="0"/>
        <w:jc w:val="both"/>
        <w:rPr>
          <w:b w:val="1"/>
          <w:bCs w:val="1"/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A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t>• Investigar Entropia de Shannon e Dinâmica Simbólica como características candidatas e selecionar, por avaliação experimental, a representação de entrada da CNN-BiLSTM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09" w:hanging="283"/>
        <w:jc w:val="both"/>
        <w:rPr/>
      </w:pPr>
      <w:r>
        <w:rPr>
          <w:rFonts w:ascii="Arial" w:hAnsi="Arial"/>
          <w:b w:val="0"/>
          <w:color w:val="000000"/>
          <w:sz w:val="24"/>
        </w:rPr>
        <w:t>• 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1.2 Justificativa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9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Aumenta a Sensibilidade:</w:t>
      </w:r>
      <w:r>
        <w:rPr>
          <w:rFonts w:ascii="Arial" w:hAnsi="Arial"/>
          <w:b w:val="0"/>
          <w:color w:val="000000"/>
          <w:sz w:val="24"/>
        </w:rPr>
        <w:t xml:space="preserve">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Automatiza a Triagem:</w:t>
      </w:r>
      <w:r>
        <w:rPr>
          <w:rFonts w:ascii="Arial" w:hAnsi="Arial"/>
          <w:b w:val="0"/>
          <w:color w:val="000000"/>
          <w:sz w:val="24"/>
        </w:rPr>
        <w:t xml:space="preserve">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Padroniza a Análise:</w:t>
      </w:r>
      <w:r>
        <w:rPr>
          <w:rFonts w:ascii="Arial" w:hAnsi="Arial"/>
          <w:b w:val="0"/>
          <w:color w:val="000000"/>
          <w:sz w:val="24"/>
        </w:rPr>
        <w:t xml:space="preserve">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2.2 Desenvolvimento Ágil e Arquitetura Orientada a Serviços</w:t>
      </w:r>
    </w:p>
    <w:p w:rsidR="00000000" w:rsidDel="00000000" w:rsidP="00000000" w:rsidRDefault="00000000" w:rsidRPr="00000000" w14:paraId="0000008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7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2.3 Tecnologias Full-Stack e Persistência de Dados Biomédicos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8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keepNext w:val="0"/>
        <w:spacing w:after="0" w:line="360" w:lineRule="auto" w:before="0"/>
        <w:ind w:firstLine="709" w:left="0"/>
        <w:jc w:val="both"/>
        <w:rPr/>
      </w:pPr>
      <w:r>
        <w:t>Na versão final, o PostgreSQL armazena os dados cadastrais e metadados dos exames, enquanto os arquivos EDF e os artefatos de IA permanecem no sistema de arquivos, com seus caminhos referenciados pela aplicação. A conexão e a leitura dos registros foram verificadas no fluxo local da API. Não foram utilizados pgvector nem banco vetorial.</w:t>
      </w:r>
    </w:p>
    <w:p w:rsidR="00000000" w:rsidDel="00000000" w:rsidP="00000000" w:rsidRDefault="00000000" w:rsidRPr="00000000" w14:paraId="0000008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2.4 Inteligência Artificial Híbrida e Explicabilidade (XAI)</w:t>
      </w:r>
    </w:p>
    <w:p w:rsidR="00000000" w:rsidDel="00000000" w:rsidP="00000000" w:rsidRDefault="00000000" w:rsidRPr="00000000" w14:paraId="0000008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keepNext w:val="0"/>
        <w:spacing w:after="0" w:line="360" w:lineRule="auto" w:before="0"/>
        <w:ind w:firstLine="709" w:left="0"/>
        <w:jc w:val="both"/>
        <w:rPr/>
      </w:pPr>
      <w:r>
        <w:t>No TCC I, a proposta de CNN-LSTM partia da análise temporal do EEG e previa Entropia de Shannon e Dinâmica Simbólica como entradas possíveis. Durante a implementação, diferentes representações foram avaliadas. A versão final utiliza uma CNN-BiLSTM sobre sequências de características tempo-frequência extraídas por canal, e não sobre todas as amostras brutas da onda. A parte convolucional aprende padrões nessa representação; a parte recorrente modela sua evolução temporal. Assim, a arquitetura implementada mantém o objetivo de detectar intervalos suspeitos, mas não corresponde literalmente à entrada bruta descrita na proposta inicial (HOCHREITER; SCHMIDHUBER, 1997; YAMASHITA et al., 2018).</w:t>
      </w:r>
    </w:p>
    <w:p>
      <w:pPr>
        <w:keepNext w:val="0"/>
        <w:spacing w:line="360" w:lineRule="auto" w:before="0" w:after="0"/>
        <w:ind w:firstLine="709" w:left="0"/>
        <w:jc w:val="both"/>
      </w:pPr>
      <w:r>
        <w:t>O trabalho anterior de Moreira et al. (2025) integra o contexto acadêmico que motivou a investigação de características matemáticas e modelos de IA. Seus resultados numéricos não são utilizados aqui como evidência de desempenho em EEG, pois não foi possível conferir no relatório original o protocolo e os valores atribuídos a essa comparação. A escolha da CNN-BiLSTM e de sua representação de entrada fundamenta-se nos experimentos controlados descritos neste trabalho, sem transferir acurácias de outro estudo para a avaliação da CHB-MIT.</w:t>
      </w:r>
    </w:p>
    <w:p w:rsidR="00000000" w:rsidDel="00000000" w:rsidP="00000000" w:rsidRDefault="00000000" w:rsidRPr="00000000" w14:paraId="0000008D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Favorece a Interpretabilidade:</w:t>
      </w:r>
      <w:r>
        <w:rPr>
          <w:rFonts w:ascii="Arial" w:hAnsi="Arial"/>
          <w:b w:val="0"/>
          <w:color w:val="000000"/>
          <w:sz w:val="24"/>
        </w:rPr>
        <w:t xml:space="preserve">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Apoia a Revisão Clínica:</w:t>
      </w:r>
      <w:r>
        <w:rPr>
          <w:rFonts w:ascii="Arial" w:hAnsi="Arial"/>
          <w:b w:val="0"/>
          <w:color w:val="000000"/>
          <w:sz w:val="24"/>
        </w:rPr>
        <w:t xml:space="preserve">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2.5 Transformação Digital no Diagnóstico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9">
      <w:pPr>
        <w:pStyle w:val="Heading1"/>
        <w:keepNext/>
        <w:pageBreakBefore/>
        <w:spacing w:line="240" w:lineRule="auto" w:before="0" w:after="80"/>
        <w:ind w:firstLine="0" w:left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 METODOLOGIA</w:t>
      </w:r>
    </w:p>
    <w:p w:rsidR="00000000" w:rsidDel="00000000" w:rsidP="00000000" w:rsidRDefault="00000000" w:rsidRPr="00000000" w14:paraId="0000009A">
      <w:pPr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</w:rPr>
        <w:t>O desenvolvimento foi organizado nas etapas apresentadas na Figura 1, desde o levantamento de requisitos até a integração e a verificação técnica do protótipo.</w:t>
      </w:r>
    </w:p>
    <w:p>
      <w:pPr>
        <w:keepNext/>
        <w:spacing w:line="240" w:lineRule="auto" w:after="80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 – Etapas executadas no desenvolvimento e na avaliação do projeto.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1572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15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9B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C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rPr>
          <w:rFonts w:ascii="Arial" w:hAnsi="Arial"/>
          <w:color w:val="000000"/>
          <w:sz w:val="24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keepNext/>
        <w:spacing w:line="240" w:lineRule="auto" w:before="160" w:after="80"/>
        <w:ind w:firstLine="0" w:left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1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keepNext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 w:left="0"/>
        <w:jc w:val="both"/>
        <w:rPr>
          <w:color w:val="1b1c1d"/>
        </w:rPr>
      </w:pPr>
      <w:r>
        <w:rPr>
          <w:rFonts w:ascii="Arial" w:hAnsi="Arial"/>
          <w:color w:val="000000"/>
          <w:sz w:val="24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3.3 Tecnologias e ferramentas utilizadas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keepNext w:val="0"/>
        <w:spacing w:after="0" w:line="360" w:lineRule="auto" w:before="0"/>
        <w:ind w:firstLine="709" w:left="0"/>
        <w:jc w:val="both"/>
        <w:rPr/>
      </w:pPr>
      <w:r>
        <w:t>O backend foi desenvolvido com Python 3.11.9, FastAPI 0.115.6 e SQLAlchemy 2.0.36. Na configuração final, o PostgreSQL realiza a persistência relacional; EDFs, modelos e mapas permanecem no sistema de arquivos. A conexão com a API e a leitura dos registros foram verificadas após a migração dos dados locais. O ambiente Python é isolado por venv.</w:t>
      </w:r>
    </w:p>
    <w:p w:rsidR="00000000" w:rsidDel="00000000" w:rsidP="00000000" w:rsidRDefault="00000000" w:rsidRPr="00000000" w14:paraId="000000A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9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A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 (Infraestrutura e Ingestão):</w:t>
      </w:r>
      <w:r>
        <w:rPr>
          <w:rFonts w:ascii="Arial" w:hAnsi="Arial"/>
          <w:b w:val="0"/>
          <w:color w:val="000000"/>
          <w:sz w:val="24"/>
        </w:rPr>
        <w:t xml:space="preserve">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>
        <w:t>• Incremento II (Núcleo de Inteligência): o extrator histórico implementou Entropia de Shannon e medidas de Dinâmica Simbólica, que foram investigadas como alternativas de representação. Após os experimentos, a CNN-BiLSTM final passou a receber 15 características tempo-frequência por canal, incluindo entropia espectral, mas não aquelas características históricas. A rede produz probabilidades ictais por passo temporal. A separação dos grupos ocorreu antes do janelamento e da amostragem.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Incremento III (Interface e Explicabilidade):</w:t>
      </w:r>
      <w:r>
        <w:rPr>
          <w:rFonts w:ascii="Arial" w:hAnsi="Arial"/>
          <w:b w:val="0"/>
          <w:color w:val="000000"/>
          <w:sz w:val="24"/>
        </w:rPr>
        <w:t xml:space="preserve">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keepNext w:val="0"/>
        <w:spacing w:after="0" w:line="360" w:lineRule="auto" w:before="0"/>
        <w:ind w:firstLine="709" w:left="0"/>
        <w:jc w:val="both"/>
        <w:rPr>
          <w:color w:val="ff0000"/>
        </w:rPr>
      </w:pPr>
      <w:r>
        <w:rPr>
          <w:rFonts w:ascii="Arial" w:hAnsi="Arial"/>
          <w:color w:val="000000"/>
          <w:sz w:val="24"/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2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3.5 Testes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>
        <w:t>• Dados e métricas de IA: a base final foi a CHB-MIT (SHOEB, 2009), com registros contínuos multicanais em EDF e anotações temporais das crises. Foram destinados ao treino 77 EDFs de 17 grupos de pacientes e à calibração 13 EDFs de chb16, chb19, chb20 e chb24. A separação ocorreu por paciente antes do janelamento. Foram avaliados precisão, sensibilidade e F1 por EDF e por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Desempenho e carga:</w:t>
      </w:r>
      <w:r>
        <w:rPr>
          <w:rFonts w:ascii="Arial" w:hAnsi="Arial"/>
          <w:b w:val="0"/>
          <w:color w:val="000000"/>
          <w:sz w:val="24"/>
        </w:rPr>
        <w:t xml:space="preserve">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709" w:hanging="283"/>
        <w:jc w:val="both"/>
        <w:rPr>
          <w:sz w:val="24"/>
          <w:szCs w:val="24"/>
        </w:rPr>
      </w:pPr>
      <w:r/>
      <w:r>
        <w:rPr>
          <w:rFonts w:ascii="Arial" w:hAnsi="Arial"/>
          <w:b/>
          <w:color w:val="000000"/>
          <w:sz w:val="24"/>
        </w:rPr>
        <w:t>• Usabilidade e interpretabilidade:</w:t>
      </w:r>
      <w:r>
        <w:rPr>
          <w:rFonts w:ascii="Arial" w:hAnsi="Arial"/>
          <w:b w:val="0"/>
          <w:color w:val="000000"/>
          <w:sz w:val="24"/>
        </w:rPr>
        <w:t xml:space="preserve">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9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D4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 SOFTWARE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4.1 Descrição</w:t>
      </w:r>
    </w:p>
    <w:p w:rsidR="00000000" w:rsidDel="00000000" w:rsidP="00000000" w:rsidRDefault="00000000" w:rsidRPr="00000000" w14:paraId="000000D6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4.2 Levantamento de Requisitos</w:t>
      </w:r>
    </w:p>
    <w:p w:rsidR="00000000" w:rsidDel="00000000" w:rsidP="00000000" w:rsidRDefault="00000000" w:rsidRPr="00000000" w14:paraId="000000D9">
      <w:pPr>
        <w:keepNext w:val="0"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4.3 Requisitos Funcionais e Não Funcionais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keepNext/>
        <w:spacing w:line="360" w:lineRule="auto" w:before="160" w:after="8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Funcionais:</w:t>
      </w:r>
    </w:p>
    <w:p w:rsidR="00000000" w:rsidDel="00000000" w:rsidP="00000000" w:rsidRDefault="00000000" w:rsidRPr="00000000" w14:paraId="000000DE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Autenticar Usuário:</w:t>
      </w:r>
      <w:r>
        <w:rPr>
          <w:rFonts w:ascii="Arial" w:hAnsi="Arial"/>
          <w:b w:val="0"/>
          <w:color w:val="000000"/>
          <w:sz w:val="24"/>
        </w:rPr>
        <w:t xml:space="preserve">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Gerenciar Pacientes:</w:t>
      </w:r>
      <w:r>
        <w:rPr>
          <w:rFonts w:ascii="Arial" w:hAnsi="Arial"/>
          <w:b w:val="0"/>
          <w:color w:val="000000"/>
          <w:sz w:val="24"/>
        </w:rPr>
        <w:t xml:space="preserve">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Importar Exame (.EDF):</w:t>
      </w:r>
      <w:r>
        <w:rPr>
          <w:rFonts w:ascii="Arial" w:hAnsi="Arial"/>
          <w:b w:val="0"/>
          <w:color w:val="000000"/>
          <w:sz w:val="24"/>
        </w:rPr>
        <w:t xml:space="preserve"> O sistema deve fornecer mecanismos para o upload e a ingestão de arquivos de sinais biomédicos estruturados no formato padrão universal .EDF.</w:t>
      </w:r>
    </w:p>
    <w:p w:rsidR="00000000" w:rsidDel="00000000" w:rsidP="00000000" w:rsidRDefault="00000000" w:rsidRPr="00000000" w14:paraId="000000E1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Extrair Metadados do Sinal:</w:t>
      </w:r>
      <w:r>
        <w:rPr>
          <w:rFonts w:ascii="Arial" w:hAnsi="Arial"/>
          <w:b w:val="0"/>
          <w:color w:val="000000"/>
          <w:sz w:val="24"/>
        </w:rPr>
        <w:t xml:space="preserve"> O sistema deve decodificar o cabeçalho (header)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Visualizar Sinais de EEG:</w:t>
      </w:r>
      <w:r>
        <w:rPr>
          <w:rFonts w:ascii="Arial" w:hAnsi="Arial"/>
          <w:b w:val="0"/>
          <w:color w:val="000000"/>
          <w:sz w:val="24"/>
        </w:rPr>
        <w:t xml:space="preserve">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6 – Manipulação Interativa de Ondas:</w:t>
      </w:r>
      <w:r>
        <w:rPr>
          <w:rFonts w:ascii="Arial" w:hAnsi="Arial"/>
          <w:b w:val="0"/>
          <w:color w:val="000000"/>
          <w:sz w:val="24"/>
        </w:rPr>
        <w:t xml:space="preserve">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spacing w:after="0" w:line="360" w:lineRule="auto" w:before="0"/>
        <w:ind w:left="709" w:firstLine="0"/>
        <w:jc w:val="both"/>
        <w:rPr/>
      </w:pPr>
      <w:r>
        <w:t>7 – Solicitar Análise Preditiva: o sistema deve acionar o modelo CNN-BiLSTM sobre um exame EDF já importado para gerar probabilidades ictais por intervalo e destacar trechos suspeitos para revisão médica.</w:t>
      </w:r>
    </w:p>
    <w:p w:rsidR="00000000" w:rsidDel="00000000" w:rsidP="00000000" w:rsidRDefault="00000000" w:rsidRPr="00000000" w14:paraId="000000E5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8 – Exibir Justificativa Visual (XAI):</w:t>
      </w:r>
      <w:r>
        <w:rPr>
          <w:rFonts w:ascii="Arial" w:hAnsi="Arial"/>
          <w:b w:val="0"/>
          <w:color w:val="000000"/>
          <w:sz w:val="24"/>
        </w:rPr>
        <w:t xml:space="preserve">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9 – Emitir Laudo Médico:</w:t>
      </w:r>
      <w:r>
        <w:rPr>
          <w:rFonts w:ascii="Arial" w:hAnsi="Arial"/>
          <w:b w:val="0"/>
          <w:color w:val="000000"/>
          <w:sz w:val="24"/>
        </w:rPr>
        <w:t xml:space="preserve">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keepNext/>
        <w:spacing w:after="80" w:line="360" w:lineRule="auto" w:before="160"/>
        <w:ind w:firstLine="0" w:lef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Requisitos Não Funcionais:</w:t>
      </w:r>
    </w:p>
    <w:p w:rsidR="00000000" w:rsidDel="00000000" w:rsidP="00000000" w:rsidRDefault="00000000" w:rsidRPr="00000000" w14:paraId="000000E8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1 – Desempenho (Processamento Assíncrono):</w:t>
      </w:r>
      <w:r>
        <w:rPr>
          <w:rFonts w:ascii="Arial" w:hAnsi="Arial"/>
          <w:b w:val="0"/>
          <w:color w:val="000000"/>
          <w:sz w:val="24"/>
        </w:rPr>
        <w:t xml:space="preserve"> A execução do pipeline de engenharia de features matemáticas e inferência da rede neural profunda não deve bloquear ou congelar a interface de visualização do usuário (client-side).</w:t>
      </w:r>
    </w:p>
    <w:p w:rsidR="00000000" w:rsidDel="00000000" w:rsidP="00000000" w:rsidRDefault="00000000" w:rsidRPr="00000000" w14:paraId="000000E9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 – Compatibilidade e Portabilidade:</w:t>
      </w:r>
      <w:r>
        <w:rPr>
          <w:rFonts w:ascii="Arial" w:hAnsi="Arial"/>
          <w:b w:val="0"/>
          <w:color w:val="000000"/>
          <w:sz w:val="24"/>
        </w:rPr>
        <w:t xml:space="preserve">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3 – Segurança e Privacidade:</w:t>
      </w:r>
      <w:r>
        <w:rPr>
          <w:rFonts w:ascii="Arial" w:hAnsi="Arial"/>
          <w:b w:val="0"/>
          <w:color w:val="000000"/>
          <w:sz w:val="24"/>
        </w:rPr>
        <w:t xml:space="preserve">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4 – Usabilidade e Responsividade:</w:t>
      </w:r>
      <w:r>
        <w:rPr>
          <w:rFonts w:ascii="Arial" w:hAnsi="Arial"/>
          <w:b w:val="0"/>
          <w:color w:val="000000"/>
          <w:sz w:val="24"/>
        </w:rPr>
        <w:t xml:space="preserve">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spacing w:after="0" w:line="360" w:lineRule="auto" w:before="0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5 – Confiabilidade e Robustez de I/O:</w:t>
      </w:r>
      <w:r>
        <w:rPr>
          <w:rFonts w:ascii="Arial" w:hAnsi="Arial"/>
          <w:b w:val="0"/>
          <w:color w:val="000000"/>
          <w:sz w:val="24"/>
        </w:rPr>
        <w:t xml:space="preserve">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E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4.4 Casos de uso</w:t>
      </w:r>
    </w:p>
    <w:p w:rsidR="00000000" w:rsidDel="00000000" w:rsidP="00000000" w:rsidRDefault="00000000" w:rsidRPr="00000000" w14:paraId="000000EF">
      <w:pPr>
        <w:keepNext w:val="0"/>
        <w:spacing w:line="360" w:lineRule="auto" w:before="0" w:after="0"/>
        <w:ind w:firstLine="709" w:left="0"/>
        <w:jc w:val="both"/>
        <w:rPr/>
      </w:pPr>
      <w:r>
        <w:t>Segundo Pressman e Maxim (2016), os casos de uso descrevem as interações entre atores e funcionalidades do sistema. Neste protótipo, o médico é o ator principal; a extração de características e a inferência são operações internas acionadas após a solicitação de análise de um exame previamente importado.</w:t>
      </w:r>
    </w:p>
    <w:p w:rsidR="00000000" w:rsidDel="00000000" w:rsidP="00000000" w:rsidRDefault="00000000" w:rsidRPr="00000000" w14:paraId="000000F0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2 – Diagrama de Casos de Uso da Plataforma Web.</w:t>
      </w:r>
    </w:p>
    <w:p w:rsidR="00000000" w:rsidDel="00000000" w:rsidP="00000000" w:rsidRDefault="00000000" w:rsidRPr="00000000" w14:paraId="000000F2">
      <w:pPr>
        <w:keepNext/>
        <w:spacing w:line="240" w:lineRule="auto" w:after="60" w:before="60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3411353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41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0F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1 – Documentação do caso de uso: Autenticar Usuário.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1E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2 – Documentação do caso de uso: Gerenciar Pacientes.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/>
              <w:spacing w:line="240" w:lineRule="auto" w:before="40" w:after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/>
              <w:spacing w:after="40" w:before="40" w:lineRule="auto" w:line="2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46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3 – Documentação do caso de uso: Importar Exame (.EDF).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desejado e confirmar o envio.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rFonts w:ascii="Arial" w:hAnsi="Arial"/>
                <w:b w:val="0"/>
                <w:i w:val="1"/>
                <w:iCs w:val="1"/>
                <w:color w:val="000000"/>
                <w:sz w:val="20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/>
        </w:trPr>
        <w:tc>
          <w:tcPr>
            <w:tcW w:w="2970" w:type="dxa"/>
            <w:vMerge w:val="restart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vMerge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/>
              <w:spacing w:after="40" w:before="40" w:line="240" w:lineRule="auto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6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4 – Documentação do caso de uso: Visualizar Sinais de EEG.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91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5 – Documentação do caso de uso: Solicitar Análise Preditiva.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O arquivo EDF correspondente deve estar previamente importado e carregado no backend.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2 – Extrair 15 características tempo-frequência por canal e por janela, incluindo entropia espectral, para formar sequências temporais.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r>
              <w:t>3 – Alimentar a rede CNN-BiLSTM com as sequências de características para estimar a probabilidade ictal em cada passo temporal.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B5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6 – Documentação do caso de uso: Visualizar Explicação (XAI).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A análise preditiva descrita no Quadro 5 deve estar concluída e possuir uma sequência de pico válida.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/>
              <w:spacing w:line="240" w:lineRule="auto" w:after="40" w:before="40"/>
              <w:ind w:firstLine="0" w:left="0"/>
              <w:jc w:val="both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DB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Quadro 7 – Documentação do caso de uso: Emitir Laudo Médico.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000"/>
      </w:tblPr>
      <w:tblGrid>
        <w:gridCol w:w="2970"/>
        <w:gridCol w:w="6100"/>
      </w:tblGrid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/>
              <w:spacing w:line="240" w:lineRule="auto" w:after="40" w:before="40"/>
              <w:ind w:firstLine="0"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tcW w:w="4535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  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/>
              <w:spacing w:line="240" w:lineRule="auto" w:after="40" w:before="40"/>
              <w:ind w:firstLine="0" w:left="0"/>
              <w:jc w:val="left"/>
              <w:rPr/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/>
              <w:spacing w:line="240" w:lineRule="auto" w:after="40" w:before="40"/>
              <w:ind w:firstLine="0" w:lef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4535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4 - Salvar o texto associado ao exame, alterar o status para Concluído e impedir novas edições.</w:t>
            </w:r>
          </w:p>
        </w:tc>
      </w:tr>
      <w:tr>
        <w:trPr>
          <w:cantSplit/>
        </w:trPr>
        <w:tc>
          <w:tcPr>
            <w:tcW w:w="2970" w:type="dxa"/>
            <w:shd w:val="clear" w:color="auto" w:fill="E6E6E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/>
              <w:spacing w:line="240" w:lineRule="auto" w:after="40" w:before="40"/>
              <w:ind w:firstLine="0" w:lef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tcW w:w="6100" w:type="dxa"/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keepNext/>
              <w:spacing w:line="240" w:lineRule="auto" w:after="40" w:before="40"/>
              <w:ind w:firstLine="0" w:left="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spacing w:line="240" w:lineRule="auto" w:after="200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1F9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FA">
      <w:pPr>
        <w:keepNext w:val="0"/>
        <w:spacing w:after="0" w:line="360" w:lineRule="auto" w:before="0"/>
        <w:ind w:firstLine="709" w:left="0"/>
        <w:jc w:val="both"/>
        <w:rPr/>
      </w:pPr>
      <w:r>
        <w:t>A aplicação adota uma organização cliente-servidor: a interface React se comunica com a API FastAPI por HTTP, enquanto o servidor mantém as regras de negócio, a persistência e o processamento de EEG. Essa separação facilita a manutenção dos componentes (RICHARDS, 2015). A análise de IA é solicitada separadamente após a importação do EDF e executada em segundo plano.</w:t>
      </w:r>
    </w:p>
    <w:p w:rsidR="00000000" w:rsidDel="00000000" w:rsidP="00000000" w:rsidRDefault="00000000" w:rsidRPr="00000000" w14:paraId="000001FB">
      <w:pPr>
        <w:keepNext w:val="0"/>
        <w:spacing w:after="0" w:line="360" w:lineRule="auto" w:before="0"/>
        <w:ind w:firstLine="709" w:left="0"/>
        <w:jc w:val="both"/>
        <w:rPr/>
      </w:pPr>
      <w:r>
        <w:t>O frontend é uma aplicação React e TypeScript. O traçado multicanal utiliza Recharts e oferece navegação temporal, seleção de canais e sobreposição de trechos suspeitos. O backend, em Python e FastAPI, utiliza MNE-Python na leitura do EDF e TensorFlow/Keras na inferência da CNN-BiLSTM. Os metadados são persistidos no PostgreSQL configurado para a versão final.</w:t>
      </w:r>
    </w:p>
    <w:p w:rsidR="00000000" w:rsidDel="00000000" w:rsidP="00000000" w:rsidRDefault="00000000" w:rsidRPr="00000000" w14:paraId="000001FC">
      <w:pPr>
        <w:keepNext w:val="0"/>
        <w:spacing w:after="0" w:line="360" w:lineRule="auto" w:before="0"/>
        <w:ind w:firstLine="709" w:left="0"/>
        <w:jc w:val="both"/>
        <w:rPr/>
      </w:pPr>
      <w:r>
        <w:t>Após o envio do EDF, a API valida e armazena o arquivo e registra o exame. Quando o médico solicita a análise, o pipeline extrai 15 características por canal em janelas temporais e forma sequências para a CNN-BiLSTM, que produz probabilidades ictais ao longo do tempo. A explicação Gradient SHAP é calculada para a sequência de pico e projetada por canal e intervalo de segundos na interface. Essa projeção não atribui relevância a cada amostra bruta do sinal e não substitui a interpretação médica.</w:t>
      </w:r>
    </w:p>
    <w:p w:rsidR="00000000" w:rsidDel="00000000" w:rsidP="00000000" w:rsidRDefault="00000000" w:rsidRPr="00000000" w14:paraId="000001FD">
      <w:pPr>
        <w:pStyle w:val="Heading2"/>
        <w:keepNext/>
        <w:spacing w:line="240" w:lineRule="auto" w:before="160" w:after="80"/>
        <w:ind w:firstLine="0" w:left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4.6 Fluxograma</w:t>
      </w:r>
    </w:p>
    <w:p w:rsidR="00000000" w:rsidDel="00000000" w:rsidP="00000000" w:rsidRDefault="00000000" w:rsidRPr="00000000" w14:paraId="000001F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Interface (Em Azul):</w:t>
      </w:r>
      <w:r>
        <w:rPr>
          <w:rFonts w:ascii="Arial" w:hAnsi="Arial"/>
          <w:b w:val="0"/>
          <w:color w:val="000000"/>
          <w:sz w:val="24"/>
        </w:rPr>
        <w:t xml:space="preserve">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spacing w:after="0" w:afterAutospacing="0" w:line="360" w:lineRule="auto" w:before="0"/>
        <w:ind w:left="709" w:hanging="283"/>
        <w:jc w:val="both"/>
        <w:rPr>
          <w:u w:val="none"/>
        </w:rPr>
      </w:pPr>
      <w:r>
        <w:t>• Camada de Servidor (em verde): representa o backend FastAPI, responsável pela lógica de negócio, validação dos arquivos e persistência dos metadados no PostgreSQL.</w:t>
      </w:r>
    </w:p>
    <w:p w:rsidR="00000000" w:rsidDel="00000000" w:rsidP="00000000" w:rsidRDefault="00000000" w:rsidRPr="00000000" w14:paraId="00000201">
      <w:pPr>
        <w:spacing w:after="0" w:line="360" w:lineRule="auto" w:before="0"/>
        <w:ind w:left="709" w:hanging="283"/>
        <w:jc w:val="both"/>
        <w:rPr>
          <w:u w:val="none"/>
        </w:rPr>
      </w:pPr>
      <w:r/>
      <w:r>
        <w:rPr>
          <w:rFonts w:ascii="Arial" w:hAnsi="Arial"/>
          <w:b/>
          <w:color w:val="000000"/>
          <w:sz w:val="24"/>
        </w:rPr>
        <w:t>• Camada de Pipeline de IA (Em Roxo):</w:t>
      </w:r>
      <w:r>
        <w:rPr>
          <w:rFonts w:ascii="Arial" w:hAnsi="Arial"/>
          <w:b w:val="0"/>
          <w:color w:val="000000"/>
          <w:sz w:val="24"/>
        </w:rPr>
        <w:t xml:space="preserve">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keepNext w:val="0"/>
        <w:spacing w:after="0" w:before="0" w:line="360" w:lineRule="auto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spacing w:after="0" w:before="0" w:line="360" w:lineRule="auto"/>
        <w:ind w:left="709" w:firstLine="0"/>
        <w:jc w:val="both"/>
        <w:rPr/>
      </w:pPr>
      <w:r>
        <w:t>1. Autenticação e Gestão Cadastral: O fluxo inicia-se com a validação das credenciais do usuário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spacing w:after="0" w:before="0" w:line="360" w:lineRule="auto"/>
        <w:ind w:left="709" w:firstLine="0"/>
        <w:jc w:val="both"/>
        <w:rPr/>
      </w:pPr>
      <w:r/>
      <w:r>
        <w:rPr>
          <w:rFonts w:ascii="Arial" w:hAnsi="Arial"/>
          <w:b/>
          <w:color w:val="000000"/>
          <w:sz w:val="24"/>
        </w:rPr>
        <w:t>2. Ingestão e Validação de Arquivo:</w:t>
      </w:r>
      <w:r>
        <w:rPr>
          <w:rFonts w:ascii="Arial" w:hAnsi="Arial"/>
          <w:b w:val="0"/>
          <w:color w:val="000000"/>
          <w:sz w:val="24"/>
        </w:rPr>
        <w:t xml:space="preserve"> O arquivo biomédico com extensão .EDF é submetido pela interface via requisição HTTP POST Multipart. O servidor FastAPI intercepta o arquivo e valida a integridade do seu cabeçalho (header);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spacing w:after="0" w:before="0" w:line="360" w:lineRule="auto"/>
        <w:ind w:left="709" w:firstLine="0"/>
        <w:jc w:val="both"/>
        <w:rPr/>
      </w:pPr>
      <w:r>
        <w:t>3. Processamento Inteligente Assíncrono: após a importação, o médico solicita a análise do exame. O servidor executa em segundo plano a extração das 15 características por canal e a inferência CNN-BiLSTM. As probabilidades são agregadas em trechos temporais suspeitos; o SHAP explica a sequência de pico. Os metadados e resultados são registrados no banco relacional configurado, enquanto EDF e imagens permanecem em disco.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Na Figura 3, os blocos roxos representam o pipeline conceitual definido no planejamento inicial. Na implementação final, essas etapas foram consolidadas na extração de 15 características tempo-frequência por canal e na inferência temporal pela rede CNN-BiLSTM.</w:t>
      </w:r>
    </w:p>
    <w:p w:rsidR="00000000" w:rsidDel="00000000" w:rsidP="00000000" w:rsidRDefault="00000000" w:rsidRPr="00000000" w14:paraId="00000206">
      <w:pPr>
        <w:spacing w:after="0" w:before="0" w:line="360" w:lineRule="auto"/>
        <w:ind w:left="709" w:firstLine="0"/>
        <w:jc w:val="both"/>
        <w:rPr/>
      </w:pPr>
      <w:r>
        <w:t>4. Conclusão Clínico-Administrativa: a interface apresenta o EEG, os trechos suspeitos e, quando disponível, a relevância SHAP por canal e intervalo. O médico pode registrar seu parecer no laudo. A saída da IA é apoio à revisão, não diagnóstico autônomo.</w:t>
      </w:r>
    </w:p>
    <w:p w:rsidR="00000000" w:rsidDel="00000000" w:rsidP="00000000" w:rsidRDefault="00000000" w:rsidRPr="00000000" w14:paraId="00000207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3 – Fluxograma de Execução e Ciclo de Vida dos Dados da Plataforma.</w:t>
      </w:r>
    </w:p>
    <w:p w:rsidR="00000000" w:rsidDel="00000000" w:rsidP="00000000" w:rsidRDefault="00000000" w:rsidRPr="00000000" w14:paraId="00000209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9375" cy="5112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3049375" cy="5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0B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>4.7 Modelo Entidade Relacionamento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C">
      <w:pPr>
        <w:keepNext w:val="0"/>
        <w:spacing w:after="0" w:line="360" w:lineRule="auto" w:before="0"/>
        <w:ind w:firstLine="709" w:lef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keepNext w:val="0"/>
        <w:spacing w:after="0" w:line="360" w:lineRule="auto" w:before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6">
      <w:pPr>
        <w:keepNext/>
        <w:spacing w:after="80" w:line="240" w:lineRule="auto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4 – Modelo Entidade Relacionamento.</w:t>
      </w:r>
    </w:p>
    <w:p w:rsidR="00000000" w:rsidDel="00000000" w:rsidP="00000000" w:rsidRDefault="00000000" w:rsidRPr="00000000" w14:paraId="00000217">
      <w:pPr>
        <w:keepNext/>
        <w:spacing w:after="60" w:line="240" w:lineRule="auto" w:before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120905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20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1A">
      <w:pPr>
        <w:pStyle w:val="Heading2"/>
        <w:keepNext/>
        <w:spacing w:line="240" w:lineRule="auto" w:before="160" w:after="80"/>
        <w:ind w:firstLine="0" w:left="0"/>
        <w:jc w:val="left"/>
        <w:rPr>
          <w:color w:val="ff0000"/>
        </w:rPr>
      </w:pPr>
      <w:r>
        <w:rPr>
          <w:rFonts w:ascii="Arial" w:hAnsi="Arial"/>
          <w:b/>
          <w:color w:val="000000"/>
          <w:sz w:val="24"/>
        </w:rPr>
        <w:t>4.8 Protótipos de baixa fidelidade</w:t>
      </w:r>
    </w:p>
    <w:p w:rsidR="00000000" w:rsidDel="00000000" w:rsidP="00000000" w:rsidRDefault="00000000" w:rsidRPr="00000000" w14:paraId="0000021B">
      <w:pPr>
        <w:keepNext w:val="0"/>
        <w:spacing w:after="0" w:before="0" w:lineRule="auto" w:line="360"/>
        <w:ind w:firstLine="709" w:left="0"/>
        <w:jc w:val="both"/>
        <w:rPr/>
      </w:pPr>
      <w:r>
        <w:t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usuário (User Interfaces - UI) requer um planejamento visual rigoroso.</w:t>
      </w:r>
    </w:p>
    <w:p w:rsidR="00000000" w:rsidDel="00000000" w:rsidP="00000000" w:rsidRDefault="00000000" w:rsidRPr="00000000" w14:paraId="0000021C">
      <w:pPr>
        <w:keepNext w:val="0"/>
        <w:spacing w:after="0" w:before="0" w:lineRule="auto" w:line="360"/>
        <w:ind w:firstLine="709" w:left="0"/>
        <w:jc w:val="both"/>
        <w:rPr/>
      </w:pPr>
      <w:r>
        <w:t>Para esse efeito, a utilização de wireframes e protótipos constitui uma ferramenta metodológica essencial. Segundo Pressman e Maxim (2016), a prototipação de telas permite que os programadores e os futuros usuários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keepNext w:val="0"/>
        <w:spacing w:after="0" w:before="0" w:lineRule="auto" w:line="360"/>
        <w:ind w:firstLine="709" w:left="0"/>
        <w:jc w:val="both"/>
        <w:rPr/>
      </w:pPr>
      <w:r>
        <w:t>Neste contexto, visando materializar a proposta da plataforma Web de apoio à análise neurológica desenvolvida neste projeto, foram elaborados wireframes que representam o fluxo de interação do especialista médico com o sistema. A concepção dessas interfaces teve como premissa principal integrar a complexidade da visualização de sinais de Eletroencefalograma (EEG) e os resultados preditivos do modelo de Inteligência Artificial Explicável (XAI) em um ambiente limpo e responsivo.</w:t>
      </w:r>
    </w:p>
    <w:p w:rsidR="00000000" w:rsidDel="00000000" w:rsidP="00000000" w:rsidRDefault="00000000" w:rsidRPr="00000000" w14:paraId="0000021E">
      <w:pPr>
        <w:keepNext w:val="0"/>
        <w:spacing w:after="0" w:before="0" w:lineRule="auto" w:line="360"/>
        <w:ind w:firstLine="709" w:left="0"/>
        <w:jc w:val="both"/>
        <w:rPr>
          <w:color w:val="ff0000"/>
        </w:rPr>
      </w:pPr>
      <w:r>
        <w:t>As figuras a seguir apresentam as principais telas projetadas, detalhando a jornada do usuário desde a autenticação no sistema, passando pela gestão de prontuários, até a área central de análise visual e emissão de laudos com o suporte da rede neural.</w:t>
      </w:r>
    </w:p>
    <w:p w:rsidR="00000000" w:rsidDel="00000000" w:rsidP="00000000" w:rsidRDefault="00000000" w:rsidRPr="00000000" w14:paraId="0000021F">
      <w:pPr>
        <w:keepNext w:val="0"/>
        <w:pageBreakBefore/>
        <w:spacing w:after="0" w:before="0" w:line="360" w:lineRule="auto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5 – Tela de login do sistema.</w:t>
      </w:r>
    </w:p>
    <w:p w:rsidR="00000000" w:rsidDel="00000000" w:rsidP="00000000" w:rsidRDefault="00000000" w:rsidRPr="00000000" w14:paraId="00000220">
      <w:pPr>
        <w:keepNext/>
        <w:spacing w:after="60" w:before="60" w:line="240" w:lineRule="auto"/>
        <w:ind w:firstLine="0" w:left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4896000" cy="215721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15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1">
      <w:pPr>
        <w:keepNext w:val="0"/>
        <w:spacing w:after="200" w:line="240" w:lineRule="auto" w:before="6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2B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>
      <w:pPr>
        <w:keepNext/>
        <w:spacing w:line="240" w:lineRule="auto" w:before="200" w:after="8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6 – Janela modal de recuperação de senha do sistema.</w:t>
      </w:r>
    </w:p>
    <w:p w:rsidR="00000000" w:rsidDel="00000000" w:rsidP="00000000" w:rsidRDefault="00000000" w:rsidRPr="00000000" w14:paraId="0000022C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22D">
      <w:pPr>
        <w:keepNext w:val="0"/>
        <w:spacing w:after="200" w:before="60" w:lineRule="auto" w:line="240"/>
        <w:ind w:firstLine="0" w:left="0"/>
        <w:jc w:val="center"/>
        <w:rPr>
          <w:color w:val="ff0000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38">
      <w:pPr>
        <w:keepNext w:val="0"/>
        <w:spacing w:line="360" w:lineRule="auto" w:before="0" w:after="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</w:t>
      </w:r>
    </w:p>
    <w:p w:rsidR="00000000" w:rsidDel="00000000" w:rsidP="00000000" w:rsidRDefault="00000000" w:rsidRPr="00000000" w14:paraId="0000023A">
      <w:pPr>
        <w:keepNext/>
        <w:spacing w:line="240" w:lineRule="auto" w:after="80" w:before="20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7 – Tela inicial (Dashboard) e visão geral do sistema.</w:t>
      </w:r>
    </w:p>
    <w:p w:rsidR="00000000" w:rsidDel="00000000" w:rsidP="00000000" w:rsidRDefault="00000000" w:rsidRPr="00000000" w14:paraId="0000023B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6472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6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47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7587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7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1">
      <w:pPr>
        <w:keepNext w:val="0"/>
        <w:spacing w:after="0" w:before="0" w:lineRule="auto" w:line="360"/>
        <w:ind w:firstLine="709" w:left="0"/>
        <w:jc w:val="both"/>
        <w:rPr/>
      </w:pPr>
      <w:r>
        <w:t>A Figura 9 apresenta a interface de cadastro de um novo paciente, implementada no formato de janela sobreposta (modal). Acionada a partir da tela de gestão, a interface obscurece o plano de fundo para direcionar o foco do usuário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keepNext/>
        <w:spacing w:line="240" w:lineRule="auto" w:before="60" w:after="6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28703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8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5E">
      <w:pPr>
        <w:keepNext w:val="0"/>
        <w:spacing w:after="0" w:before="0" w:lineRule="auto" w:line="360"/>
        <w:ind w:firstLine="709" w:left="0"/>
        <w:jc w:val="both"/>
        <w:rPr/>
      </w:pPr>
      <w:r>
        <w:rPr>
          <w:rFonts w:ascii="Arial" w:hAnsi="Arial"/>
          <w:color w:val="000000"/>
          <w:sz w:val="24"/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eletrodos, o botão de acionamento do modelo preditivo (CNN-BiLSTM)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000" cy="23093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line="240" w:lineRule="auto" w:after="200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66">
      <w:pPr>
        <w:keepNext w:val="0"/>
        <w:spacing w:after="0" w:before="0" w:lineRule="auto" w:line="360"/>
        <w:ind w:firstLine="709" w:left="0"/>
        <w:jc w:val="both"/>
        <w:rPr/>
      </w:pPr>
      <w:r>
        <w:t>A Figura 11 apresenta a tela de configurações, com dados profissionais, montagem padrão de canais, limiar de confiança e controle de exibição do SHAP. Essas preferências de interface não substituem a calibração científica do modelo.</w:t>
      </w:r>
    </w:p>
    <w:p w:rsidR="00000000" w:rsidDel="00000000" w:rsidP="00000000" w:rsidRDefault="00000000" w:rsidRPr="00000000" w14:paraId="00000267">
      <w:pPr>
        <w:keepNext/>
        <w:spacing w:after="80" w:before="200" w:lineRule="auto" w:line="240"/>
        <w:ind w:firstLine="0" w:left="0"/>
        <w:jc w:val="center"/>
        <w:rPr/>
      </w:pPr>
      <w:r>
        <w:rPr>
          <w:rFonts w:ascii="Arial" w:hAnsi="Arial"/>
          <w:b/>
          <w:color w:val="000000"/>
          <w:sz w:val="2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keepNext/>
        <w:spacing w:after="60" w:before="60" w:lineRule="auto" w:line="240"/>
        <w:ind w:firstLine="0" w:left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4896000" cy="232050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20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5 RESULTADOS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5.1 Interface implementada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As Figuras 12 a 16 documentam a interface implementada no ambiente local: painel principal, gestão de pacientes, configurações, análise multicanal com sobreposição SHAP e redação do laudo médico.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Figura 12 apresenta o painel principal da versão implementada após a autenticação. A tela reúne os indicadores de pacientes cadastrados, exames em análise e laudos emitidos, além de atalhos para as atividades mais frequentes do fluxo clínico.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12 – Painel principal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Figura 13 apresenta a gestão de pacientes, com pesquisa por nome ou CPF, cadastro de novos registros e ações para edição, exclusão e abertura de um novo exame vinculado ao prontuário.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13 – Gestão de pacientes da versão implementada.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Figura 14 mostra as configurações do perfil médico e das preferências de análise. Nessa tela, o usuário pode definir a montagem padrão de canais, ajustar o limiar de exibição e habilitar ou desabilitar a explicação SHAP.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14 – Configurações do perfil, montagem, limiar e SHAP.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Figura 15 apresenta a área central de revisão do EEG, com navegação temporal, seleção de canais, candidatos suspeitos e sobreposição da relevância Gradient SHAP por canal e intervalo. A faixa laranja delimita o trecho suspeito, enquanto a intensidade vermelha representa contribuição positiva para a saída do modelo. A projeção está associada às janelas de características da sequência de pico e não corresponde a uma atribuição para cada amostra bruta.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15 – Visualização multicanal com trecho suspeito e SHAP sobreposto por canal e tempo.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Figura 16 apresenta a área de emissão do parecer médico. O especialista pode revisar o traçado e os resultados da IA, registrar sua interpretação clínica e concluir o laudo, que permanece associado ao exame no banco de dados.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16 – Área de emissão do parecer médico após a análise computacional.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002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0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5.2 Protocolo experimental</w:t>
      </w:r>
    </w:p>
    <w:p>
      <w:pPr>
        <w:keepNext w:val="0"/>
        <w:spacing w:line="360" w:lineRule="auto" w:after="0" w:before="0"/>
        <w:ind w:firstLine="709" w:left="0"/>
        <w:jc w:val="both"/>
      </w:pPr>
      <w:r>
        <w:t>O modelo final selecionado foi a versão v43 com seed 42. A arquitetura CNN-BiLSTM utiliza fusão tardia de 23 canais e 15 características tempo-frequência por canal, entre elas entropia espectral. Não utiliza a feature histórica de Entropia de Shannon nem medidas de Dinâmica Simbólica. As janelas têm 4 segundos, passo de 2 segundos e sequências de 8 passos. O treinamento utilizou 77 EDFs de 17 grupos identificados na base; a calibração reuniu 13 EDFs de chb16, chb19, chb20 e chb24, separados antes do janelamento.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base Bonn, prevista no planejamento do TCC I, não foi combinada à avaliação final. Seus segmentos curtos e previamente selecionados não preservam o mesmo protocolo de registros contínuos multicanais com início e término de crises do CHB-MIT. A mistura direta dificultaria interpretar métricas de localização temporal e falsos alarmes por hora. Assim, os resultados apresentados nesta pesquisa referem-se ao CHB-MIT; Bonn permanece como referência do planejamento.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5.3 Desempenho do modelo</w:t>
      </w:r>
    </w:p>
    <w:p>
      <w:pPr>
        <w:keepNext/>
        <w:spacing w:line="240" w:lineRule="auto" w:after="80" w:before="200"/>
        <w:ind w:firstLine="0" w:left="0"/>
        <w:jc w:val="center"/>
      </w:pPr>
      <w:r>
        <w:t>Quadro 8 – Resultados da v43 na calibração e na avaliação histórica.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00"/>
      </w:tblPr>
      <w:tblGrid>
        <w:gridCol w:w="4470"/>
        <w:gridCol w:w="2300"/>
        <w:gridCol w:w="2300"/>
      </w:tblGrid>
      <w:tr>
        <w:trPr>
          <w:cantSplit/>
        </w:trPr>
        <w:tc>
          <w:tcPr>
            <w:tcW w:w="447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Métrica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Calibração</w:t>
            </w:r>
          </w:p>
        </w:tc>
        <w:tc>
          <w:tcPr>
            <w:tcW w:w="2300" w:type="dxa"/>
            <w:shd w:val="clear" w:color="auto" w:fill="E6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Histórico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Precisão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100,0%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87,5%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Sensibilidade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91,7%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EDF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95,7%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82,4%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localizado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90,9%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46,2%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Eventos detectados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de 20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 de 9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Recall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75,0%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44,4%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F1 por evento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71,4%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17,8%</w:t>
            </w:r>
          </w:p>
        </w:tc>
      </w:tr>
      <w:tr>
        <w:trPr>
          <w:cantSplit/>
        </w:trPr>
        <w:tc>
          <w:tcPr>
            <w:tcW w:w="447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Falsos alarmes por hora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0,55</w:t>
            </w:r>
          </w:p>
        </w:tc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line="240" w:lineRule="auto" w:before="40" w:after="40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2,08</w:t>
            </w:r>
          </w:p>
        </w:tc>
      </w:tr>
    </w:tbl>
    <w:p>
      <w:pPr>
        <w:keepNext w:val="0"/>
        <w:spacing w:line="240" w:lineRule="auto" w:after="200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a partir dos artefatos v43 (2026).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17 – Comparação das métricas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18 – Eventos localizados e falsos alarmes por hora.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2393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ponto operacional da v43 foi escolhido na curva de compromisso entre sensibilidade por evento e falsos alarmes por hora (FROC), com teto de 0,75 falso alarme por hora na calibração. Os valores apresentados no quadro representam esse ponto selecionado; não constituem uma curva FROC de teste externo. A precisão por EDF e a localização são analisadas separadamente, pois uma classificação correta do arquivo pode coexistir com uma crise perdida.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5.4 Evolução experimental e estabilidade entre seeds</w:t>
      </w:r>
    </w:p>
    <w:p>
      <w:pPr>
        <w:ind w:firstLine="709"/>
      </w:pPr>
      <w:r>
        <w:t>A proposta registrada no TCC I previa a combinação das bases Bonn e CHB-MIT, validação k-fold e uso de Entropia de Shannon e Dinâmica Simbólica em uma CNN-LSTM. Um ensaio inicial de k-fold por janelas foi exploratório e não constitui a validação do modelo final. A avaliação passou a separar grupos antes do janelamento para examinar generalização interpaciente e evitar compartilhamento de janelas do mesmo grupo entre etapas. A base Bonn foi retirada da avaliação temporal final pelas diferenças de estrutura e anotação em relação aos EDFs contínuos da CHB-MIT.</w:t>
      </w:r>
    </w:p>
    <w:p>
      <w:pPr>
        <w:ind w:firstLine="709"/>
      </w:pPr>
      <w:r>
        <w:t>A seleção das 15 características espectrais por canal decorreu das comparações de representação documentadas nos experimentos. A entropia espectral da v43 não equivale à feature histórica de Entropia de Shannon calculada diretamente do sinal, e a Dinâmica Simbólica não alimenta o modelo final. Também foi testada uma representação de sinal bruto, que não substituiu a escolhida. Essas alterações são decisões tomadas ao longo do desenvolvimento, não requisitos definidos dessa forma desde o início. Os resultados abaixo referem-se exclusivamente ao protocolo e aos artefatos da versão final.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seleção da v43 não decorreu de uma única execução. Nas cinco seeds 42 a 46, a calibração apresentou média de 13,8 eventos detectados em 20, F1 por evento de 65,7%, F1 localizado de 81,9%, F1 por EDF de 96,4% e 0,64 falso alarme por hora. A seed 42 alcançou 15/20 eventos, F1 localizado de 90,9% e 0,55 falso alarme por hora. A variação entre seeds impede tratar esse melhor resultado isolado como desempenho esperado em novos pacientes.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Em comparação controlada com a CNN-BiLSTM anterior nas seeds 42 a 44, a fusão tardia da v43 elevou a média de eventos de 13,33 para 14,00 em 20, o F1 localizado de 75,0% para 83,4% e o F1 por EDF de 92,9% para 97,1%. Os falsos alarmes passaram de 0,58 para 0,63 por hora. Esses números são de calibração no mesmo protocolo e não demonstram generalização externa.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Experimentos posteriores avaliaram multirresolução, seleção de checkpoint e expansão dirigida dos dados. A v53, com 26 EDF no treino e três seeds, obteve média de 12,33/20 eventos, F1 localizado de 77,9%, F1 por EDF de 92,5% e 0,602 falso alarme por hora. Embora algumas crises tenham melhorado, o conjunto não superou a referência v43 no mesmo protocolo. Por isso, a v53 não substituiu o modelo integrado à aplicação.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mineração de negativos difíceis foi examinada nas versões v55 e v56, usando somente pacientes de treino. A configuração forte v55 reduziu a média para 12,67/20 eventos e F1 localizado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5.5 Análise dos erros e generalização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avaliação histórica em chb09, chb15 e chb18 localizou 4 de 9 eventos, com F1 localizado de 46,2% e 2,08 falsos alarmes por hora. Esses pacientes haviam sido consultados durante o desenvolvimento e, portanto, os resultados descrevem a dificuldade interpaciente observada, sem constituir teste externo intocado. Crises não localizadas podem refletir baixa evidência ictal, fragmentação temporal ou escolha de candidato principal incorreto. A interpretação por evento é necessária porque F1 por EDF não identifica qual desses erros ocorreu.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t>5.6 Verificação do software e dos artefatos</w:t>
      </w:r>
    </w:p>
    <w:p>
      <w:pPr>
        <w:keepNext w:val="0"/>
        <w:spacing w:line="360" w:lineRule="auto" w:after="0" w:before="0"/>
        <w:ind w:firstLine="709" w:left="0"/>
        <w:jc w:val="both"/>
      </w:pPr>
      <w: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 Na configuração final, a API iniciou com PostgreSQL e recuperou os registros migrados de usuários, pacientes, exames e predições. A comparação campo a campo com a origem confirmou a integridade dos registros.</w:t>
      </w:r>
    </w:p>
    <w:p>
      <w:pPr>
        <w:keepNext/>
        <w:spacing w:after="80" w:line="240" w:lineRule="auto" w:before="200"/>
        <w:ind w:firstLine="0" w:left="0"/>
        <w:jc w:val="center"/>
      </w:pPr>
      <w:r>
        <w:rPr>
          <w:rFonts w:ascii="Arial" w:hAnsi="Arial"/>
          <w:b/>
          <w:color w:val="000000"/>
          <w:sz w:val="20"/>
        </w:rPr>
        <w:t>Figura 19 – Verificação de integridade dos artefatos da v43.</w:t>
      </w:r>
    </w:p>
    <w:p>
      <w:pPr>
        <w:keepNext/>
        <w:spacing w:line="240" w:lineRule="auto" w:before="60" w:after="60"/>
        <w:ind w:firstLine="0" w:left="0"/>
        <w:jc w:val="center"/>
      </w:pPr>
      <w:r>
        <w:drawing>
          <wp:inline>
            <wp:extent cx="4896000" cy="177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240" w:lineRule="auto" w:before="60"/>
        <w:ind w:firstLine="0" w:left="0"/>
        <w:jc w:val="center"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 DISCUSSÃO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  <w:keepNext/>
        <w:spacing w:line="240" w:lineRule="auto" w:before="16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6.1 Limitações e ameaças à validade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calibração contém apenas quatro grupos de pacientes e vinte eventos, quantidade insuficiente para estimar generalização clínica;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foi realizada validação externa em outra instituição ou base temporal multicanal equivalente;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não houve estudo formal de usabilidade com neurologistas ou técnicos de EEG;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o sistema é um protótipo local, sem validação de desempenho concorrente, conformidade integral com a LGPD ou regularização sanitária;</w:t>
      </w:r>
    </w:p>
    <w:p>
      <w:pPr>
        <w:spacing w:line="360" w:lineRule="auto" w:after="0" w:before="0"/>
        <w:ind w:left="709" w:hanging="283"/>
        <w:jc w:val="both"/>
      </w:pPr>
      <w:r>
        <w:rPr>
          <w:rFonts w:ascii="Arial" w:hAnsi="Arial"/>
          <w:b w:val="0"/>
          <w:color w:val="000000"/>
          <w:sz w:val="24"/>
        </w:rPr>
        <w:t>• a suíte completa de testes precisa ser reexecutada em ambiente isolado após resolver o bloqueio de inicialização do TensorFlow.</w:t>
      </w:r>
    </w:p>
    <w:p>
      <w:pPr>
        <w:pStyle w:val="Heading1"/>
        <w:keepNext/>
        <w:pageBreakBefore/>
        <w:spacing w:line="240" w:lineRule="auto" w:before="0" w:after="80"/>
        <w:ind w:firstLine="0" w:left="0"/>
        <w:jc w:val="left"/>
      </w:pPr>
      <w:r>
        <w:rPr>
          <w:rFonts w:ascii="Arial" w:hAnsi="Arial"/>
          <w:b/>
          <w:color w:val="000000"/>
          <w:sz w:val="24"/>
        </w:rPr>
        <w:t>7 CONCLUSÃO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keepNext w:val="0"/>
        <w:spacing w:line="360" w:lineRule="auto" w:after="0" w:before="0"/>
        <w:ind w:firstLine="709" w:left="0"/>
        <w:jc w:val="both"/>
      </w:pPr>
      <w:r>
        <w:rPr>
          <w:rFonts w:ascii="Arial" w:hAnsi="Arial"/>
          <w:color w:val="000000"/>
          <w:sz w:val="24"/>
        </w:rP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FE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REFERÊNCIAS</w:t>
      </w:r>
    </w:p>
    <w:p w:rsidR="00000000" w:rsidDel="00000000" w:rsidP="00000000" w:rsidRDefault="00000000" w:rsidRPr="00000000" w14:paraId="000002F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ABOALAYON, K. A. I. et al. Seizure detection using EEG signals: a review of different EEG recording modalities, signal analysis techniques, and seizure detection systems. Informatics in Medicine Unlocked, v. 6, p. 1-18, 2016. Disponível em: https://catalog.nlm.nih.gov/discovery/fulldisplay?docid=alma9916189513406676&amp;context=L&amp;vid=01NLM_INST:01NLM_INST&amp;lang=en. Acesso em: 05 nov. 2025.</w:t>
      </w:r>
    </w:p>
    <w:p w:rsidR="00000000" w:rsidDel="00000000" w:rsidP="00000000" w:rsidRDefault="00000000" w:rsidRPr="00000000" w14:paraId="0000030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ACETO, G.; PERSICO, V.; PESCO, A.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Industrial Information Integration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ACHARYA, U.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Computers in Biology and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ADADI, A.; BERRADA, M. Peeking inside the black-box: a survey on explainable artificial intelligence (XAI). IEEE Access, v. 6, p. 52138-52160, 2018. Disponível em: https://www.researchgate.net/publication/327709435_Peeking_Inside_the_Black-Box_A_Survey_on_Explainable_Artificial_Intelligence_XAI. Acesso em: 06 nov. 2025.</w:t>
      </w:r>
    </w:p>
    <w:p w:rsidR="00000000" w:rsidDel="00000000" w:rsidP="00000000" w:rsidRDefault="00000000" w:rsidRPr="00000000" w14:paraId="00000303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AGARWAL, R. et al. The digital transformation of healthcare: current status and the road ahead. Information Systems Research, v. 21, n. 4, p. 796-809, 2010. Disponível em: https://www.researchgate.net/publication/220079558_The_Digital_Transformation_of_Healthcare_Current_Status_and_the_Road_Ahead . Acesso em: 07 nov. 2025.</w:t>
      </w:r>
    </w:p>
    <w:p w:rsidR="00000000" w:rsidDel="00000000" w:rsidP="00000000" w:rsidRDefault="00000000" w:rsidRPr="00000000" w14:paraId="0000030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AMANN, J.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BMC Medical Informatics and Decision Making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ARRIETA, A. B.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Information Fusion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BANKS, A.; PORCELLO,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Learning React: Modern Patterns for Developing React Apps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BECK, K.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Manifesto for Agile Software Development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CRAIK, A.; HE, Y.; CONTRERAS-VIDAL, J.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08 nov. 2025.</w:t>
      </w:r>
    </w:p>
    <w:p w:rsidR="00000000" w:rsidDel="00000000" w:rsidP="00000000" w:rsidRDefault="00000000" w:rsidRPr="00000000" w14:paraId="0000030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ELMASRI, R.; NAVATHE, S. B.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Fundamentals of Database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6. ed. Boston: Addison-Wesley, 2011.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ESTEVA, A.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guide to deep learning in healthcare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09 nov. 2025.</w:t>
      </w:r>
    </w:p>
    <w:p w:rsidR="00000000" w:rsidDel="00000000" w:rsidP="00000000" w:rsidRDefault="00000000" w:rsidRPr="00000000" w14:paraId="0000030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FAUST,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Computer Methods and Programs in Biomedicine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FIELDING, R. T. Architectural Styles and the Design of Network-based Software Architectures. 2000. Tese (Doutorado em Ciência da Computação) - University of California, Irvine, 2000. Disponível em: https://roy.gbiv.com/pubs/dissertation/fielding_dissertation.pdf</w:t>
      </w:r>
    </w:p>
    <w:p w:rsidR="00000000" w:rsidDel="00000000" w:rsidP="00000000" w:rsidRDefault="00000000" w:rsidRPr="00000000" w14:paraId="0000030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FOWLER,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Refactoring: Improving the Design of Existing Code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0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GOLDBERGER, A. L.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Circulation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GRAMFORT, A. et al. MEG and EEG data analysis with MNE-Python. Frontiers in Neuroscience, v. 7, p. 267, 2013. Disponível em: https://www.frontiersin.org/journals/neuroscience/articles/10.3389/fnins.2013.00267/full. Acesso em: 10 nov. 2025.</w:t>
      </w:r>
    </w:p>
    <w:p w:rsidR="00000000" w:rsidDel="00000000" w:rsidP="00000000" w:rsidRDefault="00000000" w:rsidRPr="00000000" w14:paraId="0000031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GUNNING, D.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XAI—Explainable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Science Robotics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HERZOG,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Digital Healthcare: The impact of digital transformation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HOCHREITER, S.; SCHMIDHUBER,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Long short-term memory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Neural Computation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11 nov. 2025.</w:t>
      </w:r>
    </w:p>
    <w:p w:rsidR="00000000" w:rsidDel="00000000" w:rsidP="00000000" w:rsidRDefault="00000000" w:rsidRPr="00000000" w14:paraId="00000314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KLEPPMANN,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Designing Data-Intensive Applications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LECUN, Y.; BENGIO, Y.; HINTON, G.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LUNDBERG, S. M.; LEE, S.-I.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unified approach to interpreting model predictions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12 nov. 2025.</w:t>
      </w:r>
    </w:p>
    <w:p w:rsidR="00000000" w:rsidDel="00000000" w:rsidP="00000000" w:rsidRDefault="00000000" w:rsidRPr="00000000" w14:paraId="0000031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MCKINNEY, W.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for Data Analysis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2012.</w:t>
      </w:r>
    </w:p>
    <w:p w:rsidR="00000000" w:rsidDel="00000000" w:rsidP="00000000" w:rsidRDefault="00000000" w:rsidRPr="00000000" w14:paraId="00000318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NEWMAN,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Building Microservices: Designing Fine-Grained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B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NIEDERMEYER, E.; LOPES DA SILVA, F. H.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31C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PRESSMAN, R. S.; MAXIM, B. R.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Engenharia de Software: Uma Abordagem Profissional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8. ed. Porto Alegre: AMGH, 2016.</w:t>
      </w:r>
    </w:p>
    <w:p w:rsidR="00000000" w:rsidDel="00000000" w:rsidP="00000000" w:rsidRDefault="00000000" w:rsidRPr="00000000" w14:paraId="0000031D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RAGHUPATHI, W.; RAGHUPATHI, V.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Big data analytics in healthcare: promise and potential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Health Information Science and Systems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RAMÍREZ, S.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FastAPI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18 nov. 2025.</w:t>
      </w:r>
    </w:p>
    <w:p w:rsidR="00000000" w:rsidDel="00000000" w:rsidP="00000000" w:rsidRDefault="00000000" w:rsidRPr="00000000" w14:paraId="0000031F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RICHARDS, M.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Architecture Patterns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Sebastopol: O'Reilly Media, 2015.</w:t>
      </w:r>
    </w:p>
    <w:p w:rsidR="00000000" w:rsidDel="00000000" w:rsidP="00000000" w:rsidRDefault="00000000" w:rsidRPr="00000000" w14:paraId="00000321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ROY, Y.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Journal of Neural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 w:rsidR="00000000" w:rsidDel="00000000" w:rsidP="00000000" w:rsidRDefault="00000000" w:rsidRPr="00000000" w14:paraId="00000322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SHANNON, C. E.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A mathematical theory of communication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The Bell System Technical Journal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rFonts w:ascii="Arial" w:hAnsi="Arial"/>
          <w:color w:val="000000"/>
          <w:sz w:val="24"/>
          <w:szCs w:val="22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14 nov. 2025.</w:t>
      </w:r>
    </w:p>
    <w:p>
      <w:pPr>
        <w:keepNext w:val="0"/>
        <w:spacing w:line="240" w:lineRule="auto" w:after="120" w:before="0"/>
        <w:ind w:firstLine="0" w:left="0"/>
        <w:jc w:val="left"/>
      </w:pPr>
      <w:r>
        <w:rPr>
          <w:rFonts w:ascii="Arial" w:hAnsi="Arial"/>
          <w:color w:val="000000"/>
          <w:sz w:val="24"/>
        </w:rP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SOMMERVILLE, I.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Software Engineering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9. ed. Boston: Addison-Wesley, 2011.</w:t>
      </w:r>
    </w:p>
    <w:p w:rsidR="00000000" w:rsidDel="00000000" w:rsidP="00000000" w:rsidRDefault="00000000" w:rsidRPr="00000000" w14:paraId="00000324">
      <w:pPr>
        <w:keepNext w:val="0"/>
        <w:spacing w:after="120" w:before="0" w:lineRule="auto" w:line="240"/>
        <w:ind w:firstLine="0" w:left="0"/>
        <w:jc w:val="left"/>
        <w:rPr/>
      </w:pPr>
      <w:r>
        <w:rPr>
          <w:rFonts w:ascii="Arial" w:hAnsi="Arial"/>
          <w:color w:val="000000"/>
          <w:sz w:val="24"/>
        </w:rPr>
        <w:t>SUTTON, R. T. et al. An overview of clinical decision support systems: benefits, risks, and strategies for success. NPJ Digital Medicine, v. 3, n. 17, 2020. Disponível em: https://www.nature.com/articles/s41746-020-0221-y . Acesso em: 15 nov. 2025.</w:t>
      </w:r>
    </w:p>
    <w:p w:rsidR="00000000" w:rsidDel="00000000" w:rsidP="00000000" w:rsidRDefault="00000000" w:rsidRPr="00000000" w14:paraId="00000325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TATUM, W. O.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Harper's Hospital Handbook. Handbook of EEG Interpretation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2. ed. Demos Medical Publishing, 2018.</w:t>
      </w:r>
    </w:p>
    <w:p w:rsidR="00000000" w:rsidDel="00000000" w:rsidP="00000000" w:rsidRDefault="00000000" w:rsidRPr="00000000" w14:paraId="00000326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TOPOL, E. J.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Nature Medicine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VAN ROSSUM, G.; DRAKE, F. 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Python 3 Reference Manual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>. Scotts Valley, CA: CreateSpace, 2009.</w:t>
      </w:r>
    </w:p>
    <w:p w:rsidR="00000000" w:rsidDel="00000000" w:rsidP="00000000" w:rsidRDefault="00000000" w:rsidRPr="00000000" w14:paraId="00000328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WHO - WORLD HEALTH ORGANIZATION.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Epilepsy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17 nov. 2025.</w:t>
      </w:r>
    </w:p>
    <w:p w:rsidR="00000000" w:rsidDel="00000000" w:rsidP="00000000" w:rsidRDefault="00000000" w:rsidRPr="00000000" w14:paraId="00000329">
      <w:pPr>
        <w:keepNext w:val="0"/>
        <w:spacing w:after="120" w:before="0" w:lineRule="auto" w:line="240"/>
        <w:ind w:firstLine="0" w:left="0"/>
        <w:jc w:val="left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YAMASHITA, R. et al. </w:t>
      </w:r>
      <w:r w:rsidDel="00000000" w:rsidR="00000000" w:rsidRPr="00000000">
        <w:rPr>
          <w:rFonts w:ascii="Arial" w:hAnsi="Arial"/>
          <w:b/>
          <w:bCs w:val="1"/>
          <w:color w:val="000000"/>
          <w:sz w:val="24"/>
          <w:rtl w:val="0"/>
        </w:rPr>
        <w:t xml:space="preserve">Convolutional neural networks: an overview and application in radiology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 </w:t>
      </w:r>
      <w:r w:rsidDel="00000000" w:rsidR="00000000" w:rsidRPr="00000000">
        <w:rPr>
          <w:rFonts w:ascii="Arial" w:hAnsi="Arial"/>
          <w:i w:val="1"/>
          <w:iCs w:val="1"/>
          <w:color w:val="000000"/>
          <w:sz w:val="24"/>
          <w:rtl w:val="0"/>
        </w:rPr>
        <w:t xml:space="preserve">Insights into Imaging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>. Acesso em: 16 nov. 2025.</w:t>
      </w:r>
    </w:p>
    <w:p w:rsidR="00000000" w:rsidDel="00000000" w:rsidP="00000000" w:rsidRDefault="00000000" w:rsidRPr="00000000" w14:paraId="0000026F">
      <w:pPr>
        <w:pStyle w:val="Heading1"/>
        <w:keepNext/>
        <w:pageBreakBefore/>
        <w:spacing w:line="240" w:lineRule="auto" w:before="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APÊNDICE A - RECURSOS E CRONOGRAMA</w:t>
      </w:r>
    </w:p>
    <w:p w:rsidR="00000000" w:rsidDel="00000000" w:rsidP="00000000" w:rsidRDefault="00000000" w:rsidRPr="00000000" w14:paraId="00000270">
      <w:pPr>
        <w:keepNext w:val="0"/>
        <w:spacing w:after="0" w:line="360" w:lineRule="auto" w:before="0"/>
        <w:ind w:firstLine="709" w:left="0"/>
        <w:jc w:val="both"/>
        <w:rPr>
          <w:sz w:val="24"/>
          <w:szCs w:val="24"/>
        </w:rPr>
      </w:pPr>
      <w:r>
        <w:t>O desenvolvimento foi organizado conforme o cronograma do Quadro 10. Os recursos previstos são apresentados no Quadro 9, cujo total é R$ 3.650,00.</w:t>
      </w:r>
    </w:p>
    <w:p w:rsidR="00000000" w:rsidDel="00000000" w:rsidP="00000000" w:rsidRDefault="00000000" w:rsidRPr="00000000" w14:paraId="00000271">
      <w:pPr>
        <w:pStyle w:val="Heading2"/>
        <w:keepNext/>
        <w:spacing w:line="240" w:lineRule="auto" w:before="160" w:after="80"/>
        <w:ind w:firstLine="0" w:left="0"/>
        <w:jc w:val="left"/>
        <w:rPr/>
      </w:pPr>
      <w:r>
        <w:rPr>
          <w:rFonts w:ascii="Arial" w:hAnsi="Arial"/>
          <w:b/>
          <w:color w:val="000000"/>
          <w:sz w:val="24"/>
        </w:rPr>
        <w:t>A.1 Recursos</w:t>
      </w:r>
    </w:p>
    <w:p w:rsidR="00000000" w:rsidDel="00000000" w:rsidP="00000000" w:rsidRDefault="00000000" w:rsidRPr="00000000" w14:paraId="00000272">
      <w:pPr>
        <w:keepNext/>
        <w:spacing w:line="240" w:lineRule="auto" w:after="80" w:before="200"/>
        <w:ind w:firstLine="0" w:left="0"/>
        <w:jc w:val="center"/>
        <w:rPr>
          <w:sz w:val="24"/>
          <w:szCs w:val="24"/>
        </w:rPr>
      </w:pPr>
      <w:r>
        <w:t>Quadro 9 – Descrição Orçamentária.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0" w:type="dxa"/>
          <w:bottom w:w="45" w:type="dxa"/>
          <w:right w:w="60" w:type="dxa"/>
        </w:tblCellMar>
        <w:tblLook w:val="0000"/>
      </w:tblPr>
      <w:tblGrid>
        <w:gridCol w:w="700"/>
        <w:gridCol w:w="3170"/>
        <w:gridCol w:w="1000"/>
        <w:gridCol w:w="1600"/>
        <w:gridCol w:w="1300"/>
        <w:gridCol w:w="1300"/>
      </w:tblGrid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W w:w="317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W w:w="10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tcW w:w="16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Fonte financiadora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tcW w:w="13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PC Desktop (i3, 16GB RAM, SSD)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R$ 3.500,00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Ferramentas de API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R$ 50,00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3</w:t>
            </w:r>
          </w:p>
        </w:tc>
        <w:tc>
          <w:tcPr>
            <w:tcW w:w="317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Domínio Web e Hospedagem</w:t>
            </w:r>
          </w:p>
        </w:tc>
        <w:tc>
          <w:tcPr>
            <w:tcW w:w="10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1 ano</w:t>
            </w:r>
          </w:p>
        </w:tc>
        <w:tc>
          <w:tcPr>
            <w:tcW w:w="16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Recurso próprio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  <w:tc>
          <w:tcPr>
            <w:tcW w:w="130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R$ 100,00</w:t>
            </w:r>
          </w:p>
        </w:tc>
      </w:tr>
      <w:tr>
        <w:trPr>
          <w:cantSplit/>
        </w:trPr>
        <w:tc>
          <w:tcPr>
            <w:tcW w:w="9070" w:type="dxa"/>
            <w:gridSpan w:val="6"/>
            <w:shd w:val="clear" w:color="auto" w:fill="E6E6E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>
            <w:r>
              <w:t>TOTAL: R$ 3.650,00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spacing w:after="200" w:line="240" w:lineRule="auto" w:before="60"/>
        <w:ind w:firstLine="0" w:left="0"/>
        <w:jc w:val="center"/>
        <w:rPr>
          <w:b w:val="1"/>
          <w:bCs w:val="1"/>
          <w:sz w:val="24"/>
          <w:szCs w:val="24"/>
        </w:rPr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p w:rsidR="00000000" w:rsidDel="00000000" w:rsidP="00000000" w:rsidRDefault="00000000" w:rsidRPr="00000000" w14:paraId="00000293">
      <w:pPr>
        <w:pStyle w:val="Heading2"/>
        <w:keepNext/>
        <w:spacing w:line="240" w:lineRule="auto" w:before="160" w:after="80"/>
        <w:ind w:firstLine="0" w:left="0"/>
        <w:jc w:val="left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</w:rPr>
        <w:t>A.2 Cronograma</w:t>
      </w:r>
    </w:p>
    <w:p w:rsidR="00000000" w:rsidDel="00000000" w:rsidP="00000000" w:rsidRDefault="00000000" w:rsidRPr="00000000" w14:paraId="00000294">
      <w:pPr>
        <w:keepNext/>
        <w:spacing w:after="80" w:line="240" w:lineRule="auto" w:before="200"/>
        <w:ind w:firstLine="0" w:left="0"/>
        <w:jc w:val="center"/>
        <w:rPr>
          <w:sz w:val="24"/>
          <w:szCs w:val="24"/>
        </w:rPr>
      </w:pPr>
      <w:r>
        <w:t>Quadro 10 – Cronograma de trabalho dividido em meses e atividades a serem realizadas.</w:t>
      </w:r>
    </w:p>
    <w:tbl>
      <w:tblPr>
        <w:tblW w:w="9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000"/>
      </w:tblPr>
      <w:tblGrid>
        <w:gridCol w:w="283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cantSplit/>
        </w:trPr>
        <w:tc>
          <w:tcPr>
            <w:tcW w:w="2830" w:type="dxa"/>
            <w:vMerge w:val="restart"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tcW w:w="6240" w:type="dxa"/>
            <w:gridSpan w:val="12"/>
            <w:shd w:val="clear" w:color="auto" w:fill="E6E6E6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/>
        </w:trPr>
        <w:tc>
          <w:tcPr>
            <w:tcW w:w="2830" w:type="dxa"/>
            <w:vMerge/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firstLine="0" w:lef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Jan.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Fev.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Abr.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Mai.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Jun.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Jul.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Ago.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Set.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Out.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Nov.</w:t>
            </w:r>
          </w:p>
        </w:tc>
        <w:tc>
          <w:tcPr>
            <w:tcW w:w="520" w:type="dxa"/>
            <w:shd w:val="clear" w:color="auto" w:fill="E6E6E6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19"/>
                <w:szCs w:val="20"/>
                <w:rtl w:val="0"/>
              </w:rPr>
              <w:t xml:space="preserve">Dez.</w:t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Levantamento dos requisitos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Desenvolvimento do sistema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1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/>
        </w:trPr>
        <w:tc>
          <w:tcPr>
            <w:tcW w:w="283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/>
              <w:spacing w:before="40" w:line="240" w:lineRule="auto" w:after="40"/>
              <w:ind w:firstLine="0" w:lef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szCs w:val="20"/>
                <w:rtl w:val="0"/>
              </w:rPr>
              <w:t xml:space="preserve">Apresentação TCC 2</w:t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/>
              <w:spacing w:line="240" w:lineRule="auto" w:after="40" w:before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0"/>
                <w:color w:val="000000"/>
                <w:sz w:val="20"/>
                <w:rtl w:val="0"/>
              </w:rPr>
            </w:r>
          </w:p>
        </w:tc>
        <w:tc>
          <w:tcPr>
            <w:tcW w:w="520" w:type="dxa"/>
            <w:shd w:val="clear" w:color="auto" w:fill="FFFFFF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/>
              <w:spacing w:before="40" w:line="240" w:lineRule="auto" w:after="40"/>
              <w:ind w:firstLine="0"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color w:val="000000"/>
                <w:sz w:val="20"/>
                <w:szCs w:val="20"/>
                <w:rtl w:val="0"/>
              </w:rPr>
              <w:t>X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spacing w:after="200" w:line="240" w:lineRule="auto" w:before="60"/>
        <w:ind w:firstLine="0" w:left="0"/>
        <w:jc w:val="center"/>
        <w:rPr/>
      </w:pPr>
      <w:r>
        <w:rPr>
          <w:rFonts w:ascii="Arial" w:hAnsi="Arial"/>
          <w:b w:val="0"/>
          <w:color w:val="000000"/>
          <w:sz w:val="20"/>
        </w:rPr>
        <w:t>Fonte: Elaborado pelo autor (2026).</w:t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134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>
        <w:rFonts w:ascii="Arial" w:hAnsi="Arial"/>
        <w:b w:val="0"/>
        <w:color w:val="000000"/>
        <w:sz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hAnsi="Arial"/>
        <w:b w:val="0"/>
        <w:color w:val="000000"/>
        <w:sz w:val="20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before="0"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