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INSTITUTO FEDERAL DE EDUCAÇÃO, CIÊNCIA E TECNOLOGIA DE GOIÁS –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CÂMPUS </w:t>
      </w:r>
      <w:r w:rsidDel="00000000" w:rsidR="00000000" w:rsidRPr="00000000">
        <w:rPr>
          <w:sz w:val="24"/>
          <w:szCs w:val="24"/>
          <w:rtl w:val="0"/>
        </w:rPr>
        <w:t xml:space="preserve">URUAÇU</w:t>
      </w:r>
    </w:p>
    <w:p w:rsidR="00000000" w:rsidDel="00000000" w:rsidP="00000000" w:rsidRDefault="00000000" w:rsidRPr="00000000" w14:paraId="00000002">
      <w:pPr>
        <w:spacing w:after="0" w:line="36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DEPARTAMENTO DE ÁREAS ACADÊMICAS</w:t>
      </w:r>
    </w:p>
    <w:p w:rsidR="00000000" w:rsidDel="00000000" w:rsidP="00000000" w:rsidRDefault="00000000" w:rsidRPr="00000000" w14:paraId="00000003">
      <w:pPr>
        <w:spacing w:after="0" w:line="36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 DE TECNOLOGIA EM ANÁLISE E DESENVOLVIMENTO DE SISTEMAS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EDUARDO HENRIQUE GUIMARÃES MARQUES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0"/>
        <w:jc w:val="center"/>
        <w:rPr>
          <w:b w:val="1"/>
          <w:bCs w:val="1"/>
          <w:sz w:val="24"/>
          <w:szCs w:val="24"/>
        </w:rPr>
      </w:pPr>
      <w:r>
        <w:t>DESENVOLVIMENTO DE PLATAFORMA WEB PARA APOIO À ANÁLISE DE EEG COM INTELIGÊNCIA ARTIFICIAL EXPLICÁVEL</w:t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URUAÇU/GO</w:t>
      </w:r>
    </w:p>
    <w:p w:rsidR="00000000" w:rsidDel="00000000" w:rsidP="00000000" w:rsidRDefault="00000000" w:rsidRPr="00000000" w14:paraId="00000020">
      <w:pPr>
        <w:spacing w:after="0" w:line="36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1">
      <w:pPr>
        <w:spacing w:line="36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EDUARDO HENRIQUE GUIMARÃES MARQUES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firstLine="0"/>
        <w:jc w:val="center"/>
        <w:rPr>
          <w:b w:val="1"/>
          <w:bCs w:val="1"/>
          <w:sz w:val="24"/>
          <w:szCs w:val="24"/>
        </w:rPr>
      </w:pPr>
      <w:r>
        <w:t>DESENVOLVIMENTO DE PLATAFORMA WEB PARA APOIO À ANÁLISE DE EEG COM INTELIGÊNCIA ARTIFICIAL EXPLICÁVEL</w:t>
      </w:r>
    </w:p>
    <w:p w:rsidR="00000000" w:rsidDel="00000000" w:rsidP="00000000" w:rsidRDefault="00000000" w:rsidRPr="00000000" w14:paraId="0000002A">
      <w:pPr>
        <w:spacing w:after="115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12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15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ind w:left="4956" w:firstLine="0"/>
        <w:jc w:val="both"/>
        <w:rPr>
          <w:sz w:val="20"/>
          <w:szCs w:val="20"/>
        </w:rPr>
      </w:pPr>
      <w:r>
        <w:t>Trabalho de Conclusão de Curso apresentado ao curso de Tecnologia em Análise e Desenvolvimento de Sistemas do Departamento de Áreas Acadêmicas do Instituto Federal de Educação, Ciência e Tecnologia de Goiás - Câmpus Uruaçu como requisito parcial para conclusão do curso.</w:t>
      </w:r>
    </w:p>
    <w:p w:rsidR="00000000" w:rsidDel="00000000" w:rsidP="00000000" w:rsidRDefault="00000000" w:rsidRPr="00000000" w14:paraId="00000034">
      <w:pPr>
        <w:spacing w:after="0" w:line="360" w:lineRule="auto"/>
        <w:ind w:left="4960.6299212598415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Orientador: Dr. Lynwood Livi de Souza</w:t>
      </w:r>
    </w:p>
    <w:p w:rsidR="00000000" w:rsidDel="00000000" w:rsidP="00000000" w:rsidRDefault="00000000" w:rsidRPr="00000000" w14:paraId="00000035">
      <w:pPr>
        <w:spacing w:after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ind w:left="54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0" w:lineRule="auto"/>
        <w:ind w:right="1079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ind w:right="1079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ind w:right="1079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right="1079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left="0" w:right="107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ind w:left="0" w:right="107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ind w:left="-425.19685039370086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URUAÇU/GO</w:t>
      </w:r>
    </w:p>
    <w:p w:rsidR="00000000" w:rsidDel="00000000" w:rsidP="00000000" w:rsidRDefault="00000000" w:rsidRPr="00000000" w14:paraId="0000003E">
      <w:pPr>
        <w:spacing w:after="0" w:line="360" w:lineRule="auto"/>
        <w:ind w:left="-425.19685039370086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spacing w:line="240" w:lineRule="auto"/>
        <w:jc w:val="center"/>
        <w:rPr>
          <w:b w:val="1"/>
          <w:bCs w:val="1"/>
        </w:rPr>
      </w:pPr>
      <w:r>
        <w:t>SUMÁRIO</w:t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1 INTRODUÇÃO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1.1 OBJETIVOS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1.1.1 Objetivo Geral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1.1.2 Objetivos Específicos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1.2 Justificativa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2 REFERENCIAL TEÓRICO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2.1 Contexto Neurofisiológico e Desafios da Análise Computacional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2.2 Desenvolvimento Ágil e Arquitetura Orientada a Serviços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2.3 Tecnologias Full-Stack e Persistência de Dados Biomédicos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2.4 Inteligência Artificial Híbrida e Explicabilidade (XAI)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2.5 Transformação Digital no Diagnóstico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3 METODOLOGIA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3.1 Levantamento de Requisitos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3.2 Desenvolvimento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3.3 Tecnologias e ferramentas utilizadas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3.4 Desenvolvimento incremental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3.5 Testes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3.6 Implementação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4 SOFTWARE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4.1 Descrição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4.2 Levantamento de Requisitos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4.3 Requisitos Funcionais e Não Funcionais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4.4 Casos de uso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4.5 Arquitetura do Sistema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4.6 Fluxograma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4.7 Modelo Entidade Relacionamento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4.8 Protótipos de baixa fidelidade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4.9 Interface implementada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5 RESULTADOS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5.1 Protocolo experimental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5.2 Desempenho do modelo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5.3 Evolução experimental e estabilidade entre seeds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5.4 Análise dos erros e generalização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5.5 Verificação do software e dos artefatos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6 DISCUSSÃO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6.1 Limitações e ameaças à validade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7 CONCLUSÃO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8 RECURSOS E CRONOGRAMA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8.1 Recursos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8.2 Cronograma</w:t>
      </w:r>
      <w:r>
        <w:rPr>
          <w:rFonts w:ascii="Arial" w:hAnsi="Arial"/>
          <w:sz w:val="20"/>
        </w:rPr>
        <w:tab/>
      </w:r>
    </w:p>
    <w:p>
      <w:pPr>
        <w:tabs>
          <w:tab w:pos="9071" w:val="right" w:leader="dot"/>
        </w:tabs>
        <w:spacing w:line="240" w:lineRule="auto" w:after="40"/>
        <w:ind w:firstLine="0"/>
        <w:jc w:val="left"/>
      </w:pPr>
      <w:r>
        <w:rPr>
          <w:rFonts w:ascii="Arial" w:hAnsi="Arial"/>
          <w:sz w:val="20"/>
        </w:rPr>
        <w:t>REFERÊNCIAS</w:t>
      </w:r>
      <w:r>
        <w:rPr>
          <w:rFonts w:ascii="Arial" w:hAnsi="Arial"/>
          <w:sz w:val="20"/>
        </w:rPr>
        <w:tab/>
      </w:r>
    </w:p>
    <w:p w:rsidR="00000000" w:rsidDel="00000000" w:rsidP="00000000" w:rsidRDefault="00000000" w:rsidRPr="00000000" w14:paraId="00000040">
      <w:pPr>
        <w:spacing w:line="360" w:lineRule="auto" w:after="0"/>
        <w:jc w:val="both"/>
        <w:rPr/>
      </w:pPr>
      <w:r/>
    </w:p>
    <w:p w:rsidR="00000000" w:rsidDel="00000000" w:rsidP="00000000" w:rsidRDefault="00000000" w:rsidRPr="00000000" w14:paraId="00000060">
      <w:pPr>
        <w:pStyle w:val="Title"/>
        <w:spacing w:after="0" w:line="360" w:lineRule="auto"/>
        <w:ind w:right="1079"/>
        <w:jc w:val="both"/>
        <w:rPr/>
        <w:sectPr>
          <w:headerReference r:id="rId6" w:type="default"/>
          <w:headerReference r:id="rId7" w:type="first"/>
          <w:footerReference r:id="rId8" w:type="first"/>
          <w:pgSz w:h="16838" w:w="11906" w:orient="portrait"/>
          <w:pgMar w:bottom="1134" w:top="1701" w:left="1701" w:right="1134" w:header="708" w:footer="708"/>
          <w:pgNumType w:start="1"/>
        </w:sectPr>
      </w:pPr>
      <w:bookmarkStart w:colFirst="0" w:colLast="0" w:name="_1f8ned6zrhi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/>
        <w:spacing w:line="240" w:lineRule="auto" w:before="240" w:after="120"/>
        <w:ind w:left="0" w:firstLine="0"/>
        <w:jc w:val="left"/>
        <w:rPr>
          <w:sz w:val="24"/>
          <w:szCs w:val="24"/>
        </w:rPr>
      </w:pPr>
      <w:bookmarkStart w:colFirst="0" w:colLast="0" w:name="_l3mlfcex4d0x" w:id="3"/>
      <w:bookmarkEnd w:id="3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1 INTRODUÇÃO 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ind w:firstLine="709"/>
        <w:jc w:val="both"/>
        <w:rPr/>
      </w:pPr>
      <w:r>
        <w:rPr>
          <w:rtl w:val="0"/>
        </w:rPr>
        <w:t>O Eletroencefalograma (EEG) constitui uma ferramenta fundamental para o diagnóstico e o monitoramento da epilepsia, pois registra com elevada resolução temporal a atividade elétrica cerebral. A análise de registros extensos, contudo, permanece predominantemente visual, demanda tempo especializado e está sujeita à fadiga e à variabilidade entre avaliadores (TATUM et al., 2018; ROY et al., 2019). Esse cenário reforça a necessidade de ferramentas computacionais capazes de apoiar a triagem sem substituir a decisão médica.</w:t>
      </w:r>
    </w:p>
    <w:p w:rsidR="00000000" w:rsidDel="00000000" w:rsidP="00000000" w:rsidRDefault="00000000" w:rsidRPr="00000000" w14:paraId="00000063">
      <w:pPr>
        <w:spacing w:after="0" w:before="0" w:line="360" w:lineRule="auto"/>
        <w:ind w:firstLine="709"/>
        <w:jc w:val="both"/>
        <w:rPr/>
      </w:pPr>
      <w:r>
        <w:rPr>
          <w:rtl w:val="0"/>
        </w:rPr>
        <w:t>Embora técnicas de Deep Learning apresentem potencial para reconhecer padrões complexos em EEG, sua incorporação ao fluxo clínico enfrenta barreiras técnicas e operacionais. Entre elas estão a fragmentação entre ferramentas de armazenamento e visualização, a dependência de soluções proprietárias, a dificuldade de processar exames multicanais extensos e a opacidade das redes neurais profundas. Um classificador isolado não resolve integralmente o problema: o especialista também precisa importar o exame, navegar pelos canais, localizar os eventos suspeitos, avaliar a explicação do modelo e registrar seu próprio parecer.</w:t>
      </w:r>
    </w:p>
    <w:p w:rsidR="00000000" w:rsidDel="00000000" w:rsidP="00000000" w:rsidRDefault="00000000" w:rsidRPr="00000000" w14:paraId="00000064">
      <w:pPr>
        <w:spacing w:after="0" w:before="0" w:line="360" w:lineRule="auto"/>
        <w:ind w:firstLine="709"/>
        <w:jc w:val="both"/>
        <w:rPr/>
      </w:pPr>
      <w:r>
        <w:rPr>
          <w:rtl w:val="0"/>
        </w:rPr>
        <w:t>Diante dessa lacuna, o presente trabalho propõe o desenvolvimento de um protótipo funcional de plataforma web para apoio à triagem e à análise de EEG. A solução centraliza a ingestão de arquivos EDF, a visualização multicanal, a inferência temporal por uma rede CNN-BiLSTM e a apresentação de trechos suspeitos. A arquitetura cliente-servidor mediada por API REST separa a interface do núcleo de processamento e permite evoluir cada componente de forma independente.</w:t>
      </w:r>
    </w:p>
    <w:p w:rsidR="00000000" w:rsidDel="00000000" w:rsidP="00000000" w:rsidRDefault="00000000" w:rsidRPr="00000000" w14:paraId="00000065">
      <w:pPr>
        <w:spacing w:after="0" w:before="0" w:line="360" w:lineRule="auto"/>
        <w:ind w:firstLine="709"/>
        <w:jc w:val="both"/>
        <w:rPr>
          <w:sz w:val="24"/>
          <w:szCs w:val="24"/>
        </w:rPr>
      </w:pPr>
      <w:r>
        <w:rPr>
          <w:rtl w:val="0"/>
        </w:rPr>
        <w:t>A explicabilidade é incorporada por meio do método SHAP, que relaciona a decisão da rede às características, aos canais e aos intervalos temporais analisados. O sistema deve ser compreendido como ferramenta experimental de segunda opinião, com potencial para apoiar a produtividade e direcionar a revisão do especialista, e não como substituto do diagnóstico clínico. Por lidar com informações de saúde, sua evolução também deve considerar acessibilidade, privacidade, segurança e o enquadramento regulatório aplicável a Software como Dispositivo Médico.</w:t>
      </w:r>
    </w:p>
    <w:p/>
    <w:p>
      <w:pPr>
        <w:spacing w:line="360" w:lineRule="auto" w:before="0" w:after="0"/>
        <w:ind w:firstLine="709"/>
        <w:jc w:val="both"/>
      </w:pPr>
      <w:r>
        <w:t>No Brasil, a eventual disponibilização de software com finalidade médica deve considerar a regulamentação aplicável a Software como Dispositivo Médico, incluindo a RDC nº 657, de 24 de março de 2022, da Agência Nacional de Vigilância Sanitária. O protótipo desenvolvido neste trabalho não foi submetido à regularização sanitária. No âmbito da interface, as recomendações do eMAG e das WCAG constituem referências para evolução da acessibilidade, sem que se alegue conformidade formal antes de uma auditoria específica.</w:t>
      </w:r>
    </w:p>
    <w:p w:rsidR="00000000" w:rsidDel="00000000" w:rsidP="00000000" w:rsidRDefault="00000000" w:rsidRPr="00000000" w14:paraId="00000066">
      <w:pPr>
        <w:pStyle w:val="Heading2"/>
        <w:keepNext/>
        <w:spacing w:line="240" w:lineRule="auto" w:before="240" w:after="120"/>
        <w:ind w:left="0" w:firstLine="0"/>
        <w:jc w:val="left"/>
        <w:rPr/>
      </w:pPr>
      <w:bookmarkStart w:colFirst="0" w:colLast="0" w:name="_q00vb749n9x" w:id="4"/>
      <w:bookmarkEnd w:id="4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1.1 OBJETIVOS </w:t>
      </w:r>
    </w:p>
    <w:p w:rsidR="00000000" w:rsidDel="00000000" w:rsidP="00000000" w:rsidRDefault="00000000" w:rsidRPr="00000000" w14:paraId="00000067">
      <w:pPr>
        <w:pStyle w:val="Heading3"/>
        <w:keepNext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bookmarkStart w:colFirst="0" w:colLast="0" w:name="_m78squaotloc" w:id="5"/>
      <w:bookmarkEnd w:id="5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1.1.1 Objetivo Geral 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68">
      <w:pPr>
        <w:spacing w:after="0" w:before="0" w:line="360" w:lineRule="auto"/>
        <w:ind w:firstLine="709"/>
        <w:jc w:val="both"/>
        <w:rPr>
          <w:b w:val="1"/>
          <w:bCs w:val="1"/>
          <w:sz w:val="24"/>
          <w:szCs w:val="24"/>
        </w:rPr>
      </w:pPr>
      <w:r>
        <w:rPr>
          <w:rtl w:val="0"/>
        </w:rPr>
        <w:t>Desenvolver e avaliar um protótipo funcional de plataforma web para apoio à triagem e à análise de exames de Eletroencefalograma (EEG), integrando uma arquitetura híbrida CNN-BiLSTM e técnicas de Inteligência Artificial Explicável (XAI) para localizar temporalmente eventos suspeitos e fornecer informações de apoio à revisão do especialista.</w:t>
      </w:r>
    </w:p>
    <w:p w:rsidR="00000000" w:rsidDel="00000000" w:rsidP="00000000" w:rsidRDefault="00000000" w:rsidRPr="00000000" w14:paraId="00000069">
      <w:pPr>
        <w:pStyle w:val="Heading3"/>
        <w:keepNext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bookmarkStart w:colFirst="0" w:colLast="0" w:name="_5buap6hfv1yf" w:id="6"/>
      <w:bookmarkEnd w:id="6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1.1.2 Objetivos Específicos 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6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Os objetivos específicos a seguir foram definidos para viabilizar o alcance do objetivo geral: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line="360" w:lineRule="auto"/>
        <w:ind w:left="720" w:firstLine="709"/>
        <w:jc w:val="both"/>
        <w:rPr/>
      </w:pPr>
      <w:r>
        <w:rPr>
          <w:rtl w:val="0"/>
        </w:rPr>
        <w:t>Levantar e documentar requisitos funcionais e não funcionais relacionados à ingestão, ao processamento, à visualização, à segurança e à interpretabilidade de sinais de EEG.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="360" w:lineRule="auto"/>
        <w:ind w:left="720" w:firstLine="709"/>
        <w:jc w:val="both"/>
        <w:rPr/>
      </w:pPr>
      <w:r>
        <w:rPr>
          <w:rtl w:val="0"/>
        </w:rPr>
        <w:t>Implementar uma interface web responsiva, desenvolvida em React, para importação de EDF, navegação temporal, zoom e seleção dinâmica de canais.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="360" w:lineRule="auto"/>
        <w:ind w:left="720" w:firstLine="709"/>
        <w:jc w:val="both"/>
        <w:rPr/>
      </w:pPr>
      <w:r>
        <w:rPr>
          <w:rtl w:val="0"/>
        </w:rPr>
        <w:t>Desenvolver um módulo de ingestão capaz de validar arquivos EDF, extrair seus metadados e preservar a identidade dos canais durante a análise.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="360" w:lineRule="auto"/>
        <w:ind w:left="720" w:firstLine="709"/>
        <w:jc w:val="both"/>
        <w:rPr/>
      </w:pPr>
      <w:r>
        <w:rPr>
          <w:rtl w:val="0"/>
        </w:rPr>
        <w:t>Estruturar o janelamento temporal depois da separação dos pacientes entre treino e calibração, ampliando a quantidade de exemplos sem provocar vazamento de dados.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="360" w:lineRule="auto"/>
        <w:ind w:left="720" w:firstLine="709"/>
        <w:jc w:val="both"/>
        <w:rPr/>
      </w:pPr>
      <w:r>
        <w:rPr>
          <w:rtl w:val="0"/>
        </w:rPr>
        <w:t>Extrair características tempo-frequência por canal, Entropia de Shannon e medidas de Dinâmica Simbólica, e treinar uma rede CNN-BiLSTM com probabilidade ictal por passo temporal.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="360" w:lineRule="auto"/>
        <w:ind w:left="720" w:firstLine="709"/>
        <w:jc w:val="both"/>
        <w:rPr/>
      </w:pPr>
      <w:r>
        <w:rPr>
          <w:rtl w:val="0"/>
        </w:rPr>
        <w:t>Integrar o método SHAP para representar a relevância das características por canal e por intervalo temporal sobre o traçado do EEG.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before="0" w:beforeAutospacing="0" w:line="360" w:lineRule="auto"/>
        <w:ind w:left="720" w:firstLine="709"/>
        <w:jc w:val="both"/>
        <w:rPr/>
      </w:pPr>
      <w:r>
        <w:rPr>
          <w:rtl w:val="0"/>
        </w:rPr>
        <w:t>Avaliar o modelo em registros públicos da CHB-MIT por EDF, evento e localização temporal, utilizando precisão, sensibilidade, F1, IoU e falsos alarmes por hora.</w:t>
      </w:r>
    </w:p>
    <w:p w:rsidR="00000000" w:rsidDel="00000000" w:rsidP="00000000" w:rsidRDefault="00000000" w:rsidRPr="00000000" w14:paraId="00000072">
      <w:pPr>
        <w:pStyle w:val="Heading2"/>
        <w:keepNext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bookmarkStart w:colFirst="0" w:colLast="0" w:name="_1clf1nar1xaz" w:id="7"/>
      <w:bookmarkEnd w:id="7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1.2 Justificativa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73">
      <w:pPr>
        <w:spacing w:after="0" w:before="0" w:line="360" w:lineRule="auto"/>
        <w:ind w:firstLine="709"/>
        <w:jc w:val="both"/>
        <w:rPr/>
      </w:pPr>
      <w:r>
        <w:rPr>
          <w:rtl w:val="0"/>
        </w:rPr>
        <w:t>A leitura manual de EEG é extensa e depende de conhecimento especializado, enquanto classificadores isolados não oferecem necessariamente o fluxo de ingestão, visualização, explicação e registro do parecer. O projeto busca enfrentar essa lacuna por meio de uma plataforma integrada, preservando a supervisão humana e apresentando a saída da IA como trecho suspeito, e não como diagnóstico final.</w:t>
      </w:r>
    </w:p>
    <w:p w:rsidR="00000000" w:rsidDel="00000000" w:rsidP="00000000" w:rsidRDefault="00000000" w:rsidRPr="00000000" w14:paraId="00000074">
      <w:pPr>
        <w:spacing w:after="0" w:before="0" w:line="360" w:lineRule="auto"/>
        <w:ind w:firstLine="709"/>
        <w:jc w:val="both"/>
        <w:rPr/>
      </w:pPr>
      <w:r>
        <w:rPr>
          <w:rtl w:val="0"/>
        </w:rPr>
        <w:t>A proposta fundamenta-se na experiência adquirida no projeto de iniciação tecnológica Identificação de Padrões Genéticos para Diagnóstico de Doenças Utilizando Inteligência Artificial, posteriormente direcionado à análise de sinais bioelétricos (MOREIRA et al., 2025). O trabalho anterior demonstrou a viabilidade de extrair características matemáticas de séries temporais; o presente projeto amplia essa contribuição ao incorporar tais técnicas a um fluxo web completo.</w:t>
      </w:r>
    </w:p>
    <w:p w:rsidR="00000000" w:rsidDel="00000000" w:rsidP="00000000" w:rsidRDefault="00000000" w:rsidRPr="00000000" w14:paraId="00000075">
      <w:pPr>
        <w:spacing w:after="0" w:before="0" w:line="360" w:lineRule="auto"/>
        <w:ind w:firstLine="709"/>
        <w:jc w:val="both"/>
        <w:rPr/>
      </w:pPr>
      <w:r>
        <w:rPr>
          <w:rtl w:val="0"/>
        </w:rPr>
        <w:t>A disponibilização por navegador reduz a dependência de instalações proprietárias em cada estação de trabalho e permite centralizar o processamento computacional no servidor. Essa estratégia não elimina custos de infraestrutura, mas favorece manutenção, atualização e acesso controlado. A integração entre visualização, modelo temporal e XAI também contribui para que a predição seja inspecionada no contexto do sinal original.</w:t>
      </w:r>
    </w:p>
    <w:p w:rsidR="00000000" w:rsidDel="00000000" w:rsidP="00000000" w:rsidRDefault="00000000" w:rsidRPr="00000000" w14:paraId="00000076">
      <w:pPr>
        <w:spacing w:after="0" w:before="0" w:line="360" w:lineRule="auto"/>
        <w:ind w:firstLine="709"/>
        <w:jc w:val="both"/>
        <w:rPr/>
      </w:pPr>
      <w:r>
        <w:rPr>
          <w:rtl w:val="0"/>
        </w:rPr>
        <w:t>A relevância acadêmica decorre da aplicação conjunta de Engenharia de Software, processamento de sinais, aprendizado profundo e interpretabilidade. O resultado esperado é um protótipo verificável, acompanhado de métricas e limitações explícitas, que possa servir de base para estudos posteriores de generalização interpaciente, usabilidade e validação com especialistas.</w:t>
      </w:r>
    </w:p>
    <w:p w:rsidR="00000000" w:rsidDel="00000000" w:rsidP="00000000" w:rsidRDefault="00000000" w:rsidRPr="00000000" w14:paraId="00000077">
      <w:pPr>
        <w:spacing w:after="0"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/>
        <w:spacing w:line="240" w:lineRule="auto" w:before="240" w:after="120"/>
        <w:ind w:left="0" w:firstLine="0"/>
        <w:jc w:val="left"/>
        <w:rPr>
          <w:sz w:val="24"/>
          <w:szCs w:val="24"/>
        </w:rPr>
      </w:pPr>
      <w:bookmarkStart w:colFirst="0" w:colLast="0" w:name="_x1957ionkqr3" w:id="8"/>
      <w:bookmarkEnd w:id="8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2 REFERENCIAL TEÓRICO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/>
        <w:spacing w:line="240" w:lineRule="auto" w:before="240" w:after="120"/>
        <w:ind w:left="0" w:firstLine="0"/>
        <w:jc w:val="left"/>
        <w:rPr/>
      </w:pPr>
      <w:bookmarkStart w:colFirst="0" w:colLast="0" w:name="_mrnm7u5khih5" w:id="9"/>
      <w:bookmarkEnd w:id="9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2.1 Contexto Neurofisiológico e Desafios da Análise Computacional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7B">
      <w:pPr>
        <w:spacing w:after="0" w:before="0" w:line="360" w:lineRule="auto"/>
        <w:ind w:firstLine="709"/>
        <w:jc w:val="both"/>
        <w:rPr/>
      </w:pPr>
      <w:r>
        <w:rPr>
          <w:rtl w:val="0"/>
        </w:rPr>
        <w:t>O Eletroencefalograma (EEG) é reconhecido como recurso fundamental para o diagnóstico e o monitoramento de epilepsia e outras desordens cerebrais, caracterizando-se como exame não invasivo, de baixo custo e elevada resolução temporal (NIEDERMEYER; LOPES DA SILVA, 2005; CRAIK et al., 2019). A duração dos registros e a quantidade de canais produzem grande volume de dados, o que aumenta a carga de revisão dos especialistas.</w:t>
      </w:r>
    </w:p>
    <w:p w:rsidR="00000000" w:rsidDel="00000000" w:rsidP="00000000" w:rsidRDefault="00000000" w:rsidRPr="00000000" w14:paraId="0000007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Apesar da importância crítica do exame, a interpretação do EEG ainda é predominantemente manual e visual. Relatórios e estudos da área indicam que a análise de longas séries temporais (exames que podem durar de 20 minutos a dias) é um processo exaustivo, sujeito à fadiga e à subjetividade do especialista (TATUM et al., 2018; ROY et al., 2019). Essa dependência da análise humana exclusiva constitui uma vulnerabilidade diagnóstica crítica. A leitura visual convencional é criticada por ser lenta, apresentar baixa concordância entre diferentes avaliadores (variabilidade interobservador) e ser propensa a erros na detecção de eventos sutis ou raros em meio a artefatos de ruído (ABOALAYON et al., 2016).</w:t>
      </w:r>
    </w:p>
    <w:p w:rsidR="00000000" w:rsidDel="00000000" w:rsidP="00000000" w:rsidRDefault="00000000" w:rsidRPr="00000000" w14:paraId="0000007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Diante da complexidade não-linear dos sinais biológicos, a aplicação de Inteligência Artificial deixou de ser apenas uma promessa acadêmica e tornou-se uma necessidade para o suporte à decisão clínica (TOPOL, 2019). O estado da arte exige modernização e eficiência, tornando sistemas de auxílio ao diagnóstico (CDSS - Clinical Decision Support Systems) indispensáveis para triagem em larga escala (SUTTON et al., 2020). A adoção de algoritmos de Deep Learning tem como principal objetivo sanar as limitações humanas, pois: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line="360" w:lineRule="auto"/>
        <w:ind w:left="720" w:firstLine="709"/>
        <w:jc w:val="both"/>
        <w:rPr>
          <w:u w:val="none"/>
        </w:rPr>
      </w:pPr>
      <w:r>
        <w:rPr>
          <w:rtl w:val="0"/>
        </w:rPr>
        <w:t>Aumenta a Sensibilidade: redes profundas podem identificar relações não lineares e padrões distribuídos no sinal que são difíceis de representar por regras fixas; o desempenho, contudo, depende da base, do protocolo de validação e da população avaliada (ACHARYA et al., 2018; ROY et al., 2019).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="360" w:lineRule="auto"/>
        <w:ind w:left="720" w:firstLine="709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Automatiza a Triagem: Soluções tecnológicas processam arquivos pesados em segundos, permitindo que o médico foque sua atenção apenas nos segmentos apontados como patológicos pelo sistema, otimizando o fluxo clínico (ESTEVA et al., 2019).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before="0" w:beforeAutospacing="0" w:line="360" w:lineRule="auto"/>
        <w:ind w:left="720" w:firstLine="709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Padroniza a Análise: Ao utilizar critérios matemáticos consistentes, a tecnologia reduz a variabilidade diagnóstica, proporcionando uma "segunda opinião" isenta de fatores como cansaço ou viés cognitivo (FAUST et al., 2018).</w:t>
      </w:r>
    </w:p>
    <w:p w:rsidR="00000000" w:rsidDel="00000000" w:rsidP="00000000" w:rsidRDefault="00000000" w:rsidRPr="00000000" w14:paraId="00000081">
      <w:pPr>
        <w:spacing w:after="0" w:before="0" w:line="360" w:lineRule="auto"/>
        <w:ind w:firstLine="709"/>
        <w:jc w:val="both"/>
        <w:rPr/>
      </w:pPr>
      <w:r>
        <w:rPr>
          <w:rtl w:val="0"/>
        </w:rPr>
        <w:t>Portanto, uma plataforma web de apoio não busca substituir o médico, mas organizar o fluxo de triagem e apresentar evidências computacionais para revisão. A utilidade clínica efetiva depende de validação externa, avaliação com especialistas e controle dos falsos alarmes.</w:t>
      </w:r>
    </w:p>
    <w:p w:rsidR="00000000" w:rsidDel="00000000" w:rsidP="00000000" w:rsidRDefault="00000000" w:rsidRPr="00000000" w14:paraId="00000082">
      <w:pPr>
        <w:pStyle w:val="Heading2"/>
        <w:keepNext/>
        <w:spacing w:line="240" w:lineRule="auto" w:before="240" w:after="120"/>
        <w:ind w:firstLine="0"/>
        <w:jc w:val="left"/>
        <w:rPr/>
      </w:pPr>
      <w:bookmarkStart w:colFirst="0" w:colLast="0" w:name="_eimas9j4voya" w:id="10"/>
      <w:bookmarkEnd w:id="10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2.2 Desenvolvimento Ágil e Arquitetura Orientada a Serviços </w:t>
      </w:r>
    </w:p>
    <w:p w:rsidR="00000000" w:rsidDel="00000000" w:rsidP="00000000" w:rsidRDefault="00000000" w:rsidRPr="00000000" w14:paraId="00000083">
      <w:pPr>
        <w:spacing w:after="0" w:line="360" w:lineRule="auto" w:before="0"/>
        <w:ind w:firstLine="709"/>
        <w:jc w:val="both"/>
        <w:rPr/>
      </w:pPr>
      <w:r>
        <w:rPr>
          <w:sz w:val="24"/>
          <w:szCs w:val="24"/>
          <w:rtl w:val="0"/>
        </w:rPr>
        <w:t>O desenvolvimento adotou uma abordagem incremental adaptada a um projeto individual de Pesquisa e Desenvolvimento. Em vez de reproduzir integralmente papéis coletivos de Scrum ou XP, o trabalho foi organizado em ciclos de implementação, experimento, avaliação e revisão com a orientação acadêmica. O Git foi utilizado para versionar o código e manter a rastreabilidade das alterações.</w:t>
      </w:r>
    </w:p>
    <w:p w:rsidR="00000000" w:rsidDel="00000000" w:rsidP="00000000" w:rsidRDefault="00000000" w:rsidRPr="00000000" w14:paraId="00000084">
      <w:pPr>
        <w:spacing w:after="0" w:line="360" w:lineRule="auto" w:before="0"/>
        <w:ind w:firstLine="709"/>
        <w:jc w:val="both"/>
        <w:rPr/>
      </w:pPr>
      <w:r>
        <w:rPr>
          <w:rtl w:val="0"/>
        </w:rPr>
        <w:t>Os ciclos curtos permitiram comparar arquiteturas, estratégias de amostragem e regras temporais antes da integração ao produto. Cada alteração relevante foi confrontada com uma referência controlada, reduzindo o risco de promover um modelo apenas por melhora pontual em uma única métrica.</w:t>
      </w:r>
    </w:p>
    <w:p w:rsidR="00000000" w:rsidDel="00000000" w:rsidP="00000000" w:rsidRDefault="00000000" w:rsidRPr="00000000" w14:paraId="00000085">
      <w:pPr>
        <w:spacing w:after="0" w:line="360" w:lineRule="auto" w:before="0"/>
        <w:ind w:firstLine="709"/>
        <w:jc w:val="both"/>
        <w:rPr/>
      </w:pPr>
      <w:r>
        <w:rPr>
          <w:rtl w:val="0"/>
        </w:rPr>
        <w:t>A arquitetura segue o modelo cliente-servidor mediado por API REST. O frontend React envia requisições ao backend FastAPI, responsável pela persistência, pelo processamento dos arquivos EDF e pela execução da IA. Esse desacoplamento permite manter a interface responsiva enquanto as tarefas computacionalmente intensivas são executadas no servidor.</w:t>
      </w:r>
    </w:p>
    <w:p w:rsidR="00000000" w:rsidDel="00000000" w:rsidP="00000000" w:rsidRDefault="00000000" w:rsidRPr="00000000" w14:paraId="00000086">
      <w:pPr>
        <w:spacing w:after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/>
        <w:spacing w:line="240" w:lineRule="auto" w:before="240" w:after="120"/>
        <w:ind w:firstLine="0"/>
        <w:jc w:val="left"/>
        <w:rPr/>
      </w:pPr>
      <w:bookmarkStart w:colFirst="0" w:colLast="0" w:name="_mf5yy08agam" w:id="11"/>
      <w:bookmarkEnd w:id="11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2.3 Tecnologias Full-Stack e Persistência de Dados Biomédicos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88">
      <w:pPr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A arquitetura Full-Stack moderna é essencial para o desenvolvimento de soluções que exigem alta performance e interatividade, como a proposta. Na camada de desenvolvimento da API e Inteligência Artificial, a escolha pela linguagem Python é crucial, pois ela constitui o padrão da indústria para Ciência de Dados, oferecendo bibliotecas robustas (como TensorFlow e MNE) para manipulação de sinais (VAN ROSSUM; DRAKE, 2009; MCKINNEY, 2012). Para a interface web, sistemas modernos de visualização médica exigem gráficos dinâmicos e interativos (necessários para o zoom e seleção de canais no EEG), sendo o React.js a biblioteca mais indicada para a construção de uma Single Page Application (SPA) fluida e reativa (META PLATFORMS, 2024; BANKS; PORCELLO, 2020).</w:t>
      </w:r>
    </w:p>
    <w:p w:rsidR="00000000" w:rsidDel="00000000" w:rsidP="00000000" w:rsidRDefault="00000000" w:rsidRPr="00000000" w14:paraId="00000089">
      <w:pPr>
        <w:spacing w:after="0" w:line="360" w:lineRule="auto" w:before="0"/>
        <w:ind w:firstLine="709"/>
        <w:jc w:val="both"/>
        <w:rPr/>
      </w:pPr>
      <w:r>
        <w:rPr>
          <w:rtl w:val="0"/>
        </w:rPr>
        <w:t>Na persistência, o PostgreSQL armazena metadados cadastrais e clínicos, enquanto arquivos EDF, artefatos dos modelos e mapas gerados são mantidos no sistema de arquivos e referenciados pelo banco. Não foram utilizados pgvector, banco vetorial ou formatos .npy/.h5 como persistência clínica. Essa delimitação reduz ambiguidades e corresponde à implementação do protótipo.</w:t>
      </w:r>
    </w:p>
    <w:p w:rsidR="00000000" w:rsidDel="00000000" w:rsidP="00000000" w:rsidRDefault="00000000" w:rsidRPr="00000000" w14:paraId="0000008A">
      <w:pPr>
        <w:pStyle w:val="Heading2"/>
        <w:keepNext/>
        <w:spacing w:line="240" w:lineRule="auto" w:before="240" w:after="120"/>
        <w:ind w:left="0" w:firstLine="0"/>
        <w:jc w:val="left"/>
        <w:rPr/>
      </w:pPr>
      <w:bookmarkStart w:colFirst="0" w:colLast="0" w:name="_z8ee6qpdqh5v" w:id="12"/>
      <w:bookmarkEnd w:id="12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2.4 Inteligência Artificial Híbrida e Explicabilidade (XAI)</w:t>
      </w:r>
    </w:p>
    <w:p w:rsidR="00000000" w:rsidDel="00000000" w:rsidP="00000000" w:rsidRDefault="00000000" w:rsidRPr="00000000" w14:paraId="0000008B">
      <w:pPr>
        <w:spacing w:after="0" w:line="360" w:lineRule="auto" w:before="0"/>
        <w:ind w:firstLine="709"/>
        <w:jc w:val="both"/>
        <w:rPr/>
      </w:pPr>
      <w:r>
        <w:rPr>
          <w:rtl w:val="0"/>
        </w:rPr>
        <w:t>A aplicação de IA na saúde enfrenta o problema da opacidade algorítmica. Em sistemas de apoio, uma métrica elevada não é suficiente para justificar confiança: também é necessário conhecer a origem dos dados, o protocolo de validação, as limitações do modelo e os elementos que influenciaram cada predição (AMANN et al., 2020; ADADI; BERRADA, 2018).</w:t>
      </w:r>
    </w:p>
    <w:p w:rsidR="00000000" w:rsidDel="00000000" w:rsidP="00000000" w:rsidRDefault="00000000" w:rsidRPr="00000000" w14:paraId="0000008C">
      <w:pPr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A abordagem proposta inova ao utilizar uma Arquitetura Híbrida (CNN-LSTM) combinada com técnicas de Explainable AI (XAI). Redes Neurais convencionais muitas vezes falham em capturar a dinâmica temporal de uma crise epiléptica ou focam apenas na morfologia da onda isolada. A arquitetura híbrida une o melhor de dois paradigmas: a Convolutional Neural Network (CNN) extrai características espaciais (forma da onda) e a Long Short-Term Memory (LSTM) analisa a dependência temporal (evolução da crise) (HOCHREITER; SCHMIDHUBER, 1997; YAMASHITA et al., 2018). Além disso, a integração de biomarcadores matemáticos, como a Entropia de Shannon, serve como um guia (feature engineering) para o modelo, estabilizando o aprendizado em cenários com poucos dados (SHANNON, 1948; ACHARYA et al., 2018).</w:t>
        <w:br w:type="textWrapping"/>
        <w:tab/>
        <w:t xml:space="preserve">A escolha de uma abordagem baseada em algoritmos de </w:t>
      </w:r>
      <w:r w:rsidDel="00000000" w:rsidR="00000000" w:rsidRPr="00000000">
        <w:rPr>
          <w:i w:val="1"/>
          <w:i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 (CNN e LSTM) justifica-se pelo estudo comparativo sistemático realizado por Moreira et al. (2025). Nessa investigação preliminar, ao avaliar múltiplos modelos sobre uma base de dados de sinais de EEG, o algoritmo clássico Random Forest obteve uma acurácia de 86,0%, enquanto o modelo Multi-Layer Perceptron (MLP Tabular) alcançou 97,7%. Em contrapartida, as arquiteturas profundas apresentaram os desempenhos mais elevados, com a rede convolucional (CNN) atingindo 99,2% e a rede recorrente (LSTM) alcançando uma acurácia de 100,0% na diferenciação de padrões patológicos (MOREIRA et al., 2025). Desse modo, o desenvolvimento do presente software adota essas duas arquiteturas como base para o seu motor preditivo. </w:t>
      </w:r>
    </w:p>
    <w:p w:rsidR="00000000" w:rsidDel="00000000" w:rsidP="00000000" w:rsidRDefault="00000000" w:rsidRPr="00000000" w14:paraId="0000008D">
      <w:pPr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Para que essa análise seja confiável, a integração do método SHAP (Shapley Additive exPlanations) é fundamental. Proposto por Lundberg e Lee (2017), o SHAP baseia-se na teoria dos jogos para atribuir valores de importância a cada feature de entrada. O uso de XAI neste contexto: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Favorece a Interpretabilidade: o sistema associa os valores de relevância às features, aos canais e aos intervalos temporais da sequência analisada, permitindo confrontar a saída do modelo com o traçado exibido.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Apoia a Revisão Clínica: a explicação não comprova uma justificativa fisiológica nem valida automaticamente a predição. Ela oferece uma indicação adicional para que o especialista examine se a região destacada é compatível com evento ictal, padrão interictal ou artefato.</w:t>
      </w:r>
    </w:p>
    <w:p w:rsidR="00000000" w:rsidDel="00000000" w:rsidP="00000000" w:rsidRDefault="00000000" w:rsidRPr="00000000" w14:paraId="00000090">
      <w:pPr>
        <w:spacing w:after="0" w:line="360" w:lineRule="auto" w:before="0"/>
        <w:ind w:firstLine="709"/>
        <w:jc w:val="both"/>
        <w:rPr>
          <w:sz w:val="24"/>
          <w:szCs w:val="24"/>
        </w:rPr>
      </w:pPr>
      <w:r>
        <w:rPr>
          <w:rtl w:val="0"/>
        </w:rPr>
        <w:t>A combinação entre modelo temporal e XAI é, portanto, utilizada para tornar a saída computacional mais inspecionável, mantendo explícita a necessidade de supervisão humana e validação externa.</w:t>
      </w:r>
    </w:p>
    <w:p w:rsidR="00000000" w:rsidDel="00000000" w:rsidP="00000000" w:rsidRDefault="00000000" w:rsidRPr="00000000" w14:paraId="00000091">
      <w:pPr>
        <w:pStyle w:val="Heading2"/>
        <w:keepNext/>
        <w:spacing w:line="240" w:lineRule="auto" w:before="240" w:after="120"/>
        <w:ind w:left="0" w:firstLine="0"/>
        <w:jc w:val="left"/>
        <w:rPr/>
      </w:pPr>
      <w:bookmarkStart w:colFirst="0" w:colLast="0" w:name="_b7ssjv3hmnvy" w:id="13"/>
      <w:bookmarkEnd w:id="13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2.5 Transformação Digital no Diagnóstico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92">
      <w:pPr>
        <w:spacing w:after="0" w:line="360" w:lineRule="auto" w:before="0"/>
        <w:ind w:firstLine="709"/>
        <w:jc w:val="both"/>
        <w:rPr/>
      </w:pPr>
      <w:r>
        <w:rPr>
          <w:rtl w:val="0"/>
        </w:rPr>
        <w:t>A transformação digital em saúde depende de sistemas capazes de trocar e apresentar dados de forma consistente. Neste trabalho, a interoperabilidade foi delimitada ao suporte ao formato EDF e à comunicação por API REST. Integrações hospitalares baseadas em HL7 FHIR ou DICOM não foram implementadas e permanecem como possibilidade de evolução.</w:t>
      </w:r>
    </w:p>
    <w:p w:rsidR="00000000" w:rsidDel="00000000" w:rsidP="00000000" w:rsidRDefault="00000000" w:rsidRPr="00000000" w14:paraId="00000093">
      <w:pPr>
        <w:spacing w:after="0" w:line="360" w:lineRule="auto" w:before="0"/>
        <w:ind w:firstLine="709"/>
        <w:jc w:val="both"/>
        <w:rPr/>
      </w:pPr>
      <w:r>
        <w:rPr>
          <w:rtl w:val="0"/>
        </w:rPr>
        <w:t>A centralização web pode reduzir fragmentação operacional ao reunir cadastro, exame, visualização, análise e laudo em uma única interface. Entretanto, rapidez, segurança e benefício clínico não devem ser presumidos; essas propriedades precisam ser demonstradas por testes técnicos e estudos com usuários.</w:t>
      </w:r>
    </w:p>
    <w:p w:rsidR="00000000" w:rsidDel="00000000" w:rsidP="00000000" w:rsidRDefault="00000000" w:rsidRPr="00000000" w14:paraId="00000094">
      <w:pPr>
        <w:spacing w:after="0" w:line="360" w:lineRule="auto" w:before="0"/>
        <w:ind w:firstLine="709"/>
        <w:jc w:val="both"/>
        <w:rPr/>
      </w:pPr>
      <w:r>
        <w:rPr>
          <w:rtl w:val="0"/>
        </w:rPr>
        <w:t>Nesse contexto, a plataforma proposta se alinha à digitalização do fluxo de análise, mantendo o especialista responsável pela interpretação e pelo laudo. A automação fornece trechos suspeitos e explicações, mas não garante eliminação de erros nem maior precisão clínica sem validação apropriada.</w:t>
      </w:r>
    </w:p>
    <w:p w:rsidR="00000000" w:rsidDel="00000000" w:rsidP="00000000" w:rsidRDefault="00000000" w:rsidRPr="00000000" w14:paraId="00000095">
      <w:pPr>
        <w:spacing w:after="0"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/>
        <w:spacing w:line="240" w:lineRule="auto" w:before="240" w:after="120"/>
        <w:ind w:left="0" w:firstLine="0"/>
        <w:jc w:val="left"/>
        <w:rPr/>
      </w:pPr>
      <w:bookmarkStart w:colFirst="0" w:colLast="0" w:name="_s2zgn28frzm0" w:id="14"/>
      <w:bookmarkEnd w:id="14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 METODOLOGIA 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>
          <w:color w:val="1b1c1d"/>
        </w:rPr>
      </w:pPr>
      <w:r>
        <w:rPr>
          <w:color w:val="1b1c1d"/>
          <w:rtl w:val="0"/>
        </w:rPr>
        <w:t>O desenvolvimento foi organizado nas etapas apresentadas na Figura 2, desde o levantamento de requisitos até a integração e a verificação técnica do protótipo.</w:t>
      </w:r>
    </w:p>
    <w:p/>
    <w:p>
      <w:pPr>
        <w:jc w:val="center"/>
      </w:pPr>
      <w:r>
        <w:drawing>
          <wp:inline>
            <wp:extent cx="5760720" cy="13616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s_metodologica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16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spacing w:line="240" w:lineRule="auto" w:after="60"/>
        <w:ind w:firstLine="0"/>
        <w:jc w:val="center"/>
      </w:pPr>
      <w:r>
        <w:rPr>
          <w:rFonts w:ascii="Arial" w:hAnsi="Arial"/>
          <w:sz w:val="20"/>
        </w:rPr>
        <w:t>Figura 1 - Etapas executadas no desenvolvimento e na avaliação do projeto.</w:t>
      </w:r>
    </w:p>
    <w:p/>
    <w:p>
      <w:pPr>
        <w:keepNext w:val="0"/>
        <w:spacing w:line="240" w:lineRule="auto" w:after="60"/>
        <w:ind w:firstLine="0"/>
        <w:jc w:val="center"/>
      </w:pPr>
      <w:r>
        <w:rPr>
          <w:rFonts w:ascii="Arial" w:hAnsi="Arial"/>
          <w:sz w:val="20"/>
        </w:rPr>
        <w:t>Fonte: autor, 2026.</w:t>
      </w:r>
    </w:p>
    <w:p w:rsidR="00000000" w:rsidDel="00000000" w:rsidP="00000000" w:rsidRDefault="00000000" w:rsidRPr="00000000" w14:paraId="0000009B">
      <w:pPr>
        <w:pStyle w:val="Heading2"/>
        <w:keepNext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bookmarkStart w:colFirst="0" w:colLast="0" w:name="_msztwk8da3yt" w:id="15"/>
      <w:bookmarkEnd w:id="15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3.1 Levantamento de Requisitos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>
          <w:sz w:val="24"/>
          <w:szCs w:val="24"/>
        </w:rPr>
      </w:pPr>
      <w:r>
        <w:rPr>
          <w:color w:val="1b1c1d"/>
          <w:rtl w:val="0"/>
        </w:rPr>
        <w:t>O levantamento de requisitos foi conduzido por revisão bibliográfica sobre análise computacional de EEG, análise documental do formato EDF, estudo do fluxo proposto no projeto anterior e refinamentos realizados durante a orientação acadêmica.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>
          <w:sz w:val="24"/>
          <w:szCs w:val="24"/>
        </w:rPr>
      </w:pPr>
      <w:r>
        <w:rPr>
          <w:color w:val="1b1c1d"/>
          <w:rtl w:val="0"/>
        </w:rPr>
        <w:t>Foram priorizados requisitos de ingestão, processamento de registros multicanais, visualização temporal, segurança, persistência e interpretabilidade. Não foram realizadas entrevistas estruturadas nem validação formal com neurologistas; por isso, os requisitos clínicos da versão atual são tratados como requisitos de um protótipo acadêmico.</w:t>
      </w:r>
    </w:p>
    <w:p w:rsidR="00000000" w:rsidDel="00000000" w:rsidP="00000000" w:rsidRDefault="00000000" w:rsidRPr="00000000" w14:paraId="0000009E">
      <w:pPr>
        <w:spacing w:after="0" w:line="360" w:lineRule="auto" w:before="0"/>
        <w:ind w:firstLine="709"/>
        <w:jc w:val="both"/>
        <w:rPr/>
      </w:pPr>
      <w:r>
        <w:rPr>
          <w:rtl w:val="0"/>
        </w:rPr>
        <w:t>O benchmarking teve caráter bibliográfico e conceitual. Foram comparadas características descritas na literatura e em ferramentas de processamento de EEG, com atenção a visualização, seleção de canais, suporte a EDF e explicabilidade. Ferramentas que não tenham sido avaliadas de forma documentada não são apresentadas como objetos de comparação empírica.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/>
      </w:pPr>
      <w:r>
        <w:rPr>
          <w:color w:val="1b1c1d"/>
          <w:rtl w:val="0"/>
        </w:rPr>
        <w:t>Como resultado, foram definidos os módulos de autenticação, pacientes, ingestão de EDF, visualização multicanal, análise preditiva, explicabilidade, configurações e emissão de laudo. A validação desses requisitos com profissionais da neurologia permanece como trabalho futuro.</w:t>
      </w:r>
    </w:p>
    <w:p w:rsidR="00000000" w:rsidDel="00000000" w:rsidP="00000000" w:rsidRDefault="00000000" w:rsidRPr="00000000" w14:paraId="000000A0">
      <w:pPr>
        <w:pStyle w:val="Heading2"/>
        <w:keepNext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bookmarkStart w:colFirst="0" w:colLast="0" w:name="_kk6jz3b8unjj" w:id="16"/>
      <w:bookmarkEnd w:id="16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3.2 Desenvolvimento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>
          <w:color w:val="1b1c1d"/>
        </w:rPr>
      </w:pPr>
      <w:r>
        <w:rPr>
          <w:color w:val="1b1c1d"/>
          <w:rtl w:val="0"/>
        </w:rPr>
        <w:t>O desenvolvimento foi conduzido em ciclos incrementais individuais de implementação, teste e revisão. A orientação acadêmica apoiou a avaliação das entregas e o Git registrou a evolução do código. Nos ciclos de IA, hiperparâmetros e arquiteturas foram comparados por experimentos controlados antes da integração.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>
          <w:color w:val="1b1c1d"/>
        </w:rPr>
      </w:pPr>
      <w:r>
        <w:rPr>
          <w:color w:val="1b1c1d"/>
          <w:rtl w:val="0"/>
        </w:rPr>
        <w:t>O sistema utiliza arquitetura full-stack orientada a serviços, separando o cliente React do servidor FastAPI. Essa separação mantém responsabilidades claras e permite que o processamento matemático ocorra no backend sem transferir os arquivos brutos ou o modelo para o navegador.</w:t>
      </w:r>
    </w:p>
    <w:p w:rsidR="00000000" w:rsidDel="00000000" w:rsidP="00000000" w:rsidRDefault="00000000" w:rsidRPr="00000000" w14:paraId="000000A3">
      <w:pPr>
        <w:pStyle w:val="Heading2"/>
        <w:keepNext/>
        <w:spacing w:line="240" w:lineRule="auto" w:before="240" w:after="120"/>
        <w:ind w:left="0" w:firstLine="0"/>
        <w:jc w:val="left"/>
        <w:rPr/>
      </w:pPr>
      <w:bookmarkStart w:colFirst="0" w:colLast="0" w:name="_m7bv0180de" w:id="17"/>
      <w:bookmarkEnd w:id="17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3.3 Tecnologias e ferramentas utilizadas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A4">
      <w:pPr>
        <w:spacing w:after="0" w:line="360" w:lineRule="auto" w:before="0"/>
        <w:ind w:firstLine="709"/>
        <w:jc w:val="both"/>
        <w:rPr/>
      </w:pPr>
      <w:r>
        <w:rPr>
          <w:rtl w:val="0"/>
        </w:rPr>
        <w:t>A implementação utilizou ferramentas com versões registradas para favorecer a reprodutibilidade do ambiente.</w:t>
      </w:r>
    </w:p>
    <w:p w:rsidR="00000000" w:rsidDel="00000000" w:rsidP="00000000" w:rsidRDefault="00000000" w:rsidRPr="00000000" w14:paraId="000000A5">
      <w:pPr>
        <w:spacing w:after="0" w:line="360" w:lineRule="auto" w:before="0"/>
        <w:ind w:firstLine="709"/>
        <w:jc w:val="both"/>
        <w:rPr/>
      </w:pPr>
      <w:r>
        <w:rPr>
          <w:rtl w:val="0"/>
        </w:rPr>
        <w:t>O backend foi desenvolvido com Python 3.11.9, FastAPI 0.115.6 e SQLAlchemy 2.0.36. O PostgreSQL é destinado aos metadados, enquanto os EDF, modelos e mapas permanecem no sistema de arquivos. O ambiente Python é isolado por venv.</w:t>
      </w:r>
    </w:p>
    <w:p w:rsidR="00000000" w:rsidDel="00000000" w:rsidP="00000000" w:rsidRDefault="00000000" w:rsidRPr="00000000" w14:paraId="000000A6">
      <w:pPr>
        <w:spacing w:after="0" w:line="360" w:lineRule="auto" w:before="0"/>
        <w:ind w:firstLine="709"/>
        <w:jc w:val="both"/>
        <w:rPr/>
      </w:pPr>
      <w:r>
        <w:rPr>
          <w:rtl w:val="0"/>
        </w:rPr>
        <w:t>O frontend foi desenvolvido com React 19.2.7, TypeScript, Vite 6.3.5 e Recharts 3.9.0. O Recharts foi adotado por sua integração declarativa com React; D3.js não integra a versão final do protótipo.</w:t>
      </w:r>
    </w:p>
    <w:p w:rsidR="00000000" w:rsidDel="00000000" w:rsidP="00000000" w:rsidRDefault="00000000" w:rsidRPr="00000000" w14:paraId="000000A7">
      <w:pPr>
        <w:spacing w:after="0" w:line="360" w:lineRule="auto" w:before="0"/>
        <w:ind w:firstLine="709"/>
        <w:jc w:val="both"/>
        <w:rPr/>
      </w:pPr>
      <w:r>
        <w:rPr>
          <w:rtl w:val="0"/>
        </w:rPr>
        <w:t>O pipeline utiliza TensorFlow 2.16.2, MNE-Python 1.8.0, NumPy 1.26.4 e SHAP 0.46.0. O Git registra as alterações e o arquivo de dependências do Python, juntamente com o package-lock do frontend, apoia a reprodução do ambiente. Docker não foi adotado nesta versão.</w:t>
      </w:r>
    </w:p>
    <w:p w:rsidR="00000000" w:rsidDel="00000000" w:rsidP="00000000" w:rsidRDefault="00000000" w:rsidRPr="00000000" w14:paraId="000000A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A9">
      <w:pPr>
        <w:pStyle w:val="Heading2"/>
        <w:keepNext/>
        <w:spacing w:line="240" w:lineRule="auto" w:before="240" w:after="120"/>
        <w:ind w:left="0" w:firstLine="0"/>
        <w:jc w:val="left"/>
        <w:rPr>
          <w:sz w:val="24"/>
          <w:szCs w:val="24"/>
        </w:rPr>
      </w:pPr>
      <w:bookmarkStart w:colFirst="0" w:colLast="0" w:name="_89a2uvbem9fd" w:id="18"/>
      <w:bookmarkEnd w:id="18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3.4 Desenvolvimento incremental </w:t>
      </w: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 w:before="0"/>
        <w:ind w:firstLine="709"/>
        <w:jc w:val="both"/>
        <w:rPr/>
      </w:pPr>
      <w:r>
        <w:rPr>
          <w:rtl w:val="0"/>
        </w:rPr>
        <w:t>A implementação foi dividida em incrementos dependentes, mas com atividades parcialmente paralelas. Cada incremento recebeu critérios objetivos de aceite: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Incremento I (Infraestrutura e Ingestão): concluído quando a API passou a autenticar usuários, cadastrar pacientes, receber, validar, armazenar e ler arquivos EDF, extraindo canais e taxa de amostragem.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Incremento II (Núcleo de Inteligência): concluído quando o pipeline passou a gerar de forma reproduzível características tempo-frequência por canal, Entropia de Shannon e Dinâmica Simbólica, treinar a CNN-BiLSTM e produzir probabilidades temporais. A separação por paciente foi executada antes do janelamento e da amostragem para evitar vazamento de dados.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Incremento III (Interface e Explicabilidade): concluído com a integração entre backend e frontend, incluindo visualização multicanal, seleção de canais, trechos suspeitos, sobreposição SHAP, configurações médicas e emissão de laudo.</w:t>
      </w:r>
    </w:p>
    <w:p w:rsidR="00000000" w:rsidDel="00000000" w:rsidP="00000000" w:rsidRDefault="00000000" w:rsidRPr="00000000" w14:paraId="000000AF">
      <w:pPr>
        <w:spacing w:after="0" w:line="360" w:lineRule="auto" w:before="0"/>
        <w:ind w:left="0" w:firstLine="709"/>
        <w:jc w:val="both"/>
        <w:rPr>
          <w:color w:val="ff0000"/>
        </w:rPr>
      </w:pPr>
      <w:r>
        <w:rPr>
          <w:rtl w:val="0"/>
        </w:rPr>
        <w:t>A cada ciclo foram executados testes automatizados e verificações sobre arquivos EDF reais. Alterações experimentais na IA somente foram promovidas quando apresentaram benefício no protocolo controlado de calibração.</w:t>
      </w:r>
    </w:p>
    <w:p w:rsidR="00000000" w:rsidDel="00000000" w:rsidP="00000000" w:rsidRDefault="00000000" w:rsidRPr="00000000" w14:paraId="000000B0">
      <w:pPr>
        <w:spacing w:after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B2">
      <w:pPr>
        <w:pStyle w:val="Heading2"/>
        <w:keepNext/>
        <w:spacing w:line="240" w:lineRule="auto" w:before="240" w:after="120"/>
        <w:ind w:left="0" w:firstLine="0"/>
        <w:jc w:val="left"/>
        <w:rPr/>
      </w:pPr>
      <w:bookmarkStart w:colFirst="0" w:colLast="0" w:name="_sgbc2pxseryx" w:id="19"/>
      <w:bookmarkEnd w:id="19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3.5 Testes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B3">
      <w:pPr>
        <w:spacing w:after="0" w:line="360" w:lineRule="auto" w:before="0"/>
        <w:ind w:left="0" w:firstLine="709"/>
        <w:jc w:val="both"/>
        <w:rPr/>
      </w:pPr>
      <w:r>
        <w:rPr>
          <w:rtl w:val="0"/>
        </w:rPr>
        <w:t>A verificação contemplou o comportamento do software e a avaliação científica do modelo, mantendo métricas de janela, EDF, evento e localização temporal em níveis distintos.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line="360" w:lineRule="auto" w:before="0"/>
        <w:ind w:left="1440" w:firstLine="709"/>
        <w:jc w:val="both"/>
        <w:rPr>
          <w:sz w:val="24"/>
          <w:szCs w:val="24"/>
        </w:rPr>
      </w:pPr>
      <w:r>
        <w:rPr>
          <w:rtl w:val="0"/>
        </w:rPr>
        <w:t>Dados e métricas de IA: a base final foi a CHB-MIT, por oferecer registros contínuos multicanais em EDF e anotações de início e término das crises. Foram destinados ao treino 77 EDF de 17 grupos de pacientes e à calibração 13 EDF de chb16, chb19, chb20 e chb24. A separação ocorreu por paciente antes do janelamento. Foram medidos precisão, sensibilidade e F1 por EDF e evento, F1 localizado, IoU temporal e falsos alarmes por hora.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line="360" w:lineRule="auto" w:before="0"/>
        <w:ind w:left="1440" w:firstLine="709"/>
        <w:jc w:val="both"/>
        <w:rPr>
          <w:sz w:val="24"/>
          <w:szCs w:val="24"/>
        </w:rPr>
      </w:pPr>
      <w:r>
        <w:rPr>
          <w:rtl w:val="0"/>
        </w:rPr>
        <w:t>Desempenho e carga: o processamento ponta a ponta foi verificado em EDF real de longa duração. O tempo aceitável para uso clínico não foi definido por profissionais da área; portanto, o trabalho não adota um limite arbitrário. Uma avaliação formal deve registrar hardware, duração do exame, tempo total, uso de memória e concorrência.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line="360" w:lineRule="auto" w:before="0"/>
        <w:ind w:left="1440" w:firstLine="709"/>
        <w:jc w:val="both"/>
        <w:rPr>
          <w:sz w:val="24"/>
          <w:szCs w:val="24"/>
        </w:rPr>
      </w:pPr>
      <w:r>
        <w:rPr>
          <w:rtl w:val="0"/>
        </w:rPr>
        <w:t>Usabilidade e interpretabilidade: foram realizados testes técnicos da interface, do alinhamento temporal e da projeção do SHAP. Não foi conduzido estudo formal com médicos ou técnicos; essa ausência é apresentada como limitação e trabalho futuro.</w:t>
      </w:r>
    </w:p>
    <w:p w:rsidR="00000000" w:rsidDel="00000000" w:rsidP="00000000" w:rsidRDefault="00000000" w:rsidRPr="00000000" w14:paraId="000000B7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/>
        <w:spacing w:line="240" w:lineRule="auto" w:before="240" w:after="120"/>
        <w:ind w:left="0" w:firstLine="0"/>
        <w:jc w:val="left"/>
        <w:rPr/>
      </w:pPr>
      <w:bookmarkStart w:colFirst="0" w:colLast="0" w:name="_rmst7ujtxjvb" w:id="20"/>
      <w:bookmarkEnd w:id="20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3.6 Implementação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B9">
      <w:pPr>
        <w:spacing w:after="0" w:line="360" w:lineRule="auto" w:before="0"/>
        <w:ind w:firstLine="709"/>
        <w:jc w:val="both"/>
        <w:rPr/>
      </w:pPr>
      <w:r>
        <w:rPr>
          <w:rtl w:val="0"/>
        </w:rPr>
        <w:t>A versão avaliada foi implantada localmente como protótipo de pesquisa, com frontend, API, banco de dados e artefatos de IA executados no ambiente de desenvolvimento.</w:t>
      </w:r>
    </w:p>
    <w:p w:rsidR="00000000" w:rsidDel="00000000" w:rsidP="00000000" w:rsidRDefault="00000000" w:rsidRPr="00000000" w14:paraId="000000BA">
      <w:pPr>
        <w:spacing w:after="0" w:line="360" w:lineRule="auto" w:before="0"/>
        <w:ind w:firstLine="709"/>
        <w:jc w:val="both"/>
        <w:rPr/>
      </w:pPr>
      <w:r>
        <w:rPr>
          <w:rtl w:val="0"/>
        </w:rPr>
        <w:t>A implantação em nuvem não foi validada. Embora a arquitetura permita execução em servidor, acesso remoto, escalabilidade, criptografia de transporte e operação multiusuário exigem configuração e avaliação próprias antes de qualquer uso externo.</w:t>
      </w:r>
    </w:p>
    <w:p w:rsidR="00000000" w:rsidDel="00000000" w:rsidP="00000000" w:rsidRDefault="00000000" w:rsidRPr="00000000" w14:paraId="000000BB">
      <w:pPr>
        <w:spacing w:after="0" w:line="360" w:lineRule="auto" w:before="0"/>
        <w:ind w:firstLine="709"/>
        <w:jc w:val="both"/>
        <w:rPr/>
      </w:pPr>
      <w:r>
        <w:rPr>
          <w:rtl w:val="0"/>
        </w:rPr>
        <w:t>A API disponibiliza documentação Swagger/OpenAPI gerada pelo FastAPI. O repositório também registra variáveis de configuração, comandos de treinamento, calibração, avaliação e verificação dos artefatos.</w:t>
      </w:r>
    </w:p>
    <w:p w:rsidR="00000000" w:rsidDel="00000000" w:rsidP="00000000" w:rsidRDefault="00000000" w:rsidRPr="00000000" w14:paraId="000000BC">
      <w:pPr>
        <w:spacing w:after="0" w:line="360" w:lineRule="auto" w:before="0"/>
        <w:ind w:firstLine="709"/>
        <w:jc w:val="both"/>
        <w:rPr/>
      </w:pPr>
      <w:r>
        <w:rPr>
          <w:rtl w:val="0"/>
        </w:rPr>
        <w:t>A avaliação utilizou registros públicos reais e desidentificados da CHB-MIT. Não foram coletados exames de hospital local nem recrutados participantes. Eventual estudo com dados identificáveis ou interação com pacientes e profissionais deverá ser submetido às instâncias éticas e institucionais aplicáveis.</w:t>
      </w:r>
    </w:p>
    <w:p w:rsidR="00000000" w:rsidDel="00000000" w:rsidP="00000000" w:rsidRDefault="00000000" w:rsidRPr="00000000" w14:paraId="000000BD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/>
        <w:spacing w:line="240" w:lineRule="auto" w:before="240" w:after="120"/>
        <w:ind w:firstLine="0"/>
        <w:jc w:val="left"/>
        <w:rPr>
          <w:sz w:val="24"/>
          <w:szCs w:val="24"/>
        </w:rPr>
      </w:pPr>
      <w:bookmarkStart w:colFirst="0" w:colLast="0" w:name="_47u54iw0uzje" w:id="21"/>
      <w:bookmarkEnd w:id="21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4 SOFTWARE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a19ezh8mjkhj" w:id="22"/>
      <w:bookmarkEnd w:id="22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4.1 Descrição </w:t>
      </w:r>
    </w:p>
    <w:p w:rsidR="00000000" w:rsidDel="00000000" w:rsidP="00000000" w:rsidRDefault="00000000" w:rsidRPr="00000000" w14:paraId="000000D6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O software configura-se como um protótipo funcional de plataforma web de apoio à análise de EEG. Seu público-alvo potencial inclui neurologistas, neurofisiologistas e pesquisadores, mas a versão atual não foi validada clinicamente nem regularizada para uso assistencial. A proposta responde ao esforço envolvido na revisão de registros extensos e à necessidade de reunir visualização, análise computacional, explicabilidade e laudo em um fluxo único.</w:t>
      </w:r>
    </w:p>
    <w:p w:rsidR="00000000" w:rsidDel="00000000" w:rsidP="00000000" w:rsidRDefault="00000000" w:rsidRPr="00000000" w14:paraId="000000D7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A plataforma recebe arquivos EDF vinculados ao paciente, extrai metadados e apresenta os canais em uma linha temporal interativa. O pipeline CNN-BiLSTM produz probabilidades ictais por passo e agrega sequências sobrepostas em trechos suspeitos. O Gradient SHAP explica as features da sequência de pico e a interface projeta relevâncias positivas por canal e intervalo de segundos. Essa explicação não corresponde a uma atribuição por amostra bruta e deve ser interpretada como apoio à inspeção, não como justificativa fisiológica conclusiva.</w:t>
      </w:r>
    </w:p>
    <w:p w:rsidR="00000000" w:rsidDel="00000000" w:rsidP="00000000" w:rsidRDefault="00000000" w:rsidRPr="00000000" w14:paraId="000000D8">
      <w:pPr>
        <w:pStyle w:val="Heading2"/>
        <w:keepNext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iizqfdido844" w:id="23"/>
      <w:bookmarkEnd w:id="23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4.2 Levantamento de Requisitos </w:t>
      </w:r>
    </w:p>
    <w:p w:rsidR="00000000" w:rsidDel="00000000" w:rsidP="00000000" w:rsidRDefault="00000000" w:rsidRPr="00000000" w14:paraId="000000D9">
      <w:pPr>
        <w:tabs>
          <w:tab w:val="right" w:leader="none" w:pos="9061"/>
        </w:tabs>
        <w:spacing w:after="0" w:before="0" w:line="360" w:lineRule="auto"/>
        <w:ind w:firstLine="709"/>
        <w:jc w:val="both"/>
        <w:rPr/>
      </w:pPr>
      <w:r>
        <w:rPr>
          <w:rtl w:val="0"/>
        </w:rPr>
        <w:t>A engenharia de requisitos baseou-se em revisão bibliográfica, análise documental do EDF, experiência do projeto anterior e refinamento com a orientação acadêmica. Não houve entrevista estruturada nem validação formal com neurologistas. Assim, os requisitos clínicos representam hipóteses de projeto para um protótipo e deverão ser avaliados com profissionais antes de uma eventual evolução assistencial.</w:t>
      </w:r>
    </w:p>
    <w:p w:rsidR="00000000" w:rsidDel="00000000" w:rsidP="00000000" w:rsidRDefault="00000000" w:rsidRPr="00000000" w14:paraId="000000DA">
      <w:pPr>
        <w:pStyle w:val="Heading2"/>
        <w:keepNext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vl388rmj0d54" w:id="24"/>
      <w:bookmarkEnd w:id="24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4.3 Requisitos Funcionais e Não Funcionais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DB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Conforme abordado por Sommerville (2011), a especificação de requisitos é um pilar fundamental da Engenharia de Software, definindo com clareza as expectativas dos usuários e as restrições operacionais sob as quais o sistema deve atuar. Os requisitos dividem-se tradicionalmente em funcionais, que estabelecem detalhadamente as ações declarativas, as reações a entradas específicas e os serviços explícitos que o software é obrigado a executar, e requisitos não funcionais, os quais não se ligam diretamente aos serviços individuais do sistema, mas sim às propriedades emergentes de qualidade, confiabilidade, desempenho, compatibilidade e segurança corporativa.</w:t>
      </w:r>
    </w:p>
    <w:p w:rsidR="00000000" w:rsidDel="00000000" w:rsidP="00000000" w:rsidRDefault="00000000" w:rsidRPr="00000000" w14:paraId="000000DC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A partir da análise estrutural da plataforma e do pipeline de triagem neurofisiológica estabelecido na metodologia, foram definidos os seguintes requisitos de engenharia para o sistema:</w:t>
      </w:r>
    </w:p>
    <w:p w:rsidR="00000000" w:rsidDel="00000000" w:rsidP="00000000" w:rsidRDefault="00000000" w:rsidRPr="00000000" w14:paraId="000000DD">
      <w:pPr>
        <w:tabs>
          <w:tab w:val="right" w:leader="none" w:pos="9061"/>
        </w:tabs>
        <w:spacing w:line="360" w:lineRule="auto" w:before="0" w:after="0"/>
        <w:ind w:firstLine="709"/>
        <w:jc w:val="both"/>
        <w:rPr/>
      </w:pPr>
      <w:r w:rsidDel="00000000" w:rsidR="00000000" w:rsidRPr="00000000">
        <w:rPr>
          <w:rtl w:val="0"/>
        </w:rPr>
        <w:t xml:space="preserve">Requisitos Funcionais: </w:t>
      </w:r>
    </w:p>
    <w:p w:rsidR="00000000" w:rsidDel="00000000" w:rsidP="00000000" w:rsidRDefault="00000000" w:rsidRPr="00000000" w14:paraId="000000DE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1 – Autenticar Usuário: O sistema deve fornecer uma interface de login para que o médico neurologista insira suas credenciais e acesse a plataforma de forma restrita.</w:t>
      </w:r>
    </w:p>
    <w:p w:rsidR="00000000" w:rsidDel="00000000" w:rsidP="00000000" w:rsidRDefault="00000000" w:rsidRPr="00000000" w14:paraId="000000DF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2 – Gerenciar Pacientes: O sistema deve permitir a inclusão, alteração, consulta e exclusão de dados cadastrais básicos e prontuários clínicos dos pacientes.</w:t>
      </w:r>
    </w:p>
    <w:p w:rsidR="00000000" w:rsidDel="00000000" w:rsidP="00000000" w:rsidRDefault="00000000" w:rsidRPr="00000000" w14:paraId="000000E0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3 – Importar Exame (.EDF): O sistema deve fornecer mecanismos para o upload e a ingestão de arquivos de sinais biomédicos estruturados no formato padrão universal </w:t>
      </w:r>
      <w:r w:rsidDel="00000000" w:rsidR="00000000" w:rsidRPr="00000000">
        <w:rPr>
          <w:rtl w:val="0"/>
        </w:rPr>
        <w:t xml:space="preserve">.EDF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4 – Extrair Metadados do Sinal: O sistema deve decodificar o cabeçalho (</w:t>
      </w:r>
      <w:r w:rsidDel="00000000" w:rsidR="00000000" w:rsidRPr="00000000">
        <w:rPr>
          <w:i w:val="1"/>
          <w:i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) do arquivo binário carregado e extrair automaticamente informações como taxa de amostragem e os rótulos dos canais de eletrodos.</w:t>
      </w:r>
    </w:p>
    <w:p w:rsidR="00000000" w:rsidDel="00000000" w:rsidP="00000000" w:rsidRDefault="00000000" w:rsidRPr="00000000" w14:paraId="000000E2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5 – Visualizar Sinais de EEG: O sistema deve plotar graficamente na tela do usuário as séries temporais contínuas e multicanais correspondentes às ondas cerebrais captadas.</w:t>
      </w:r>
    </w:p>
    <w:p w:rsidR="00000000" w:rsidDel="00000000" w:rsidP="00000000" w:rsidRDefault="00000000" w:rsidRPr="00000000" w14:paraId="000000E3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6 – Manipulação Interativa de Ondas: O sistema deve permitir que o médico execute comandos responsivos de zoom horizontal e vertical e isole montagens de canais focais diretamente no dashboard.</w:t>
      </w:r>
    </w:p>
    <w:p w:rsidR="00000000" w:rsidDel="00000000" w:rsidP="00000000" w:rsidRDefault="00000000" w:rsidRPr="00000000" w14:paraId="000000E4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7 – Solicitar Análise Preditiva: O sistema deve acionar o modelo de inteligência artificial híbrida (CNN-LSTM) para varrer o sinal e classificar de forma automática os segmentos que contêm descargas epileptiformes ou crises.</w:t>
      </w:r>
    </w:p>
    <w:p w:rsidR="00000000" w:rsidDel="00000000" w:rsidP="00000000" w:rsidRDefault="00000000" w:rsidRPr="00000000" w14:paraId="000000E5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8 – Exibir Justificativa Visual (XAI): O sistema deve sobrepor um mapa de calor gerado com os valores do algoritmo SHAP sobre o traçado original do EEG, destacando em vermelho os trechos de tempo determinantes para o diagnóstico da máquina.</w:t>
      </w:r>
    </w:p>
    <w:p w:rsidR="00000000" w:rsidDel="00000000" w:rsidP="00000000" w:rsidRDefault="00000000" w:rsidRPr="00000000" w14:paraId="000000E6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9 – Emitir Laudo Médico: O sistema deve disponibilizar um campo de texto descritivo para que o especialista redija e formalize o laudo definitivo do exame, integrando a triagem analítica.</w:t>
      </w:r>
    </w:p>
    <w:p w:rsidR="00000000" w:rsidDel="00000000" w:rsidP="00000000" w:rsidRDefault="00000000" w:rsidRPr="00000000" w14:paraId="000000E7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Requisitos Não Funcionais:</w:t>
      </w:r>
    </w:p>
    <w:p w:rsidR="00000000" w:rsidDel="00000000" w:rsidP="00000000" w:rsidRDefault="00000000" w:rsidRPr="00000000" w14:paraId="000000E8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1 – Desempenho (Processamento Assíncrono): A execução do pipeline de engenharia de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matemáticas e inferência da rede neural profunda não deve bloquear ou congelar a interface de visualização do usuário (</w:t>
      </w:r>
      <w:r w:rsidDel="00000000" w:rsidR="00000000" w:rsidRPr="00000000">
        <w:rPr>
          <w:i w:val="1"/>
          <w:iCs w:val="1"/>
          <w:rtl w:val="0"/>
        </w:rPr>
        <w:t xml:space="preserve">client-side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9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2 – Compatibilidade e Portabilidade: O software deve ser executado e renderizado com total fidelidade diretamente através de navegadores web modernos compatíveis com os padrões HTML5 e JavaScript.</w:t>
      </w:r>
    </w:p>
    <w:p w:rsidR="00000000" w:rsidDel="00000000" w:rsidP="00000000" w:rsidRDefault="00000000" w:rsidRPr="00000000" w14:paraId="000000EA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>
        <w:rPr>
          <w:rtl w:val="0"/>
        </w:rPr>
        <w:t>3 - Segurança e Privacidade: o sistema deve restringir rotas clínicas a usuários autenticados, armazenar senhas por hash e evitar exposição desnecessária de dados. A versão atual não implementa consentimento, política automatizada de retenção, criptografia específica dos EDF em repouso ou trilha completa de auditoria; esses controles são necessários antes do uso com dados identificáveis.</w:t>
      </w:r>
    </w:p>
    <w:p w:rsidR="00000000" w:rsidDel="00000000" w:rsidP="00000000" w:rsidRDefault="00000000" w:rsidRPr="00000000" w14:paraId="000000EB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4 – Usabilidade e Responsividade: A interface analítica deve ser projetada com foco em ergonomia e usabilidade médica, garantindo a exibição fluida e nítida das séries temporais de alta densidade em monitores de alta resolução.</w:t>
      </w:r>
    </w:p>
    <w:p w:rsidR="00000000" w:rsidDel="00000000" w:rsidP="00000000" w:rsidRDefault="00000000" w:rsidRPr="00000000" w14:paraId="000000EC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5 – Confiabilidade e Robustez de I/O: A arquitetura de persistência híbrida deve suportar o armazenamento íntegro e a rápida velocidade de entrada e saída (I/O) exigida por arquivos pesados de Big Data na saúde.</w:t>
      </w:r>
    </w:p>
    <w:p w:rsidR="00000000" w:rsidDel="00000000" w:rsidP="00000000" w:rsidRDefault="00000000" w:rsidRPr="00000000" w14:paraId="000000ED">
      <w:pPr>
        <w:tabs>
          <w:tab w:val="right" w:leader="none" w:pos="9061"/>
        </w:tabs>
        <w:spacing w:line="36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t87tofhbiofd" w:id="25"/>
      <w:bookmarkEnd w:id="25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4.4 Casos de uso</w:t>
      </w:r>
    </w:p>
    <w:p w:rsidR="00000000" w:rsidDel="00000000" w:rsidP="00000000" w:rsidRDefault="00000000" w:rsidRPr="00000000" w14:paraId="000000EF">
      <w:pPr>
        <w:tabs>
          <w:tab w:val="right" w:leader="none" w:pos="9061"/>
        </w:tabs>
        <w:spacing w:line="360" w:lineRule="auto" w:before="0" w:after="0"/>
        <w:ind w:firstLine="709"/>
        <w:jc w:val="both"/>
        <w:rPr/>
      </w:pPr>
      <w:r w:rsidDel="00000000" w:rsidR="00000000" w:rsidRPr="00000000">
        <w:rPr>
          <w:rtl w:val="0"/>
        </w:rPr>
        <w:tab/>
        <w:t xml:space="preserve">   </w:t>
      </w:r>
      <w:r w:rsidDel="00000000" w:rsidR="00000000" w:rsidRPr="00000000">
        <w:rPr>
          <w:rtl w:val="0"/>
        </w:rPr>
        <w:t xml:space="preserve">Conforme preconizado por Pressman e Maxim (2016), a modelagem de casos de uso descreve o comportamento do sistema a partir do ponto de vista dos seus utilizadores, mapeando as interações dos atores com as funcionalidades oferecidas. No cenário proposto, o ator Médico Neurologista atua como o agente principal que opera a plataforma.</w:t>
      </w:r>
    </w:p>
    <w:p w:rsidR="00000000" w:rsidDel="00000000" w:rsidP="00000000" w:rsidRDefault="00000000" w:rsidRPr="00000000" w14:paraId="000000F0">
      <w:pPr>
        <w:tabs>
          <w:tab w:val="right" w:leader="none" w:pos="9061"/>
        </w:tabs>
        <w:spacing w:line="360" w:lineRule="auto" w:before="0" w:after="0"/>
        <w:ind w:firstLine="709"/>
        <w:jc w:val="both"/>
        <w:rPr/>
      </w:pPr>
      <w:r>
        <w:rPr>
          <w:rtl w:val="0"/>
        </w:rPr>
        <w:t>Ao solicitar a análise preditiva, o médico seleciona um exame previamente importado. A extração de métricas e a execução do modelo constituem operações internas obrigatórias do sistema, e não casos de uso iniciados diretamente pelo médico. A visualização da explicação permanece opcional durante a revisão do resultado.</w:t>
      </w:r>
    </w:p>
    <w:p w:rsidR="00000000" w:rsidDel="00000000" w:rsidP="00000000" w:rsidRDefault="00000000" w:rsidRPr="00000000" w14:paraId="000000F1">
      <w:pPr>
        <w:keepNext/>
        <w:tabs>
          <w:tab w:val="right" w:leader="none" w:pos="9061"/>
        </w:tabs>
        <w:spacing w:line="240" w:lineRule="auto" w:after="60"/>
        <w:ind w:firstLine="0"/>
        <w:jc w:val="center"/>
        <w:rPr/>
      </w:pPr>
      <w:r>
        <w:rPr>
          <w:rFonts w:ascii="Arial" w:hAnsi="Arial"/>
          <w:sz w:val="20"/>
          <w:rtl w:val="0"/>
        </w:rPr>
        <w:t xml:space="preserve">Figura 2 – Diagrama de Casos de Uso da Plataforma Web. </w:t>
      </w:r>
    </w:p>
    <w:p w:rsidR="00000000" w:rsidDel="00000000" w:rsidP="00000000" w:rsidRDefault="00000000" w:rsidRPr="00000000" w14:paraId="000000F2">
      <w:pPr>
        <w:keepNext w:val="0"/>
        <w:tabs>
          <w:tab w:val="right" w:leader="none" w:pos="9061"/>
        </w:tabs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color w:val="ff0000"/>
          <w:sz w:val="20"/>
        </w:rPr>
        <w:drawing>
          <wp:inline distB="114300" distT="114300" distL="114300" distR="114300">
            <wp:extent cx="5759775" cy="4013200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hAnsi="Arial"/>
          <w:color w:val="ff0000"/>
          <w:sz w:val="20"/>
          <w:rtl w:val="0"/>
        </w:rPr>
        <w:br w:type="textWrapping"/>
        <w:t xml:space="preserve">       </w:t>
      </w:r>
      <w:r w:rsidDel="00000000" w:rsidR="00000000" w:rsidRPr="00000000">
        <w:rPr>
          <w:rFonts w:ascii="Arial" w:hAnsi="Arial"/>
          <w:sz w:val="20"/>
          <w:rtl w:val="0"/>
        </w:rPr>
        <w:t xml:space="preserve">Fonte: autor, 2026.</w:t>
      </w:r>
    </w:p>
    <w:p w:rsidR="00000000" w:rsidDel="00000000" w:rsidP="00000000" w:rsidRDefault="00000000" w:rsidRPr="00000000" w14:paraId="000000F3">
      <w:pPr>
        <w:tabs>
          <w:tab w:val="right" w:leader="none" w:pos="9061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right" w:leader="none" w:pos="9061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Quadro 1 – Documentação do caso de uso: Autenticar Usuário </w:t>
      </w:r>
    </w:p>
    <w:tbl>
      <w:tblPr>
        <w:tblStyle w:val="Table1"/>
        <w:tblW w:w="90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rHeight w:val="170.976562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Autenticar Usuário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E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Este caso de uso descreve o processo de autenticação de segurança, permitindo que o médico insira suas credenciais para obter acesso seguro ao painel de controle da plataforma. 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0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tabs>
                <w:tab w:val="left" w:leader="none" w:pos="1665"/>
              </w:tabs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O médico deve estar previamente cadastrado no banco de dados do sistema.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2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O usuário é autenticado, um token de sessão seguro (JWT) é gerado e o dashboard principal é carregado no frontend.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842.92968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Acessar a tela inicial da plataforma web e preencher os campos de e-mail e senha.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842.92968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2 – Receber os dados de login através da API FastAPI de forma assíncrona.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3 – Clicar no botão "Entrar".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4 – Validar as credenciais comparando a senha informada com o hash criptográfico armazenado no PostgreSQL. Se válidas, liberar o acesso à área restrita.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Não permitir campos em branco no formulário de login.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536.953125" w:hRule="atLeast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10">
            <w:pPr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2 – Bloquear a autenticação caso a combinação de e-mail e senha seja inválida. </w:t>
            </w:r>
          </w:p>
        </w:tc>
      </w:tr>
    </w:tbl>
    <w:p w:rsidR="00000000" w:rsidDel="00000000" w:rsidP="00000000" w:rsidRDefault="00000000" w:rsidRPr="00000000" w14:paraId="00000112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widowControl w:val="0"/>
        <w:tabs>
          <w:tab w:val="left" w:leader="none" w:pos="7865"/>
        </w:tabs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</w:t>
      </w:r>
    </w:p>
    <w:p w:rsidR="00000000" w:rsidDel="00000000" w:rsidP="00000000" w:rsidRDefault="00000000" w:rsidRPr="00000000" w14:paraId="0000011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Quadro 2 – Documentação do caso de uso: Gerenciar Pacientes  </w:t>
      </w:r>
    </w:p>
    <w:tbl>
      <w:tblPr>
        <w:tblStyle w:val="Table2"/>
        <w:tblW w:w="90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Gerenciar Pacientes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7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Este caso de uso descreve o processo de inclusão, alteração ou consulta dos dados cadastrais e prontuários médicos dos pacientes na plataforma.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9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tabs>
                <w:tab w:val="left" w:leader="none" w:pos="1665"/>
              </w:tabs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O médico deve estar devidamente autenticado no sistema.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B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Os registros do paciente são atualizados ou salvos de maneira consistente no banco de dados relacional.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Selecionar a opção de menu "Pacientes" e clicar em "Novo Cadastro". 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2 – Exibir o formulário de cadastro de paciente na interface React.js.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3 – Preencher as informações obrigatórias (Nome, Data de Nascimento, Gênero e CPF) e clicar em "Salvar".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6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4 – Validar a integridade das informações e persistir os dados na tabela correspondente do PostgreSQL, exibindo mensagem de sucesso. </w:t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Impedir a gravação de dados caso o CPF informado seja inválido ou já conste no sistema.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139">
            <w:pPr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40" w:before="240" w:lineRule="auto" w:line="2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2 – Validar se os campos obrigatórios foram preenchidos corretamente. </w:t>
            </w:r>
          </w:p>
        </w:tc>
      </w:tr>
    </w:tbl>
    <w:p w:rsidR="00000000" w:rsidDel="00000000" w:rsidP="00000000" w:rsidRDefault="00000000" w:rsidRPr="00000000" w14:paraId="0000013B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widowControl w:val="0"/>
        <w:tabs>
          <w:tab w:val="left" w:leader="none" w:pos="7865"/>
        </w:tabs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</w:t>
      </w:r>
    </w:p>
    <w:p w:rsidR="00000000" w:rsidDel="00000000" w:rsidP="00000000" w:rsidRDefault="00000000" w:rsidRPr="00000000" w14:paraId="0000013D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Quadro 3 – Documentação do caso de uso: Importar Exame (.EDF) </w:t>
      </w:r>
    </w:p>
    <w:tbl>
      <w:tblPr>
        <w:tblStyle w:val="Table3"/>
        <w:tblW w:w="90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Importar Exame (.EDF)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F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Este caso de uso descreve a ingestão de arquivos biomédicos padronizados no formato .EDF para o servidor, vinculando o exame ao prontuário do paciente selecionado.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1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tabs>
                <w:tab w:val="left" w:leader="none" w:pos="1665"/>
              </w:tabs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O médico deve estar autenticado e o paciente correspondente selecionado em tela.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3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O arquivo binário do exame é armazenado no sistema de arquivos estruturado e seus metadados são indexados no banco de dados.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767.92968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Clicar na opção "Importar Novo Exame" dentro do perfil do paciente.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2 – Abrir a caixa de seleção de arquivos locais do sistema operacional.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3 – Selecionar o arquivo com extensão 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.edf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 desejado e confirmar o envio.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4 – Transferir o arquivo via requisição Multipart e executar o processamento assíncrono do cabeçalho (</w:t>
            </w:r>
            <w:r w:rsidDel="00000000" w:rsidR="00000000" w:rsidRPr="00000000">
              <w:rPr>
                <w:rFonts w:ascii="Arial" w:hAnsi="Arial"/>
                <w:i w:val="1"/>
                <w:iCs w:val="1"/>
                <w:sz w:val="20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) do arquivo via biblioteca MNE-Python, extraindo canais e taxa de amostragem.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Recusar arquivos que não possuam estritamente a extensão 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.edf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2 – Verificar a integridade do cabeçalho binário do arquivo para atestar que o sinal não está corrompido antes do salvamento. </w:t>
            </w:r>
          </w:p>
        </w:tc>
      </w:tr>
    </w:tbl>
    <w:p w:rsidR="00000000" w:rsidDel="00000000" w:rsidP="00000000" w:rsidRDefault="00000000" w:rsidRPr="00000000" w14:paraId="00000163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widowControl w:val="0"/>
        <w:tabs>
          <w:tab w:val="left" w:leader="none" w:pos="7865"/>
        </w:tabs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</w:t>
      </w:r>
    </w:p>
    <w:p w:rsidR="00000000" w:rsidDel="00000000" w:rsidP="00000000" w:rsidRDefault="00000000" w:rsidRPr="00000000" w14:paraId="0000016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Quadro 4 – Documentação do caso de uso: Visualizar Sinais de EEG </w:t>
      </w:r>
    </w:p>
    <w:tbl>
      <w:tblPr>
        <w:tblStyle w:val="Table4"/>
        <w:tblW w:w="90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Visualizar Sinais de EEG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E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0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4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Este caso de uso descreve a plotagem gráfica e interativa das séries temporais multicanais das ondas cerebrais de EEG na interface web do usuário.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6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tabs>
                <w:tab w:val="left" w:leader="none" w:pos="1665"/>
              </w:tabs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O arquivo do exame já deve ter sido importado com sucesso na plataforma.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8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Os traçados de sinais elétricos são exibidos de forma reativa e fluida em tela, permitindo manipulações visuais pelo usuário.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A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Selecionar o exame de EEG correspondente na linha do tempo do paciente.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2 – Buscar os blocos de vetores temporais do arquivo de sinais e renderizar os canais na tela usando componentes gráficos de alta performance. </w:t>
            </w:r>
          </w:p>
        </w:tc>
      </w:tr>
      <w:tr>
        <w:trPr>
          <w:cantSplit w:val="0"/>
          <w:trHeight w:val="1190.8593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0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3 – Executar interações na tela, como comandos de zoom horizontal/vertical e seleção dinâmica de montagens de canais específicos.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536.9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4 – Atualizar as escalas dos eixos, recalculando a renderização visual das ondas cerebrais em tempo real conforme os filtros acionados. </w:t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4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O sistema deve limitar a quantidade de pontos simultâneos renderizados na tela para evitar gargalos de memória e travamentos na interface React.js.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widowControl w:val="0"/>
        <w:tabs>
          <w:tab w:val="left" w:leader="none" w:pos="7865"/>
        </w:tabs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</w:t>
      </w:r>
    </w:p>
    <w:p w:rsidR="00000000" w:rsidDel="00000000" w:rsidP="00000000" w:rsidRDefault="00000000" w:rsidRPr="00000000" w14:paraId="0000018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Quadro 5 – Documentação do caso de uso: Solicitar Análise Preditiva </w:t>
      </w:r>
    </w:p>
    <w:tbl>
      <w:tblPr>
        <w:tblStyle w:val="Table5"/>
        <w:tblW w:w="90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2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Solicitar Análise Preditiva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4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6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8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A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Este caso de uso detalha o acionamento do pipeline de inteligência artificial para realizar a triagem e a predição automática de descargas epileptiformes e crises no sinal.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C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O arquivo EDF correspondente deve estar previamente importado e carregado no backend.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E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As probabilidades temporais, os trechos suspeitos e os metadados da análise são persistidos e disponibilizados na interface.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2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Clicar no comando "Solicitar Análise da IA" localizado no painel de visualização do exame. 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2 – Acionar o processo interno de engenharia de </w:t>
            </w:r>
            <w:r w:rsidDel="00000000" w:rsidR="00000000" w:rsidRPr="00000000">
              <w:rPr>
                <w:rFonts w:ascii="Arial" w:hAnsi="Arial"/>
                <w:i w:val="1"/>
                <w:iCs w:val="1"/>
                <w:sz w:val="20"/>
                <w:szCs w:val="24"/>
                <w:rtl w:val="0"/>
              </w:rPr>
              <w:t xml:space="preserve">features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 (calculando a Dinâmica Simbólica e a Entropia de Shannon nas janelas de tempo). 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3 – Alimentar a rede neural profunda híbrida (CNN-LSTM) no TensorFlow com as matrizes geradas para classificar os segmentos do sinal. </w:t>
            </w:r>
          </w:p>
        </w:tc>
      </w:tr>
      <w:tr>
        <w:trPr>
          <w:cantSplit w:val="0"/>
          <w:trHeight w:val="758.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4 – Persistir o score probabilístico resultante e sinalizar graficamente no dashboard quais trechos de tempo apresentam indícios patológicos.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Garantir processamento estritamente assíncrono no backend via FastAPI para que a requisição de classificação em segundo plano não interrompa o uso do sistema médico.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widowControl w:val="0"/>
        <w:tabs>
          <w:tab w:val="left" w:leader="none" w:pos="7865"/>
        </w:tabs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</w:t>
      </w:r>
    </w:p>
    <w:p w:rsidR="00000000" w:rsidDel="00000000" w:rsidP="00000000" w:rsidRDefault="00000000" w:rsidRPr="00000000" w14:paraId="000001AE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Quadro 6 – Documentação do caso de uso: Visualizar Explicação (XAI) </w:t>
      </w:r>
    </w:p>
    <w:tbl>
      <w:tblPr>
        <w:tblStyle w:val="Table6"/>
        <w:tblW w:w="90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6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Visualizar Explicação (XAI)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8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Médico Neurologista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E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Este caso de uso descreve a exibição das justificativas fisiológicas tomadas pela rede neural profunda através da plotagem de mapas de relevância gerados pelo algoritmo SHAP.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0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A análise preditiva descrita no Quadro 5 deve estar concluída e possuir uma sequência de pico válida.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2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Gráficos explicativos com mapas de calor coloridos são sobrepostos às ondas de EEG para inspeção do médico.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4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6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Acionar a opção "Exibir Justificativa / Mapa SHAP" no painel de resultados preditivos. 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2 - Associar os valores positivos de Gradient SHAP às features, aos canais e aos intervalos temporais da sequência de pico.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A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3 - Projetar as relevâncias por canal e intervalo de segundos sobre o traçado exibido, mantendo explícito que a explicação não é calculada por amostra bruta.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C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Validar que o mapa gerado corresponda exatamente à janela de tempo selecionada para evitar desalinhamento visual entre o sinal original e a marcação de explicabilidade.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widowControl w:val="0"/>
        <w:tabs>
          <w:tab w:val="left" w:leader="none" w:pos="7865"/>
        </w:tabs>
        <w:spacing w:line="240" w:lineRule="auto" w:after="60"/>
        <w:ind w:firstLine="0"/>
        <w:jc w:val="center"/>
        <w:rPr>
          <w:color w:val="ff0000"/>
        </w:rPr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</w:t>
      </w: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1D0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tabs>
          <w:tab w:val="left" w:leader="none" w:pos="7865"/>
        </w:tabs>
        <w:ind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tabs>
          <w:tab w:val="left" w:leader="none" w:pos="7865"/>
        </w:tabs>
        <w:ind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Quadro 7 – Documentação do caso de uso: Emitir Laudo Médico </w:t>
      </w:r>
    </w:p>
    <w:tbl>
      <w:tblPr>
        <w:tblStyle w:val="Table7"/>
        <w:tblW w:w="90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C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Emitir Laudo Médico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E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Médico Neurologista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4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Este caso de uso descreve o processo de conclusão do exame, permitindo que o especialista insira seu parecer final baseando-se em suas conclusões e na segunda opinião fornecida pela IA.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6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tabs>
                <w:tab w:val="left" w:leader="none" w:pos="1665"/>
              </w:tabs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O médico deve ter revisado as análises visuais e preditivas geradas no prontuário do paciente.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8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O laudo clínico final é salvo em formato definitivo e o status do exame é modificado para "Concluído".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A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Acessar o campo de digitação textual para o laudo médico final.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E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2 – Digitar as impressões clínicas e decidir se confirma ou desconsidera os alertas emitidos pela triagem do algoritmo inteligente.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0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3 – Clicar na ação "Emitir Laudo Finalizado".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2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4 - Salvar o texto associado ao exame, alterar o status para Concluído e impedir novas edições.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F4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1 - Impedir a emissão se o texto estiver vazio. 2 - Informar que não há rascunho persistente, campos estruturados ou assinatura digital nesta versão.</w:t>
            </w:r>
          </w:p>
        </w:tc>
      </w:tr>
    </w:tbl>
    <w:p w:rsidR="00000000" w:rsidDel="00000000" w:rsidP="00000000" w:rsidRDefault="00000000" w:rsidRPr="00000000" w14:paraId="000001F6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widowControl w:val="0"/>
        <w:tabs>
          <w:tab w:val="left" w:leader="none" w:pos="7865"/>
        </w:tabs>
        <w:spacing w:line="240" w:lineRule="auto" w:after="60"/>
        <w:ind w:firstLine="0"/>
        <w:jc w:val="center"/>
        <w:rPr>
          <w:color w:val="ff0000"/>
        </w:rPr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</w:t>
      </w: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1F8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lkx4cwbg0vu5" w:id="26"/>
      <w:bookmarkEnd w:id="26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4.5 Arquitetura do Sistema 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1FA">
      <w:pPr>
        <w:tabs>
          <w:tab w:val="right" w:leader="none" w:pos="414.21259842519646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  <w:t xml:space="preserve">A arquitetura lógica do sistema foi projetada seguindo o modelo de Arquitetura Orientada a Serviços (SOA) e baseia-se no padrão cliente-servidor mediado por uma API RESTful, configurando-se estruturalmente como uma aplicação web voltada especificamente para o uso em estações de trabalho </w:t>
      </w:r>
      <w:r w:rsidDel="00000000" w:rsidR="00000000" w:rsidRPr="00000000">
        <w:rPr>
          <w:i w:val="1"/>
          <w:iCs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 no ambiente clínico de apoio médico. Conforme Richards (2015), o isolamento de responsabilidades por meio de padrões de arquitetura bem definidos é crucial para assegurar a manutenibilidade e a evolução estável de sistemas complexos. Na solução proposta, essa separação garante que a interface de usuário permaneça fluida e responsiva, delegando as tarefas computacionalmente intensivas de processamento de sinais e execução de redes neurais a um serviço especializado em segundo plano. A comunicação e a integração entre os componentes do ecossistema ocorrem de forma totalmente desacoplada e assíncrona através do protocolo HTTP.</w:t>
      </w:r>
    </w:p>
    <w:p w:rsidR="00000000" w:rsidDel="00000000" w:rsidP="00000000" w:rsidRDefault="00000000" w:rsidRPr="00000000" w14:paraId="000001FB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A camada de interface com o usuário, ou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consiste em uma </w:t>
      </w:r>
      <w:r w:rsidDel="00000000" w:rsidR="00000000" w:rsidRPr="00000000">
        <w:rPr>
          <w:i w:val="1"/>
          <w:iCs w:val="1"/>
          <w:rtl w:val="0"/>
        </w:rPr>
        <w:t xml:space="preserve">Single Page Application</w:t>
      </w:r>
      <w:r w:rsidDel="00000000" w:rsidR="00000000" w:rsidRPr="00000000">
        <w:rPr>
          <w:rtl w:val="0"/>
        </w:rPr>
        <w:t xml:space="preserve"> (SPA) desenvolvida em React.js utilizando as linguagens JavaScript e TypeScript. Essa camada é responsável exclusiva por renderizar os elementos visuais do prontuário, processar as interações de comandos médicos e incorporar bibliotecas de plotagem gráfica de alto desempenho (como D3.js ou Recharts) para desenhar na tela as séries temporais densas dos sinais elétricos do EEG obtidos a partir dos exames. Por sua vez, a camada de lógica de negócio e processamento, ou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é centralizada em um servidor desenvolvido na linguagem Python com o framework FastAPI. A escolha do Python e do FastAPI justifica-se por sua alta performance no gerenciamento de requisições assíncronas e por constituir o padrão absoluto da indústria para a execução de modelos matemáticos complexos, permitindo a integração direta e robusta com as bibliotecas TensorFlow/Keras, responsáveis pela inferência da Rede Neural Híbrida (CNN-LSTM), e MNE-Python, utilizada no tratamento neurofisiológico das ondas cerebrais.</w:t>
      </w:r>
    </w:p>
    <w:p w:rsidR="00000000" w:rsidDel="00000000" w:rsidP="00000000" w:rsidRDefault="00000000" w:rsidRPr="00000000" w14:paraId="000001FC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 O fluxo de comunicação entre esses componentes inicia-se no ambiente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onde o médico seleciona e submete um arquivo binário padronizado no formato </w:t>
      </w:r>
      <w:r w:rsidDel="00000000" w:rsidR="00000000" w:rsidRPr="00000000">
        <w:rPr>
          <w:rtl w:val="0"/>
        </w:rPr>
        <w:t xml:space="preserve">.EDF</w:t>
      </w:r>
      <w:r w:rsidDel="00000000" w:rsidR="00000000" w:rsidRPr="00000000">
        <w:rPr>
          <w:rtl w:val="0"/>
        </w:rPr>
        <w:t xml:space="preserve"> por meio de uma requisição assíncrona utilizando o método HTTP POST. Ao receber o arquivo, o servidor FastAPI realiza a leitura e inicia imediatamente o pipeline inteligente de engenharia de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, decodificando o sinal e processando as métricas matemáticas de Entropia de Shannon e Dinâmica Simbólica. Na sequência, esses vetores processados alimentam o modelo profundo de inteligência artificial para a classificação e identificação das descargas epileptiformes. Concluída a inferência e gerados os mapas de relevância clínica via algoritmo SHAP, o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consolida as respostas estruturadas em formato JSON e devolve os resultados analíticos e preditivos para a tela do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que atualiza o painel interativo do médico em tempo real sem causar interrupções ou travamentos na navegação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m7tqzvtrdag3" w:id="27"/>
      <w:bookmarkEnd w:id="27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4.6 Fluxograma</w:t>
      </w:r>
    </w:p>
    <w:p w:rsidR="00000000" w:rsidDel="00000000" w:rsidP="00000000" w:rsidRDefault="00000000" w:rsidRPr="00000000" w14:paraId="000001FE">
      <w:pPr>
        <w:tabs>
          <w:tab w:val="right" w:leader="none" w:pos="549.2125984251965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ab/>
        <w:tab/>
        <w:t>Para mapear de maneira lógica a dinâmica operacional e a rastreabilidade dos dados na plataforma web proposta, desenvolveu-se o fluxograma detalhado na Figura 3. Conforme preconizado pelas boas práticas de Engenharia de Software, o fluxo foi segmentado visualmente em três macrocamadas interdependentes e síncronas/assíncronas, diferenciadas por meio de uma paleta de cores funcional para facilitar a compreensão da arquitetura lógica do sistema:</w:t>
      </w:r>
    </w:p>
    <w:p w:rsidR="00000000" w:rsidDel="00000000" w:rsidP="00000000" w:rsidRDefault="00000000" w:rsidRPr="00000000" w14:paraId="000001FF">
      <w:pPr>
        <w:tabs>
          <w:tab w:val="right" w:leader="none" w:pos="9061"/>
        </w:tabs>
        <w:spacing w:after="0" w:afterAutospacing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- Camada de Interface (Em Azul): Representa o frontend em React.js, sendo a camada de interação direta do médico neurologista com o sistema.</w:t>
      </w:r>
    </w:p>
    <w:p w:rsidR="00000000" w:rsidDel="00000000" w:rsidP="00000000" w:rsidRDefault="00000000" w:rsidRPr="00000000" w14:paraId="00000200">
      <w:pPr>
        <w:tabs>
          <w:tab w:val="right" w:leader="none" w:pos="9061"/>
        </w:tabs>
        <w:spacing w:after="0" w:afterAutospacing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- Camada de Servidor (Em Verde): Representa o backend estruturado em FastAPI, encarregado da lógica de negócios, segurança de formato e persistência de metadados no banco PostgreSQL.</w:t>
      </w:r>
    </w:p>
    <w:p w:rsidR="00000000" w:rsidDel="00000000" w:rsidP="00000000" w:rsidRDefault="00000000" w:rsidRPr="00000000" w14:paraId="00000201">
      <w:pPr>
        <w:tabs>
          <w:tab w:val="right" w:leader="none" w:pos="9061"/>
        </w:tabs>
        <w:spacing w:after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- Camada de Pipeline de IA (Em Roxo): Representa o motor de processamento matemático e inferência de redes neurais profundas em Python.</w:t>
      </w:r>
    </w:p>
    <w:p w:rsidR="00000000" w:rsidDel="00000000" w:rsidP="00000000" w:rsidRDefault="00000000" w:rsidRPr="00000000" w14:paraId="00000202">
      <w:pPr>
        <w:tabs>
          <w:tab w:val="right" w:leader="none" w:pos="9061"/>
        </w:tabs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lógica de processamento mapeada no diagrama cumpre rigorosamente quatro fases sequenciais estruturadas:</w:t>
      </w:r>
    </w:p>
    <w:p w:rsidR="00000000" w:rsidDel="00000000" w:rsidP="00000000" w:rsidRDefault="00000000" w:rsidRPr="00000000" w14:paraId="00000203">
      <w:pPr>
        <w:tabs>
          <w:tab w:val="right" w:leader="none" w:pos="9061"/>
        </w:tabs>
        <w:spacing w:after="0" w:before="0" w:line="360" w:lineRule="auto"/>
        <w:ind w:left="720" w:firstLine="709"/>
        <w:jc w:val="both"/>
        <w:rPr/>
      </w:pPr>
      <w:r w:rsidDel="00000000" w:rsidR="00000000" w:rsidRPr="00000000">
        <w:rPr>
          <w:rtl w:val="0"/>
        </w:rPr>
        <w:t xml:space="preserve">1. Autenticação e Gestão Cadastral: O fluxo inicia-se com a validação das credenciais do utilizador na tela de login. Na busca pelo prontuário, caso o paciente pesquisado via CPF não conste na base, a interface força o redirecionamento para um formulário de cadastro simplificado, assegurando as restrições de integridade referencial antes da abertura do exame.</w:t>
      </w:r>
    </w:p>
    <w:p w:rsidR="00000000" w:rsidDel="00000000" w:rsidP="00000000" w:rsidRDefault="00000000" w:rsidRPr="00000000" w14:paraId="00000204">
      <w:pPr>
        <w:tabs>
          <w:tab w:val="right" w:leader="none" w:pos="9061"/>
        </w:tabs>
        <w:spacing w:after="0" w:before="0" w:line="360" w:lineRule="auto"/>
        <w:ind w:left="720" w:firstLine="709"/>
        <w:jc w:val="both"/>
        <w:rPr/>
      </w:pPr>
      <w:r w:rsidDel="00000000" w:rsidR="00000000" w:rsidRPr="00000000">
        <w:rPr>
          <w:rtl w:val="0"/>
        </w:rPr>
        <w:t xml:space="preserve">2. Ingestão e Validação de Arquivo: O arquivo biomédico com extensão </w:t>
      </w:r>
      <w:r w:rsidDel="00000000" w:rsidR="00000000" w:rsidRPr="00000000">
        <w:rPr>
          <w:rtl w:val="0"/>
        </w:rPr>
        <w:t xml:space="preserve">.EDF</w:t>
      </w:r>
      <w:r w:rsidDel="00000000" w:rsidR="00000000" w:rsidRPr="00000000">
        <w:rPr>
          <w:rtl w:val="0"/>
        </w:rPr>
        <w:t xml:space="preserve"> é submetido pela interface via requisição HTTP POST Multipart. O servidor FastAPI intercepta o arquivo e valida a integridade do seu cabeçalho (</w:t>
      </w:r>
      <w:r w:rsidDel="00000000" w:rsidR="00000000" w:rsidRPr="00000000">
        <w:rPr>
          <w:i w:val="1"/>
          <w:i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); caso haja inconformidade ou erro de formato, o fluxo é interrompido com uma notificação de erro ao cliente, impedindo a persistência de dados corrompidos.</w:t>
      </w:r>
    </w:p>
    <w:p w:rsidR="00000000" w:rsidDel="00000000" w:rsidP="00000000" w:rsidRDefault="00000000" w:rsidRPr="00000000" w14:paraId="00000205">
      <w:pPr>
        <w:tabs>
          <w:tab w:val="right" w:leader="none" w:pos="9061"/>
        </w:tabs>
        <w:spacing w:after="0" w:before="0" w:line="360" w:lineRule="auto"/>
        <w:ind w:left="720" w:firstLine="709"/>
        <w:jc w:val="both"/>
        <w:rPr/>
      </w:pPr>
      <w:r w:rsidDel="00000000" w:rsidR="00000000" w:rsidRPr="00000000">
        <w:rPr>
          <w:rtl w:val="0"/>
        </w:rPr>
        <w:t xml:space="preserve">3. Processamento Inteligente Assíncrono: Uma vez atestada a integridade, o servidor grava o arquivo em disco e indexa o caminho no PostgreSQL, disparando de forma assíncrona o pipeline de IA. A biblioteca MNE-Python executa o janelamento temporal para a extração de 19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estatísticas baseadas em Dinâmica Simbólica e Entropia de Shannon (fundamentadas em Moreira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2025). Esses vetores alimentam a rede neural híbrida CNN-LSTM para classificação do sinal, enquanto o framework SHAP gera a matriz do mapa de calor de explicabilidade (XAI), devolvendo os resultados estruturados em formato JSON.</w:t>
      </w:r>
    </w:p>
    <w:p w:rsidR="00000000" w:rsidDel="00000000" w:rsidP="00000000" w:rsidRDefault="00000000" w:rsidRPr="00000000" w14:paraId="00000206">
      <w:pPr>
        <w:tabs>
          <w:tab w:val="right" w:leader="none" w:pos="9061"/>
        </w:tabs>
        <w:spacing w:after="0" w:before="0" w:line="360" w:lineRule="auto"/>
        <w:ind w:left="720" w:firstLine="709"/>
        <w:jc w:val="both"/>
        <w:rPr/>
      </w:pPr>
      <w:r w:rsidDel="00000000" w:rsidR="00000000" w:rsidRPr="00000000">
        <w:rPr>
          <w:rtl w:val="0"/>
        </w:rPr>
        <w:t xml:space="preserve">4. Conclusão Clínico-Administrativa: O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em React.js recebe o JSON e renderiza simultaneamente os traçados de EEG e as sobreposições visuais do SHAP na tela. O especialista insere o parecer clínico e submete o laudo definitivo, fazendo com que o servidor persista o texto no PostgreSQL, altere o </w:t>
      </w:r>
      <w:r w:rsidDel="00000000" w:rsidR="00000000" w:rsidRPr="00000000">
        <w:rPr>
          <w:i w:val="1"/>
          <w:i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do exame para "Concluído" e encerre o ciclo com a confirmação de sucesso.</w:t>
      </w:r>
    </w:p>
    <w:p w:rsidR="00000000" w:rsidDel="00000000" w:rsidP="00000000" w:rsidRDefault="00000000" w:rsidRPr="00000000" w14:paraId="00000207">
      <w:pPr>
        <w:keepNext/>
        <w:tabs>
          <w:tab w:val="right" w:leader="none" w:pos="8769.212598425198"/>
        </w:tabs>
        <w:spacing w:after="60" w:line="240" w:lineRule="auto"/>
        <w:ind w:left="720" w:right="2.598425196851508" w:firstLine="0"/>
        <w:jc w:val="center"/>
        <w:rPr/>
      </w:pPr>
      <w:r>
        <w:rPr>
          <w:rFonts w:ascii="Arial" w:hAnsi="Arial"/>
          <w:sz w:val="20"/>
          <w:rtl w:val="0"/>
        </w:rPr>
        <w:t xml:space="preserve">Figura 3: Fluxograma de Execução e Ciclo de Vida dos Dados da Plataforma. </w:t>
      </w:r>
    </w:p>
    <w:p w:rsidR="00000000" w:rsidDel="00000000" w:rsidP="00000000" w:rsidRDefault="00000000" w:rsidRPr="00000000" w14:paraId="00000208">
      <w:pPr>
        <w:tabs>
          <w:tab w:val="right" w:leader="none" w:pos="906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right" w:leader="none" w:pos="9061"/>
        </w:tabs>
        <w:rPr/>
      </w:pPr>
      <w:r w:rsidDel="00000000" w:rsidR="00000000" w:rsidRPr="00000000">
        <w:rPr/>
        <w:drawing>
          <wp:inline distB="114300" distT="114300" distL="114300" distR="114300">
            <wp:extent cx="4704263" cy="7886269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6622" l="0" r="0" t="5836"/>
                    <a:stretch>
                      <a:fillRect/>
                    </a:stretch>
                  </pic:blipFill>
                  <pic:spPr>
                    <a:xfrm>
                      <a:off x="0" y="0"/>
                      <a:ext cx="4704263" cy="7886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tabs>
          <w:tab w:val="right" w:leader="none" w:pos="9061"/>
        </w:tabs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b w:val="1"/>
          <w:bCs w:val="1"/>
          <w:sz w:val="20"/>
          <w:rtl w:val="0"/>
        </w:rPr>
        <w:t xml:space="preserve">Fonte:</w:t>
      </w:r>
      <w:r w:rsidDel="00000000" w:rsidR="00000000" w:rsidRPr="00000000">
        <w:rPr>
          <w:rFonts w:ascii="Arial" w:hAnsi="Arial"/>
          <w:sz w:val="20"/>
          <w:rtl w:val="0"/>
        </w:rPr>
        <w:t xml:space="preserve"> Autor (2026). </w:t>
      </w:r>
    </w:p>
    <w:p w:rsidR="00000000" w:rsidDel="00000000" w:rsidP="00000000" w:rsidRDefault="00000000" w:rsidRPr="00000000" w14:paraId="0000020B">
      <w:pPr>
        <w:pStyle w:val="Heading2"/>
        <w:keepNext/>
        <w:spacing w:line="240" w:lineRule="auto" w:before="240" w:after="120"/>
        <w:ind w:firstLine="0"/>
        <w:jc w:val="left"/>
        <w:rPr>
          <w:color w:val="ff0000"/>
        </w:rPr>
      </w:pPr>
      <w:bookmarkStart w:colFirst="0" w:colLast="0" w:name="_lwl83x1htoss" w:id="28"/>
      <w:bookmarkEnd w:id="28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4.7 Modelo Entidade Relacionamento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20C">
      <w:pPr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Conforme abordado por Elmasri e Navathe (2011), o Modelo Entidade-Relacionamento (MER) consiste em uma técnica de modelagem conceitual de alto nível amplamente utilizada no design de bancos de dados, permitindo mapear de forma abstrata as estruturas de dados e os requisitos de informação de um ecossistema de software. Essa abordagem viabiliza a representação visual do domínio do sistema por meio da identificação de entidades abstratas ou objetos do mundo real, de seus respectivos atributos qualificadores e dos relacionamentos lógicos estabelecidos entre essas estruturas.</w:t>
      </w:r>
    </w:p>
    <w:p w:rsidR="00000000" w:rsidDel="00000000" w:rsidP="00000000" w:rsidRDefault="00000000" w:rsidRPr="00000000" w14:paraId="0000020D">
      <w:pPr>
        <w:tabs>
          <w:tab w:val="right" w:leader="none" w:pos="-5.787401574803539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Para representar a persistência implementada no protótipo, o modelo relaciona quatro entidades principais: Usuario, Paciente, Exame e Predicao_IA. O texto do laudo permanece associado ao Exame, enquanto as saídas do modelo e a referência do SHAP são armazenadas em Predicao_IA. Não existe entidade específica de auditoria na versão atual.</w:t>
      </w:r>
    </w:p>
    <w:p w:rsidR="00000000" w:rsidDel="00000000" w:rsidP="00000000" w:rsidRDefault="00000000" w:rsidRPr="00000000" w14:paraId="0000020E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A entidade Usuario armazena dados profissionais e o hash da senha dos médicos autorizados. Paciente centraliza os dados cadastrais e se relaciona aos exames registrados. Embora o sistema possua autenticação, a implementação atual não equivale a conformidade integral com a LGPD.</w:t>
      </w:r>
    </w:p>
    <w:p w:rsidR="00000000" w:rsidDel="00000000" w:rsidP="00000000" w:rsidRDefault="00000000" w:rsidRPr="00000000" w14:paraId="0000020F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A entidade Exame registra o arquivo EDF, os metadados extraídos, o estado do processamento e o texto livre do laudo. Depois da emissão, o laudo torna-se imutável. Não há rascunho persistente, campos clínicos estruturados ou assinatura digital nesta versão.</w:t>
      </w:r>
    </w:p>
    <w:p w:rsidR="00000000" w:rsidDel="00000000" w:rsidP="00000000" w:rsidRDefault="00000000" w:rsidRPr="00000000" w14:paraId="00000210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A entidade Predicao_IA registra o resultado analítico, o score, os trechos suspeitos e a referência do mapa SHAP. Arquivos EDF, modelos e imagens permanecem no sistema de arquivos e são referenciados pelo banco.</w:t>
      </w:r>
    </w:p>
    <w:p w:rsidR="00000000" w:rsidDel="00000000" w:rsidP="00000000" w:rsidRDefault="00000000" w:rsidRPr="00000000" w14:paraId="00000211">
      <w:pPr>
        <w:tabs>
          <w:tab w:val="right" w:leader="none" w:pos="8769.212598425198"/>
        </w:tabs>
        <w:spacing w:after="240" w:line="276" w:lineRule="auto"/>
        <w:ind w:left="720" w:right="2.5984251968515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right" w:leader="none" w:pos="8769.212598425198"/>
        </w:tabs>
        <w:spacing w:after="240" w:line="276" w:lineRule="auto"/>
        <w:ind w:left="720" w:right="2.5984251968515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right" w:leader="none" w:pos="8769.212598425198"/>
        </w:tabs>
        <w:spacing w:after="240" w:line="276" w:lineRule="auto"/>
        <w:ind w:left="720" w:right="2.5984251968515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right" w:leader="none" w:pos="8769.212598425198"/>
        </w:tabs>
        <w:spacing w:after="240" w:line="276" w:lineRule="auto"/>
        <w:ind w:left="720" w:right="2.5984251968515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right" w:leader="none" w:pos="8769.212598425198"/>
        </w:tabs>
        <w:spacing w:after="240" w:line="276" w:lineRule="auto"/>
        <w:ind w:left="720" w:right="2.5984251968515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/>
        <w:tabs>
          <w:tab w:val="right" w:leader="none" w:pos="8769.212598425198"/>
        </w:tabs>
        <w:spacing w:after="60" w:line="240" w:lineRule="auto"/>
        <w:ind w:left="0" w:right="2.598425196851508" w:firstLine="0"/>
        <w:jc w:val="center"/>
        <w:rPr/>
      </w:pPr>
      <w:r>
        <w:rPr>
          <w:rFonts w:ascii="Arial" w:hAnsi="Arial"/>
          <w:sz w:val="20"/>
          <w:rtl w:val="0"/>
        </w:rPr>
        <w:t>Figura 4: Modelo Entidade Relacionamento.</w:t>
      </w:r>
    </w:p>
    <w:p w:rsidR="00000000" w:rsidDel="00000000" w:rsidP="00000000" w:rsidRDefault="00000000" w:rsidRPr="00000000" w14:paraId="00000217">
      <w:pPr>
        <w:tabs>
          <w:tab w:val="right" w:leader="none" w:pos="9061"/>
        </w:tabs>
        <w:spacing w:after="240" w:line="276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59910" cy="1422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91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tabs>
          <w:tab w:val="right" w:leader="none" w:pos="9061"/>
        </w:tabs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</w:t>
      </w:r>
    </w:p>
    <w:p w:rsidR="00000000" w:rsidDel="00000000" w:rsidP="00000000" w:rsidRDefault="00000000" w:rsidRPr="00000000" w14:paraId="00000219">
      <w:pPr>
        <w:tabs>
          <w:tab w:val="right" w:leader="none" w:pos="9061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/>
        <w:spacing w:line="240" w:lineRule="auto" w:before="240" w:after="120"/>
        <w:ind w:firstLine="0"/>
        <w:jc w:val="left"/>
        <w:rPr>
          <w:color w:val="ff0000"/>
        </w:rPr>
      </w:pPr>
      <w:r>
        <w:rPr>
          <w:rFonts w:ascii="Arial" w:hAnsi="Arial"/>
          <w:b/>
          <w:color w:val="000000"/>
          <w:sz w:val="24"/>
        </w:rPr>
        <w:t>4.8 Protótipos de baixa fidelidade</w:t>
      </w:r>
    </w:p>
    <w:p w:rsidR="00000000" w:rsidDel="00000000" w:rsidP="00000000" w:rsidRDefault="00000000" w:rsidRPr="00000000" w14:paraId="0000021B">
      <w:pPr>
        <w:spacing w:after="0" w:before="0" w:lineRule="auto" w:line="36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O desenvolvimento de Sistemas de Apoio à Decisão Clínica (SADC) exige uma atenção rigorosa à usabilidade e à interação, visto que a eficácia da ferramenta está diretamente ligada à capacidade do profissional de saúde em interpretar os dados de forma ágil, intuitiva e sem sobrecarga cognitiva. Antes de avançar para a implementação em código, a construção de interfaces de utilizador (User Interfaces - UI) requer um planejamento visual rigoroso.</w:t>
      </w:r>
    </w:p>
    <w:p w:rsidR="00000000" w:rsidDel="00000000" w:rsidP="00000000" w:rsidRDefault="00000000" w:rsidRPr="00000000" w14:paraId="0000021C">
      <w:pPr>
        <w:spacing w:after="0" w:before="0" w:lineRule="auto" w:line="36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Para esse efeito, a utilização de wireframes e protótipos constitui uma ferramenta metodológica essencial. Segundo Pressman e Maxim (2016), a prototipação de ecrãs permite que os programadores e os futuros utilizadores visualizem a disposição das informações, o fluxo de navegação e as funcionalidades primárias do software antes da fase de codificação final, mitigando riscos, retrabalho e falhas de comunicação.</w:t>
      </w:r>
    </w:p>
    <w:p w:rsidR="00000000" w:rsidDel="00000000" w:rsidP="00000000" w:rsidRDefault="00000000" w:rsidRPr="00000000" w14:paraId="0000021D">
      <w:pPr>
        <w:spacing w:after="0" w:before="0" w:lineRule="auto" w:line="36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Neste contexto, visando materializar a proposta da plataforma Web de auxílio ao diagnóstico neurológico desenvolvida neste projeto, foram concebidos wireframes que representam o fluxo de interação do especialista médico com o sistema. A conceção destas interfaces teve como premissa principal integrar a complexidade da visualização de sinais de Eletroencefalograma (EEG) e os resultados preditivos do modelo de Inteligência Artificial Explicável (XAI) num ambiente limpo e responsivo.</w:t>
      </w:r>
    </w:p>
    <w:p w:rsidR="00000000" w:rsidDel="00000000" w:rsidP="00000000" w:rsidRDefault="00000000" w:rsidRPr="00000000" w14:paraId="0000021E">
      <w:pPr>
        <w:spacing w:after="0" w:before="0" w:lineRule="auto" w:line="360"/>
        <w:ind w:left="0" w:firstLine="709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As figuras que se seguem apresentam os principais ecrãs projetados, detalhando a jornada do utilizador desde a autenticação no sistema, passando pela gestão de prontuários, até à área central de análise visual e emissão de laudos com o suporte da rede neural.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/>
        <w:tabs>
          <w:tab w:val="right" w:leader="none" w:pos="549.2125984251965"/>
        </w:tabs>
        <w:spacing w:after="0" w:before="0" w:line="360" w:lineRule="auto"/>
        <w:ind w:firstLine="709"/>
        <w:jc w:val="both"/>
        <w:rPr/>
      </w:pPr>
      <w:r>
        <w:rPr>
          <w:rtl w:val="0"/>
        </w:rPr>
        <w:tab/>
        <w:tab/>
        <w:t>A Figura 5 apresenta a tela de login do sistema, porta de entrada para a plataforma de suporte à decisão clínica. Centralizada e com design minimalista, a interface conta com campos para a inserção do e-mail e da senha de acesso, além do botão de ação principal "Entrar no Sistema". O layout foi projetado com tipografia limpa, priorizando a legibilidade imediata e destacando no rodapé que o acesso é restrito aos profissionais credenciados.</w:t>
      </w:r>
    </w:p>
    <w:p w:rsidR="00000000" w:rsidDel="00000000" w:rsidP="00000000" w:rsidRDefault="00000000" w:rsidRPr="00000000" w14:paraId="00000220">
      <w:pPr>
        <w:keepNext/>
        <w:tabs>
          <w:tab w:val="right" w:leader="none" w:pos="9061"/>
        </w:tabs>
        <w:spacing w:after="60" w:before="240" w:line="240" w:lineRule="auto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>Figura 5 – Tela de login do sistema.</w:t>
      </w:r>
      <w:r w:rsidDel="00000000" w:rsidR="00000000" w:rsidRPr="00000000">
        <w:rPr>
          <w:rFonts w:ascii="Arial" w:hAnsi="Arial"/>
          <w:color w:val="ff0000"/>
          <w:sz w:val="20"/>
        </w:rPr>
        <w:drawing>
          <wp:inline distB="114300" distT="114300" distL="114300" distR="114300">
            <wp:extent cx="5572125" cy="245512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309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55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221">
      <w:pPr>
        <w:keepNext w:val="0"/>
        <w:tabs>
          <w:tab w:val="right" w:leader="none" w:pos="9061"/>
        </w:tabs>
        <w:spacing w:after="60" w:line="240" w:lineRule="auto"/>
        <w:ind w:firstLine="0"/>
        <w:jc w:val="center"/>
        <w:rPr>
          <w:color w:val="ff0000"/>
        </w:rPr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 </w:t>
      </w: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before="0" w:lineRule="auto" w:line="360"/>
        <w:ind w:firstLine="709"/>
        <w:jc w:val="both"/>
        <w:rPr/>
      </w:pPr>
      <w:r>
        <w:rPr>
          <w:rtl w:val="0"/>
        </w:rPr>
        <w:t>A Figura 6 apresenta a interface de recuperação de senha. Na versão acadêmica, o fluxo é apenas simulado: a API devolve uma resposta neutra, mas não envia mensagem nem redefine credenciais. A recuperação operacional por e-mail permanece como trabalho futuro.</w:t>
      </w:r>
    </w:p>
    <w:p w:rsidR="00000000" w:rsidDel="00000000" w:rsidP="00000000" w:rsidRDefault="00000000" w:rsidRPr="00000000" w14:paraId="0000022C">
      <w:pPr>
        <w:keepNext/>
        <w:spacing w:after="60" w:before="240" w:lineRule="auto" w:line="24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>Figura 6 – Janela modal de recuperação de senha do sistema.</w:t>
      </w:r>
      <w:r w:rsidDel="00000000" w:rsidR="00000000" w:rsidRPr="00000000">
        <w:rPr>
          <w:rFonts w:ascii="Arial" w:hAnsi="Arial"/>
          <w:sz w:val="20"/>
        </w:rPr>
        <w:drawing>
          <wp:inline distB="114300" distT="114300" distL="114300" distR="114300">
            <wp:extent cx="5573475" cy="2641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22D">
      <w:pPr>
        <w:keepNext w:val="0"/>
        <w:spacing w:after="60" w:before="240" w:lineRule="auto" w:line="240"/>
        <w:ind w:firstLine="0"/>
        <w:jc w:val="center"/>
        <w:rPr>
          <w:color w:val="ff0000"/>
        </w:rPr>
      </w:pPr>
      <w:r w:rsidDel="00000000" w:rsidR="00000000" w:rsidRPr="00000000">
        <w:rPr>
          <w:rFonts w:ascii="Arial" w:hAnsi="Arial"/>
          <w:b w:val="1"/>
          <w:bCs w:val="1"/>
          <w:sz w:val="20"/>
          <w:rtl w:val="0"/>
        </w:rPr>
        <w:t xml:space="preserve">Fonte:</w:t>
      </w:r>
      <w:r w:rsidDel="00000000" w:rsidR="00000000" w:rsidRPr="00000000">
        <w:rPr>
          <w:rFonts w:ascii="Arial" w:hAnsi="Arial"/>
          <w:sz w:val="20"/>
          <w:rtl w:val="0"/>
        </w:rPr>
        <w:t xml:space="preserve"> Autor (2026).</w:t>
      </w: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22E">
      <w:pPr>
        <w:ind w:firstLine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22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360" w:lineRule="auto" w:before="0" w:after="0"/>
        <w:ind w:firstLine="709"/>
        <w:jc w:val="both"/>
        <w:rPr/>
      </w:pPr>
      <w:r>
        <w:rPr>
          <w:rtl w:val="0"/>
        </w:rPr>
        <w:t xml:space="preserve">A Figura 7 apresenta a tela inicial do sistema, também denominada Dashboard, que atua como o painel de controle principal para o especialista médico após a autenticação. A interface foi projetada para fornecer uma visão geral do ambiente clínico de forma clara e objetiva. O layout dispõe de um menu de navegação lateral e indicadores numéricos em destaque no topo, que resumem o volume de pacientes, exames em análise, laudos emitidos e a acurácia média do modelo preditivo. O centro da tela é ocupado por uma tabela de atividades recentes para o acompanhamento de status dos exames, finalizando com atalhos de acesso rápido na seção inferior para otimizar o fluxo de trabalho diário do profissional. </w:t>
      </w:r>
    </w:p>
    <w:p w:rsidR="00000000" w:rsidDel="00000000" w:rsidP="00000000" w:rsidRDefault="00000000" w:rsidRPr="00000000" w14:paraId="0000023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/>
        <w:spacing w:line="240" w:lineRule="auto" w:after="60"/>
        <w:ind w:firstLine="0"/>
        <w:jc w:val="center"/>
        <w:rPr/>
      </w:pPr>
      <w:r>
        <w:rPr>
          <w:rFonts w:ascii="Arial" w:hAnsi="Arial"/>
          <w:sz w:val="20"/>
          <w:rtl w:val="0"/>
        </w:rPr>
        <w:t xml:space="preserve">Figura 7 – Tela inicial (Dashboard) e visão geral do sistema. </w:t>
      </w:r>
    </w:p>
    <w:p w:rsidR="00000000" w:rsidDel="00000000" w:rsidP="00000000" w:rsidRDefault="00000000" w:rsidRPr="00000000" w14:paraId="0000023B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573475" cy="2578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 </w:t>
      </w:r>
    </w:p>
    <w:p w:rsidR="00000000" w:rsidDel="00000000" w:rsidP="00000000" w:rsidRDefault="00000000" w:rsidRPr="00000000" w14:paraId="0000023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before="0" w:lineRule="auto" w:line="360"/>
        <w:ind w:firstLine="709"/>
        <w:jc w:val="both"/>
        <w:rPr/>
      </w:pPr>
      <w:r>
        <w:rPr>
          <w:rtl w:val="0"/>
        </w:rPr>
        <w:t>A Figura 8 apresenta a interface de gestão de pacientes, dedicada ao registro e ao acompanhamento dos prontuários. A tela reúne pesquisa, cadastro, histórico de exames e situação do laudo, permitindo organizar o fluxo de trabalho do protótipo.</w:t>
      </w:r>
    </w:p>
    <w:p w:rsidR="00000000" w:rsidDel="00000000" w:rsidP="00000000" w:rsidRDefault="00000000" w:rsidRPr="00000000" w14:paraId="00000248">
      <w:pPr>
        <w:keepNext/>
        <w:spacing w:after="60" w:before="240" w:lineRule="auto" w:line="240"/>
        <w:ind w:firstLine="0"/>
        <w:jc w:val="center"/>
        <w:rPr/>
      </w:pPr>
      <w:r>
        <w:rPr>
          <w:rFonts w:ascii="Arial" w:hAnsi="Arial"/>
          <w:sz w:val="20"/>
          <w:rtl w:val="0"/>
        </w:rPr>
        <w:t>Figura 8 – Interface de gestão de pacientes e prontuários.</w:t>
      </w:r>
    </w:p>
    <w:p w:rsidR="00000000" w:rsidDel="00000000" w:rsidP="00000000" w:rsidRDefault="00000000" w:rsidRPr="00000000" w14:paraId="00000249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73475" cy="2590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 </w:t>
      </w:r>
    </w:p>
    <w:p w:rsidR="00000000" w:rsidDel="00000000" w:rsidP="00000000" w:rsidRDefault="00000000" w:rsidRPr="00000000" w14:paraId="0000024B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4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0" w:lineRule="auto" w:line="360"/>
        <w:ind w:firstLine="709"/>
        <w:jc w:val="both"/>
        <w:rPr/>
      </w:pPr>
      <w:r>
        <w:rPr>
          <w:rtl w:val="0"/>
        </w:rPr>
        <w:t>A Figura 9 apresenta a interface de cadastro de um novo paciente, implementada no formato de janela sobreposta (modal). Acionada a partir da tela de gestão, a interface obscurece o plano de fundo para direcionar o foco do utilizador ao formulário principal. O layout minimalista é composto por campos de entrada para os dados obrigatórios iniciais, como o nome completo e o CPF, além dos botões de confirmação ("Cadastrar Paciente") e cancelamento da ação. Esta abordagem de design permite a inserção ágil de informações no sistema sem a necessidade de redirecionamento de página, mantendo a fluidez do fluxo de trabalho clínico.</w:t>
      </w:r>
    </w:p>
    <w:p w:rsidR="00000000" w:rsidDel="00000000" w:rsidP="00000000" w:rsidRDefault="00000000" w:rsidRPr="00000000" w14:paraId="00000252">
      <w:pPr>
        <w:keepNext/>
        <w:spacing w:after="60" w:before="240" w:lineRule="auto" w:line="240"/>
        <w:ind w:firstLine="0"/>
        <w:jc w:val="center"/>
        <w:rPr/>
      </w:pPr>
      <w:r>
        <w:rPr>
          <w:rFonts w:ascii="Arial" w:hAnsi="Arial"/>
          <w:sz w:val="20"/>
          <w:rtl w:val="0"/>
        </w:rPr>
        <w:t>Figura 9 – Janela modal de cadastro de novo paciente.</w:t>
      </w:r>
    </w:p>
    <w:p w:rsidR="00000000" w:rsidDel="00000000" w:rsidP="00000000" w:rsidRDefault="00000000" w:rsidRPr="00000000" w14:paraId="00000253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73475" cy="2603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 </w:t>
      </w:r>
    </w:p>
    <w:p w:rsidR="00000000" w:rsidDel="00000000" w:rsidP="00000000" w:rsidRDefault="00000000" w:rsidRPr="00000000" w14:paraId="00000255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before="0" w:lineRule="auto" w:line="360"/>
        <w:ind w:firstLine="709"/>
        <w:jc w:val="both"/>
        <w:rPr/>
      </w:pPr>
      <w:r>
        <w:rPr>
          <w:rtl w:val="0"/>
        </w:rPr>
        <w:t>A Figura 10 apresenta a interface central do sistema, dedicada à exploração visual dos sinais de Eletroencefalograma (EEG) e ao suporte à decisão clínica. O layout encontra-se estruturado em três colunas principais que refletem o fluxo de trabalho do neurologista. A secção lateral esquerda exibe os dados do paciente e possibilita a importação de novos exames no formato padrão EDF. A área central renderiza as séries temporais dos canais do EEG, oferecendo controles interativos de escala e amplitude, e prevê uma área de sobreposição gráfica onde atuará a Inteligência Artificial Explicável (mapas de calor gerados pelo método SHAP). Por fim, a coluna direita integra as ferramentas analíticas, disponibilizando a seleção dinâmica de elétrodos, o botão de acionamento do modelo preditivo (CNN-LSTM) e um editor de texto estruturado para a consolidação e emissão do laudo médico final.</w:t>
      </w:r>
    </w:p>
    <w:p w:rsidR="00000000" w:rsidDel="00000000" w:rsidP="00000000" w:rsidRDefault="00000000" w:rsidRPr="00000000" w14:paraId="0000025F">
      <w:pPr>
        <w:keepNext/>
        <w:spacing w:after="60" w:before="240" w:lineRule="auto" w:line="240"/>
        <w:ind w:firstLine="0"/>
        <w:jc w:val="center"/>
        <w:rPr/>
      </w:pPr>
      <w:r>
        <w:rPr>
          <w:rFonts w:ascii="Arial" w:hAnsi="Arial"/>
          <w:sz w:val="20"/>
          <w:rtl w:val="0"/>
        </w:rPr>
        <w:t>Figura 10 – Interface central de visualização de EEG, análise de IA e laudo.</w:t>
      </w:r>
    </w:p>
    <w:p w:rsidR="00000000" w:rsidDel="00000000" w:rsidP="00000000" w:rsidRDefault="00000000" w:rsidRPr="00000000" w14:paraId="00000260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73475" cy="2628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 </w:t>
      </w:r>
    </w:p>
    <w:p w:rsidR="00000000" w:rsidDel="00000000" w:rsidP="00000000" w:rsidRDefault="00000000" w:rsidRPr="00000000" w14:paraId="0000026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0" w:lineRule="auto" w:line="360"/>
        <w:ind w:left="0" w:firstLine="709"/>
        <w:jc w:val="both"/>
        <w:rPr/>
      </w:pPr>
      <w:r>
        <w:rPr>
          <w:rtl w:val="0"/>
        </w:rPr>
        <w:t>A Figura 11 apresenta a tela de configurações do sistema, organizada em dados profissionais, preferências de análise e informações técnicas. O médico pode ajustar o limiar de confiança, selecionar a montagem padrão de canais e ativar ou desativar a exibição do SHAP. Esses controles personalizam a visualização, mas não substituem a calibração científica do modelo.</w:t>
      </w:r>
    </w:p>
    <w:p w:rsidR="00000000" w:rsidDel="00000000" w:rsidP="00000000" w:rsidRDefault="00000000" w:rsidRPr="00000000" w14:paraId="00000267">
      <w:pPr>
        <w:keepNext/>
        <w:spacing w:after="60" w:before="240" w:lineRule="auto" w:line="240"/>
        <w:ind w:firstLine="0"/>
        <w:jc w:val="center"/>
        <w:rPr/>
      </w:pPr>
      <w:r>
        <w:rPr>
          <w:rFonts w:ascii="Arial" w:hAnsi="Arial"/>
          <w:sz w:val="20"/>
          <w:rtl w:val="0"/>
        </w:rPr>
        <w:t>Figura 11 – Interface de configurações do sistema e preferências de análise.</w:t>
      </w:r>
    </w:p>
    <w:p w:rsidR="00000000" w:rsidDel="00000000" w:rsidP="00000000" w:rsidRDefault="00000000" w:rsidRPr="00000000" w14:paraId="00000268">
      <w:pPr>
        <w:keepNext w:val="0"/>
        <w:spacing w:after="60" w:before="240" w:lineRule="auto" w:line="24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</w:rPr>
        <w:drawing>
          <wp:inline distB="114300" distT="114300" distL="114300" distR="114300">
            <wp:extent cx="5573475" cy="2641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hAnsi="Arial"/>
          <w:sz w:val="20"/>
          <w:rtl w:val="0"/>
        </w:rPr>
        <w:t xml:space="preserve">Fonte: autor, 2026.</w:t>
      </w:r>
    </w:p>
    <w:p w:rsidR="00000000" w:rsidDel="00000000" w:rsidP="00000000" w:rsidRDefault="00000000" w:rsidRPr="00000000" w14:paraId="00000269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2"/>
        <w:keepNext/>
        <w:spacing w:line="240" w:lineRule="auto" w:before="240" w:after="120"/>
        <w:ind w:firstLine="0"/>
        <w:jc w:val="left"/>
      </w:pPr>
      <w:r>
        <w:rPr>
          <w:rFonts w:ascii="Arial" w:hAnsi="Arial"/>
          <w:b/>
          <w:color w:val="000000"/>
          <w:sz w:val="24"/>
        </w:rPr>
        <w:t>4.9 Interface implementada</w:t>
      </w:r>
    </w:p>
    <w:p>
      <w:pPr>
        <w:spacing w:line="360" w:lineRule="auto" w:after="0"/>
        <w:ind w:firstLine="709"/>
        <w:jc w:val="both"/>
      </w:pPr>
      <w:r>
        <w:t>As figuras seguintes documentam a interface implementada no ambiente local. O fluxo contempla painel, pacientes, configurações, inspeção multicanal do EEG com relevância SHAP e elaboração do parecer médico.</w:t>
      </w:r>
    </w:p>
    <w:p>
      <w:pPr>
        <w:jc w:val="center"/>
      </w:pPr>
      <w:r>
        <w:drawing>
          <wp:inline>
            <wp:extent cx="5940000" cy="20627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final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Figura 12 - Painel principal da versão implementada.</w:t>
      </w:r>
    </w:p>
    <w:p>
      <w:pPr>
        <w:keepNext w:val="0"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Fonte: Elaborado pelo autor (2026).</w:t>
      </w:r>
    </w:p>
    <w:p>
      <w:pPr>
        <w:jc w:val="center"/>
      </w:pPr>
      <w:r>
        <w:drawing>
          <wp:inline>
            <wp:extent cx="5940000" cy="20627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ientes_final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Figura 13 - Gestão de pacientes da versão implementada.</w:t>
      </w:r>
    </w:p>
    <w:p>
      <w:pPr>
        <w:keepNext w:val="0"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Fonte: Elaborado pelo autor (2026).</w:t>
      </w:r>
    </w:p>
    <w:p>
      <w:pPr>
        <w:jc w:val="center"/>
      </w:pPr>
      <w:r>
        <w:drawing>
          <wp:inline>
            <wp:extent cx="5940000" cy="20627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coes_final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Figura 14 - Configurações do perfil, montagem, limiar e SHAP.</w:t>
      </w:r>
    </w:p>
    <w:p>
      <w:pPr>
        <w:keepNext w:val="0"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Fonte: Elaborado pelo autor (2026).</w:t>
      </w:r>
    </w:p>
    <w:p>
      <w:pPr>
        <w:jc w:val="center"/>
      </w:pPr>
      <w:r>
        <w:drawing>
          <wp:inline>
            <wp:extent cx="5940000" cy="20627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e_shap_final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Figura 15 - Visualização multicanal com trecho suspeito e SHAP sobreposto por canal e tempo.</w:t>
      </w:r>
    </w:p>
    <w:p>
      <w:pPr>
        <w:keepNext w:val="0"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Fonte: Elaborado pelo autor (2026).</w:t>
      </w:r>
    </w:p>
    <w:p>
      <w:pPr>
        <w:spacing w:line="360" w:lineRule="auto" w:after="0"/>
        <w:ind w:firstLine="709"/>
        <w:jc w:val="both"/>
      </w:pPr>
      <w:r>
        <w:t>Na Figura 15, a faixa laranja delimita o trecho suspeito e a intensidade vermelha representa contribuição positiva do Gradient SHAP. A projeção está associada às janelas de features da sequência de pico; portanto, não corresponde a uma atribuição para cada amostra bruta do sinal.</w:t>
      </w:r>
    </w:p>
    <w:p>
      <w:pPr>
        <w:jc w:val="center"/>
      </w:pPr>
      <w:r>
        <w:drawing>
          <wp:inline>
            <wp:extent cx="5940000" cy="20627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udo_final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Figura 16 - Área de emissão do parecer médico após a análise computacional.</w:t>
      </w:r>
    </w:p>
    <w:p>
      <w:pPr>
        <w:keepNext w:val="0"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Fonte: Elaborado pelo autor (2026).</w:t>
      </w:r>
    </w:p>
    <w:p>
      <w:r>
        <w:br w:type="page"/>
      </w:r>
    </w:p>
    <w:p>
      <w:pPr>
        <w:pStyle w:val="Heading1"/>
        <w:keepNext/>
        <w:spacing w:line="240" w:lineRule="auto" w:before="240" w:after="120"/>
        <w:ind w:firstLine="0"/>
        <w:jc w:val="left"/>
      </w:pPr>
      <w:r>
        <w:rPr>
          <w:rFonts w:ascii="Arial" w:hAnsi="Arial"/>
          <w:b/>
          <w:color w:val="000000"/>
          <w:sz w:val="24"/>
        </w:rPr>
        <w:t>5 RESULTADOS</w:t>
      </w:r>
    </w:p>
    <w:p>
      <w:pPr>
        <w:pStyle w:val="Heading2"/>
        <w:keepNext/>
        <w:spacing w:line="240" w:lineRule="auto" w:before="240" w:after="120"/>
        <w:ind w:firstLine="0"/>
        <w:jc w:val="left"/>
      </w:pPr>
      <w:r>
        <w:rPr>
          <w:rFonts w:ascii="Arial" w:hAnsi="Arial"/>
          <w:b/>
          <w:color w:val="000000"/>
          <w:sz w:val="24"/>
        </w:rPr>
        <w:t>5.1 Protocolo experimental</w:t>
      </w:r>
    </w:p>
    <w:p>
      <w:pPr>
        <w:spacing w:line="360" w:lineRule="auto" w:after="0"/>
        <w:ind w:firstLine="709"/>
        <w:jc w:val="both"/>
      </w:pPr>
      <w:r>
        <w:t>O modelo final selecionado foi a versão v43 com seed 42. A arquitetura CNN-BiLSTM utiliza fusão tardia de 23 canais, 15 características tempo-frequência por canal, janelas de 4 segundos, passo de 2 segundos e sequências de 8 passos. O treinamento utilizou 77 EDF de 17 grupos de pacientes. A calibração foi realizada em 13 EDF dos grupos chb16, chb19, chb20 e chb24, separados antes do janelamento.</w:t>
      </w:r>
    </w:p>
    <w:p>
      <w:pPr>
        <w:spacing w:line="360" w:lineRule="auto" w:after="0"/>
        <w:ind w:firstLine="709"/>
        <w:jc w:val="both"/>
      </w:pPr>
      <w:r>
        <w:t>O ponto operacional foi definido exclusivamente na calibração, com limiar de 0,60, duração mínima de 18 segundos e fechamento de lacunas de 8 segundos. A seleção do checkpoint priorizou desempenho por evento sob limite de falsos alarmes por hora. O conjunto chb09, chb15 e chb18 foi mantido separado no experimento final, mas já havia sido consultado durante o desenvolvimento; por isso, seus resultados são classificados como avaliação histórica, e não como teste final intocado.</w:t>
      </w:r>
    </w:p>
    <w:p>
      <w:pPr>
        <w:pStyle w:val="Heading2"/>
        <w:keepNext/>
        <w:spacing w:line="240" w:lineRule="auto" w:before="240" w:after="120"/>
        <w:ind w:firstLine="0"/>
        <w:jc w:val="left"/>
      </w:pPr>
      <w:r>
        <w:rPr>
          <w:rFonts w:ascii="Arial" w:hAnsi="Arial"/>
          <w:b/>
          <w:color w:val="000000"/>
          <w:sz w:val="24"/>
        </w:rPr>
        <w:t>5.2 Desempenho do modelo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49"/>
        <w:gridCol w:w="2324"/>
        <w:gridCol w:w="2324"/>
      </w:tblGrid>
      <w:tr>
        <w:tc>
          <w:tcPr>
            <w:tcW w:type="dxa" w:w="2926"/>
            <w:shd w:fill="17324D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926"/>
            <w:shd w:fill="17324D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Calibração</w:t>
            </w:r>
          </w:p>
        </w:tc>
        <w:tc>
          <w:tcPr>
            <w:tcW w:type="dxa" w:w="2926"/>
            <w:shd w:fill="17324D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Histórico</w:t>
            </w:r>
          </w:p>
        </w:tc>
      </w:tr>
      <w:tr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sz w:val="20"/>
              </w:rPr>
              <w:t>Precisão por EDF</w:t>
            </w:r>
          </w:p>
        </w:tc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100,0%</w:t>
            </w:r>
          </w:p>
        </w:tc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87,5%</w:t>
            </w:r>
          </w:p>
        </w:tc>
      </w:tr>
      <w:tr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sz w:val="20"/>
              </w:rPr>
              <w:t>Sensibilidade por EDF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91,7%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77,8%</w:t>
            </w:r>
          </w:p>
        </w:tc>
      </w:tr>
      <w:tr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sz w:val="20"/>
              </w:rPr>
              <w:t>F1 por EDF</w:t>
            </w:r>
          </w:p>
        </w:tc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95,7%</w:t>
            </w:r>
          </w:p>
        </w:tc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82,4%</w:t>
            </w:r>
          </w:p>
        </w:tc>
      </w:tr>
      <w:tr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sz w:val="20"/>
              </w:rPr>
              <w:t>F1 localizado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90,9%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46,2%</w:t>
            </w:r>
          </w:p>
        </w:tc>
      </w:tr>
      <w:tr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sz w:val="20"/>
              </w:rPr>
              <w:t>Eventos detectados</w:t>
            </w:r>
          </w:p>
        </w:tc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15 de 20</w:t>
            </w:r>
          </w:p>
        </w:tc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4 de 9</w:t>
            </w:r>
          </w:p>
        </w:tc>
      </w:tr>
      <w:tr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sz w:val="20"/>
              </w:rPr>
              <w:t>Recall por evento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75,0%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44,4%</w:t>
            </w:r>
          </w:p>
        </w:tc>
      </w:tr>
      <w:tr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sz w:val="20"/>
              </w:rPr>
              <w:t>F1 por evento</w:t>
            </w:r>
          </w:p>
        </w:tc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71,4%</w:t>
            </w:r>
          </w:p>
        </w:tc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17,8%</w:t>
            </w:r>
          </w:p>
        </w:tc>
      </w:tr>
      <w:tr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sz w:val="20"/>
              </w:rPr>
              <w:t>Falsos alarmes por hora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0,55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2,08</w:t>
            </w:r>
          </w:p>
        </w:tc>
      </w:tr>
    </w:tbl>
    <w:p>
      <w:pPr>
        <w:keepNext/>
        <w:spacing w:line="240" w:lineRule="auto" w:after="60"/>
        <w:ind w:firstLine="0"/>
        <w:jc w:val="center"/>
      </w:pPr>
      <w:r>
        <w:rPr>
          <w:rFonts w:ascii="Arial" w:hAnsi="Arial"/>
          <w:sz w:val="20"/>
        </w:rPr>
        <w:t>Quadro 10 - Resultados da v43 na calibração e na avaliação histórica.</w:t>
      </w:r>
    </w:p>
    <w:p>
      <w:pPr>
        <w:keepNext w:val="0"/>
        <w:spacing w:line="240" w:lineRule="auto" w:after="60"/>
        <w:ind w:firstLine="0"/>
        <w:jc w:val="center"/>
      </w:pPr>
      <w:r>
        <w:rPr>
          <w:rFonts w:ascii="Arial" w:hAnsi="Arial"/>
          <w:sz w:val="20"/>
        </w:rPr>
        <w:t>Fonte: Elaborado pelo autor a partir dos artefatos v43 (2026).</w:t>
      </w:r>
    </w:p>
    <w:p>
      <w:pPr>
        <w:jc w:val="center"/>
      </w:pPr>
      <w:r>
        <w:drawing>
          <wp:inline>
            <wp:extent cx="5940000" cy="343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as_v43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Figura 17 - Comparação das métricas da v43.</w:t>
      </w:r>
    </w:p>
    <w:p>
      <w:pPr>
        <w:keepNext w:val="0"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Fonte: Elaborado pelo autor (2026).</w:t>
      </w:r>
    </w:p>
    <w:p>
      <w:pPr>
        <w:spacing w:line="360" w:lineRule="auto" w:after="0"/>
        <w:ind w:firstLine="709"/>
        <w:jc w:val="both"/>
      </w:pPr>
      <w:r>
        <w:t>Na calibração, a v43 atingiu F1 por EDF de 95,7%, F1 localizado de 90,9% e detectou 15 de 20 eventos, com 0,55 falso alarme por hora. A avaliação histórica apresentou F1 por EDF de 82,4%, F1 localizado de 46,2% e detecção de 4 de 9 eventos, com 2,08 falsos alarmes por hora. A diferença indica perda de generalização entre pacientes e impede interpretar a calibração como estimativa de desempenho clínico externo.</w:t>
      </w:r>
    </w:p>
    <w:p>
      <w:pPr>
        <w:jc w:val="center"/>
      </w:pPr>
      <w:r>
        <w:drawing>
          <wp:inline>
            <wp:extent cx="5940000" cy="2904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os_falsos_alarmes_v43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Figura 18 - Eventos localizados e falsos alarmes por hora.</w:t>
      </w:r>
    </w:p>
    <w:p>
      <w:pPr>
        <w:keepNext w:val="0"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Fonte: Elaborado pelo autor (2026).</w:t>
      </w:r>
    </w:p>
    <w:p>
      <w:pPr>
        <w:pStyle w:val="Heading2"/>
        <w:keepNext/>
        <w:spacing w:line="240" w:lineRule="auto" w:before="240" w:after="120"/>
        <w:ind w:firstLine="0"/>
        <w:jc w:val="left"/>
      </w:pPr>
      <w:r>
        <w:rPr>
          <w:rFonts w:ascii="Arial" w:hAnsi="Arial"/>
          <w:b/>
          <w:sz w:val="24"/>
        </w:rPr>
        <w:t>5.3 Evolução experimental e estabilidade entre seeds</w:t>
      </w:r>
    </w:p>
    <w:p>
      <w:pPr>
        <w:spacing w:line="360" w:lineRule="auto" w:after="0"/>
        <w:ind w:firstLine="709"/>
        <w:jc w:val="both"/>
      </w:pPr>
      <w:r>
        <w:t>A seleção da v43 não decorreu de uma única execução. Nas cinco seeds 42 a 46, a calibração apresentou média de 13,8 eventos detectados em 20, F1 por evento de 65,7%, F1 localizado de 81,9%, F1 por EDF de 96,4% e 0,64 falso alarme por hora. A seed 42 alcançou 15/20 eventos, F1 localizado de 90,9% e 0,55 falso alarme por hora. A variação entre seeds impede tratar esse melhor resultado isolado como desempenho esperado em novos pacientes.</w:t>
      </w:r>
    </w:p>
    <w:p>
      <w:pPr>
        <w:spacing w:line="360" w:lineRule="auto" w:after="0"/>
        <w:ind w:firstLine="709"/>
        <w:jc w:val="both"/>
      </w:pPr>
      <w:r>
        <w:t>Em comparação controlada com a CNN-BiLSTM anterior nas seeds 42 a 44, a fusão tardia da v43 elevou a média de eventos de 13,33 para 14,00 em 20, o F1 localizado de 75,0% para 83,4% e o F1 por EDF de 92,9% para 97,1%. Os falsos alarmes passaram de 0,58 para 0,63 por hora. Esses números são de calibração no mesmo protocolo e não demonstram generalização externa.</w:t>
      </w:r>
    </w:p>
    <w:p>
      <w:pPr>
        <w:spacing w:line="360" w:lineRule="auto" w:after="0"/>
        <w:ind w:firstLine="709"/>
        <w:jc w:val="both"/>
      </w:pPr>
      <w:r>
        <w:t>Experimentos posteriores avaliaram multirresolução, seleção de checkpoint e expansão dirigida dos dados. A v53, com 26 EDF no treino e três seeds, obteve média de 12,33/20 eventos, F1 localizado de 77,9%, F1 por EDF de 92,5% e 0,602 falso alarme por hora. Embora algumas crises tenham melhorado, o conjunto não superou a referência v43 no mesmo protocolo. Por isso, a v53 não substituiu o modelo integrado à aplicação.</w:t>
      </w:r>
    </w:p>
    <w:p>
      <w:pPr>
        <w:spacing w:line="360" w:lineRule="auto" w:after="0"/>
        <w:ind w:firstLine="709"/>
        <w:jc w:val="both"/>
      </w:pPr>
      <w:r>
        <w:t>A mineração de negativos difíceis foi examinada nas versões v55 e v56, usando somente pacientes de treino. A configuração forte v55 reduziu a média para 12,67/20 eventos e F1 localizado de 71,3%, sem redução relevante dos falsos alarmes. A configuração leve v56 manteve 15/20 eventos na seed 42, mas reduziu o F1 localizado de 90,9% para 85,7%, com os mesmos 0,55 falso alarme por hora. Ambas foram rejeitadas para implantação.</w:t>
      </w:r>
    </w:p>
    <w:p>
      <w:pPr>
        <w:pStyle w:val="Heading2"/>
        <w:keepNext/>
        <w:spacing w:line="240" w:lineRule="auto" w:before="240" w:after="120"/>
        <w:ind w:firstLine="0"/>
        <w:jc w:val="left"/>
      </w:pPr>
      <w:r>
        <w:rPr>
          <w:rFonts w:ascii="Arial" w:hAnsi="Arial"/>
          <w:b/>
          <w:sz w:val="24"/>
        </w:rPr>
        <w:t>5.4 Análise dos erros e generalização</w:t>
      </w:r>
    </w:p>
    <w:p>
      <w:pPr>
        <w:spacing w:line="360" w:lineRule="auto" w:after="0"/>
        <w:ind w:firstLine="709"/>
        <w:jc w:val="both"/>
      </w:pPr>
      <w:r>
        <w:t>A avaliação histórica em chb09, chb15 e chb18 localizou 4 de 9 eventos, com F1 localizado de 46,2% e 2,08 falsos alarmes por hora. Esses pacientes haviam sido consultados durante o desenvolvimento e, portanto, os resultados descrevem a dificuldade interpaciente observada, sem constituir teste externo intocado. Crises não localizadas podem refletir baixa evidência ictal, fragmentação temporal ou escolha de candidato principal incorreto. A interpretação por evento é necessária porque F1 por EDF não identifica qual desses erros ocorreu.</w:t>
      </w:r>
    </w:p>
    <w:p>
      <w:pPr>
        <w:pStyle w:val="Heading2"/>
        <w:keepNext/>
        <w:spacing w:line="240" w:lineRule="auto" w:before="240" w:after="120"/>
        <w:ind w:firstLine="0"/>
        <w:jc w:val="left"/>
      </w:pPr>
      <w:r>
        <w:rPr>
          <w:rFonts w:ascii="Arial" w:hAnsi="Arial"/>
          <w:b/>
          <w:sz w:val="24"/>
        </w:rPr>
        <w:t>5.5 Verificação do software e dos artefatos</w:t>
      </w:r>
    </w:p>
    <w:p>
      <w:pPr>
        <w:spacing w:line="360" w:lineRule="auto" w:after="0"/>
        <w:ind w:firstLine="709"/>
        <w:jc w:val="both"/>
      </w:pPr>
      <w:r>
        <w:t>A integração foi verificada no fluxo local completo: autenticação, cadastro do paciente, leitura de EDF, visualização multicanal, recuperação de exame analisado, apresentação do score, intervalo suspeito, sobreposição SHAP e emissão de laudo. O frontend foi compilado com TypeScript e Vite. Os testes focados do backend totalizaram 22 casos aprovados; a suíte completa apresentou bloqueio na inicialização do TensorFlow no ambiente utilizado e permanece como pendência de fechamento.</w:t>
      </w:r>
    </w:p>
    <w:p>
      <w:pPr>
        <w:jc w:val="center"/>
      </w:pPr>
      <w:r>
        <w:drawing>
          <wp:inline>
            <wp:extent cx="5760000" cy="208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verificacao_v43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Figura 19 - Verificação de integridade dos artefatos da v43.</w:t>
      </w:r>
    </w:p>
    <w:p>
      <w:pPr>
        <w:keepNext w:val="0"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Fonte: Elaborado pelo autor (2026).</w:t>
      </w:r>
    </w:p>
    <w:p>
      <w:r>
        <w:br w:type="page"/>
      </w:r>
    </w:p>
    <w:p>
      <w:pPr>
        <w:pStyle w:val="Heading1"/>
        <w:keepNext/>
        <w:spacing w:line="240" w:lineRule="auto" w:before="240" w:after="120"/>
        <w:ind w:firstLine="0"/>
        <w:jc w:val="left"/>
      </w:pPr>
      <w:r>
        <w:rPr>
          <w:rFonts w:ascii="Arial" w:hAnsi="Arial"/>
          <w:b/>
          <w:color w:val="000000"/>
          <w:sz w:val="24"/>
        </w:rPr>
        <w:t>6 DISCUSSÃO</w:t>
      </w:r>
    </w:p>
    <w:p>
      <w:pPr>
        <w:spacing w:line="360" w:lineRule="auto" w:after="0"/>
        <w:ind w:firstLine="709"/>
        <w:jc w:val="both"/>
      </w:pPr>
      <w:r>
        <w:t>Os resultados demonstram que o protótipo executa a proposta de apoio à análise temporal de EEG e apresenta evidências interpretáveis no mesmo contexto visual do sinal. A avaliação por EDF, isoladamente, mostrou-se insuficiente: mesmo quando o arquivo foi classificado corretamente, o sistema pôde deixar de localizar eventos específicos ou produzir alarmes fora do intervalo ictal. Por esse motivo, o estudo passou a registrar métricas por evento, localização temporal e falsos alarmes por hora.</w:t>
      </w:r>
    </w:p>
    <w:p>
      <w:pPr>
        <w:spacing w:line="360" w:lineRule="auto" w:after="0"/>
        <w:ind w:firstLine="709"/>
        <w:jc w:val="both"/>
      </w:pPr>
      <w:r>
        <w:t>A fusão tardia preservou a identidade dos canais por mais etapas da rede e foi superior às tentativas que agregavam precocemente a dimensão espacial. Entretanto, crises com morfologia, duração ou topografia pouco representadas no treino continuaram recebendo score baixo. O pós-processamento temporal melhorou continuidade e reduziu fragmentação, mas não recuperou eventos que o primeiro estágio não representou.</w:t>
      </w:r>
    </w:p>
    <w:p>
      <w:pPr>
        <w:spacing w:line="360" w:lineRule="auto" w:after="0"/>
        <w:ind w:firstLine="709"/>
        <w:jc w:val="both"/>
      </w:pPr>
      <w:r>
        <w:t>O SHAP aumenta a inspecionabilidade ao destacar quais canais e janelas de features contribuíram para a sequência de pico. Essa explicação não comprova causalidade fisiológica, não substitui a interpretação do traçado e pode refletir correlações aprendidas pelo modelo. Sua utilidade deverá ser avaliada com especialistas em estudo posterior.</w:t>
      </w:r>
    </w:p>
    <w:p>
      <w:pPr>
        <w:pStyle w:val="Heading2"/>
        <w:keepNext/>
        <w:spacing w:line="240" w:lineRule="auto" w:before="240" w:after="120"/>
        <w:ind w:firstLine="0"/>
        <w:jc w:val="left"/>
      </w:pPr>
      <w:r>
        <w:rPr>
          <w:rFonts w:ascii="Arial" w:hAnsi="Arial"/>
          <w:b/>
          <w:color w:val="000000"/>
          <w:sz w:val="24"/>
        </w:rPr>
        <w:t>6.1 Limitações e ameaças à validade</w:t>
      </w:r>
    </w:p>
    <w:p>
      <w:pPr>
        <w:spacing w:line="360" w:lineRule="auto" w:after="0"/>
        <w:ind w:left="709" w:firstLine="709"/>
        <w:jc w:val="both"/>
      </w:pPr>
      <w:r>
        <w:t>• não existe conjunto CHB-MIT local completamente intocado, pois todos os grupos disponíveis foram utilizados em treino, calibração ou desenvolvimento histórico;</w:t>
      </w:r>
    </w:p>
    <w:p>
      <w:pPr>
        <w:spacing w:line="360" w:lineRule="auto" w:after="0"/>
        <w:ind w:left="709" w:firstLine="709"/>
        <w:jc w:val="both"/>
      </w:pPr>
      <w:r>
        <w:t>• a calibração contém apenas quatro grupos de pacientes e vinte eventos, quantidade insuficiente para estimar generalização clínica;</w:t>
      </w:r>
    </w:p>
    <w:p>
      <w:pPr>
        <w:spacing w:line="360" w:lineRule="auto" w:after="0"/>
        <w:ind w:left="709" w:firstLine="709"/>
        <w:jc w:val="both"/>
      </w:pPr>
      <w:r>
        <w:t>• não foi realizada validação externa em outra instituição ou base temporal multicanal equivalente;</w:t>
      </w:r>
    </w:p>
    <w:p>
      <w:pPr>
        <w:spacing w:line="360" w:lineRule="auto" w:after="0"/>
        <w:ind w:left="709" w:firstLine="709"/>
        <w:jc w:val="both"/>
      </w:pPr>
      <w:r>
        <w:t>• não houve estudo formal de usabilidade com neurologistas ou técnicos de EEG;</w:t>
      </w:r>
    </w:p>
    <w:p>
      <w:pPr>
        <w:spacing w:line="360" w:lineRule="auto" w:after="0"/>
        <w:ind w:left="709" w:firstLine="709"/>
        <w:jc w:val="both"/>
      </w:pPr>
      <w:r>
        <w:t>• o sistema é um protótipo local, sem validação de desempenho concorrente, conformidade integral com a LGPD ou regularização sanitária;</w:t>
      </w:r>
    </w:p>
    <w:p>
      <w:pPr>
        <w:spacing w:line="360" w:lineRule="auto" w:after="0"/>
        <w:ind w:left="709" w:firstLine="709"/>
        <w:jc w:val="both"/>
      </w:pPr>
      <w:r>
        <w:t>• a suíte completa de testes precisa ser reexecutada em ambiente isolado após resolver o bloqueio de inicialização do TensorFlow.</w:t>
      </w:r>
    </w:p>
    <w:p>
      <w:r>
        <w:br w:type="page"/>
      </w:r>
    </w:p>
    <w:p>
      <w:pPr>
        <w:pStyle w:val="Heading1"/>
        <w:keepNext/>
        <w:spacing w:line="240" w:lineRule="auto" w:before="240" w:after="120"/>
        <w:ind w:firstLine="0"/>
        <w:jc w:val="left"/>
      </w:pPr>
      <w:r>
        <w:rPr>
          <w:rFonts w:ascii="Arial" w:hAnsi="Arial"/>
          <w:b/>
          <w:color w:val="000000"/>
          <w:sz w:val="24"/>
        </w:rPr>
        <w:t>7 CONCLUSÃO</w:t>
      </w:r>
    </w:p>
    <w:p>
      <w:pPr>
        <w:spacing w:line="360" w:lineRule="auto" w:after="0"/>
        <w:ind w:firstLine="709"/>
        <w:jc w:val="both"/>
      </w:pPr>
      <w:r>
        <w:t>Este trabalho desenvolveu um protótipo web de apoio à análise de EEG que integra autenticação, gestão de pacientes, ingestão de EDF, visualização multicanal, detecção temporal com CNN-BiLSTM, explicabilidade por Gradient SHAP e emissão de laudo. A implementação atende ao objetivo de reunir o fluxo técnico em uma única aplicação e mantém explícito que a saída da IA representa apoio à decisão, não diagnóstico autônomo.</w:t>
      </w:r>
    </w:p>
    <w:p>
      <w:pPr>
        <w:spacing w:line="360" w:lineRule="auto" w:after="0"/>
        <w:ind w:firstLine="709"/>
        <w:jc w:val="both"/>
      </w:pPr>
      <w:r>
        <w:t>A v43 apresentou desempenho elevado na calibração, mas a queda observada na avaliação histórica confirmou que a generalização interpaciente permanece o principal gargalo. Portanto, o protótipo pode ser apresentado como resultado de Engenharia de Software e experimento de IA explicável, mas não como sistema clinicamente validado.</w:t>
      </w:r>
    </w:p>
    <w:p>
      <w:pPr>
        <w:spacing w:line="360" w:lineRule="auto" w:after="0"/>
        <w:ind w:firstLine="709"/>
        <w:jc w:val="both"/>
      </w:pPr>
      <w:r>
        <w:t>Como trabalhos futuros, recomenda-se obter uma coorte externa mantida intocada, ampliar a diversidade de eventos ictais, avaliar arquiteturas espaciais e temporais em ablações controladas, calibrar o ponto operacional sem acesso ao teste, medir usabilidade com profissionais, completar controles de segurança e privacidade e avaliar requisitos regulatórios antes de qualquer uso assistencial.</w:t>
      </w:r>
    </w:p>
    <w:p w:rsidR="00000000" w:rsidDel="00000000" w:rsidP="00000000" w:rsidRDefault="00000000" w:rsidRPr="00000000" w14:paraId="0000026F">
      <w:pPr>
        <w:pStyle w:val="Heading1"/>
        <w:keepNext/>
        <w:spacing w:line="240" w:lineRule="auto" w:before="240" w:after="120"/>
        <w:ind w:left="0" w:firstLine="0"/>
        <w:jc w:val="left"/>
        <w:rPr>
          <w:sz w:val="24"/>
          <w:szCs w:val="24"/>
        </w:rPr>
      </w:pPr>
      <w:r>
        <w:rPr>
          <w:rFonts w:ascii="Arial" w:hAnsi="Arial"/>
          <w:b/>
          <w:sz w:val="24"/>
        </w:rPr>
        <w:t>8 RECURSOS E CRONOGRAMA</w:t>
      </w:r>
    </w:p>
    <w:p w:rsidR="00000000" w:rsidDel="00000000" w:rsidP="00000000" w:rsidRDefault="00000000" w:rsidRPr="00000000" w14:paraId="00000270">
      <w:pPr>
        <w:spacing w:after="0" w:line="360" w:lineRule="auto" w:before="0"/>
        <w:ind w:firstLine="709"/>
        <w:jc w:val="both"/>
        <w:rPr>
          <w:sz w:val="24"/>
          <w:szCs w:val="24"/>
        </w:rPr>
      </w:pPr>
      <w:r>
        <w:rPr>
          <w:rtl w:val="0"/>
        </w:rPr>
        <w:t>O desenvolvimento foi organizado conforme o cronograma apresentado no Quadro 9, e os recursos empregados estão descritos no Quadro 8. O acompanhamento incremental permitiu revisar requisitos, implementar o sistema e executar experimentos de IA ao longo de 2026.</w:t>
      </w:r>
    </w:p>
    <w:p w:rsidR="00000000" w:rsidDel="00000000" w:rsidP="00000000" w:rsidRDefault="00000000" w:rsidRPr="00000000" w14:paraId="00000271">
      <w:pPr>
        <w:pStyle w:val="Heading2"/>
        <w:keepNext/>
        <w:spacing w:line="240" w:lineRule="auto" w:before="240" w:after="120"/>
        <w:ind w:left="0" w:firstLine="0"/>
        <w:jc w:val="left"/>
        <w:rPr/>
      </w:pPr>
      <w:r>
        <w:rPr>
          <w:rFonts w:ascii="Arial" w:hAnsi="Arial"/>
          <w:b/>
          <w:sz w:val="24"/>
        </w:rPr>
        <w:t>8.1 Recursos</w:t>
      </w:r>
    </w:p>
    <w:p w:rsidR="00000000" w:rsidDel="00000000" w:rsidP="00000000" w:rsidRDefault="00000000" w:rsidRPr="00000000" w14:paraId="00000272">
      <w:pPr>
        <w:keepNext/>
        <w:spacing w:line="240" w:lineRule="auto" w:after="60"/>
        <w:ind w:firstLine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sz w:val="20"/>
          <w:szCs w:val="24"/>
          <w:rtl w:val="0"/>
        </w:rPr>
        <w:t xml:space="preserve">Quadro </w:t>
      </w:r>
      <w:r w:rsidDel="00000000" w:rsidR="00000000" w:rsidRPr="00000000">
        <w:rPr>
          <w:rFonts w:ascii="Arial" w:hAnsi="Arial"/>
          <w:sz w:val="20"/>
          <w:rtl w:val="0"/>
        </w:rPr>
        <w:t xml:space="preserve">8</w:t>
      </w:r>
      <w:r w:rsidDel="00000000" w:rsidR="00000000" w:rsidRPr="00000000">
        <w:rPr>
          <w:rFonts w:ascii="Arial" w:hAnsi="Arial"/>
          <w:sz w:val="20"/>
          <w:szCs w:val="24"/>
          <w:rtl w:val="0"/>
        </w:rPr>
        <w:t xml:space="preserve"> - Descrição Orçamentária.</w:t>
      </w:r>
    </w:p>
    <w:tbl>
      <w:tblPr>
        <w:tblStyle w:val="Table8"/>
        <w:tblW w:w="8910.0" w:type="dxa"/>
        <w:jc w:val="center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2220"/>
        <w:gridCol w:w="1215"/>
        <w:gridCol w:w="1710"/>
        <w:gridCol w:w="1320"/>
        <w:gridCol w:w="1800"/>
        <w:tblGridChange w:id="0">
          <w:tblGrid>
            <w:gridCol w:w="645"/>
            <w:gridCol w:w="2220"/>
            <w:gridCol w:w="1215"/>
            <w:gridCol w:w="1710"/>
            <w:gridCol w:w="132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Nº</w:t>
            </w:r>
          </w:p>
        </w:tc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Quant.</w:t>
            </w:r>
          </w:p>
        </w:tc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Fonte financiadora</w:t>
            </w:r>
          </w:p>
        </w:tc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Valor Unitário</w:t>
            </w:r>
          </w:p>
        </w:tc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Valor Total</w:t>
            </w:r>
          </w:p>
        </w:tc>
      </w:tr>
      <w:tr>
        <w:trPr>
          <w:cantSplit w:val="0"/>
          <w:trHeight w:val="419.970703125" w:hRule="atLeast"/>
          <w:tblHeader w:val="0"/>
        </w:trPr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tabs>
                <w:tab w:val="left" w:leader="none" w:pos="0"/>
              </w:tabs>
              <w:spacing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PC Desktop (i3, 16GB RAM, SSD)</w:t>
              <w:tab/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Recurso próprio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R$ 3.500,00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R$ 3.500,00</w:t>
            </w:r>
          </w:p>
        </w:tc>
      </w:tr>
      <w:tr>
        <w:trPr>
          <w:cantSplit w:val="0"/>
          <w:tblHeader w:val="0"/>
        </w:trPr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tabs>
                <w:tab w:val="left" w:leader="none" w:pos="0"/>
              </w:tabs>
              <w:spacing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Ferramentas de API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Recurso próprio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R$ 50,00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R$ 50,00</w:t>
            </w:r>
          </w:p>
        </w:tc>
      </w:tr>
      <w:tr>
        <w:trPr>
          <w:cantSplit w:val="0"/>
          <w:tblHeader w:val="0"/>
        </w:trPr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tabs>
                <w:tab w:val="left" w:leader="none" w:pos="0"/>
              </w:tabs>
              <w:spacing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Domínio Web e Hospedagem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1 ano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Recurso próprio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R$100,00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R$100,00</w:t>
            </w:r>
          </w:p>
        </w:tc>
      </w:tr>
      <w:tr>
        <w:trPr>
          <w:cantSplit w:val="0"/>
          <w:trHeight w:val="389.970703125" w:hRule="atLeast"/>
          <w:tblHeader w:val="0"/>
        </w:trPr>
        <w:tc>
          <w:tcPr>
            <w:gridSpan w:val="6"/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R$3.920,00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keepNext w:val="0"/>
        <w:widowControl w:val="0"/>
        <w:tabs>
          <w:tab w:val="left" w:leader="none" w:pos="7865"/>
        </w:tabs>
        <w:spacing w:after="60"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hAnsi="Arial"/>
          <w:sz w:val="20"/>
          <w:szCs w:val="24"/>
          <w:rtl w:val="0"/>
        </w:rPr>
        <w:t xml:space="preserve">Fonte: autor, 2026.</w:t>
      </w: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292">
      <w:pPr>
        <w:pStyle w:val="Heading2"/>
        <w:ind w:left="0" w:firstLine="0"/>
        <w:rPr/>
      </w:pPr>
      <w:bookmarkStart w:colFirst="0" w:colLast="0" w:name="_t5t0suyzd1ph" w:id="32"/>
      <w:bookmarkEnd w:id="32"/>
      <w:r w:rsidDel="00000000" w:rsidR="00000000" w:rsidRPr="00000000">
        <w:rPr>
          <w:rFonts w:ascii="Arial" w:hAnsi="Arial"/>
          <w:color w:val="000000"/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/>
        <w:spacing w:line="240" w:lineRule="auto" w:before="240" w:after="120"/>
        <w:ind w:left="0" w:firstLine="0"/>
        <w:jc w:val="left"/>
        <w:rPr>
          <w:sz w:val="24"/>
          <w:szCs w:val="24"/>
        </w:rPr>
      </w:pPr>
      <w:r>
        <w:rPr>
          <w:rFonts w:ascii="Arial" w:hAnsi="Arial"/>
          <w:b/>
          <w:sz w:val="24"/>
        </w:rPr>
        <w:t>8.2 Cronograma</w:t>
      </w:r>
    </w:p>
    <w:p w:rsidR="00000000" w:rsidDel="00000000" w:rsidP="00000000" w:rsidRDefault="00000000" w:rsidRPr="00000000" w14:paraId="00000294">
      <w:pPr>
        <w:keepNext/>
        <w:widowControl w:val="0"/>
        <w:spacing w:after="60" w:line="240" w:lineRule="auto"/>
        <w:ind w:left="141.73228346456688" w:firstLine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sz w:val="20"/>
          <w:szCs w:val="24"/>
          <w:rtl w:val="0"/>
        </w:rPr>
        <w:t xml:space="preserve">Quadro </w:t>
      </w:r>
      <w:r w:rsidDel="00000000" w:rsidR="00000000" w:rsidRPr="00000000">
        <w:rPr>
          <w:rFonts w:ascii="Arial" w:hAnsi="Arial"/>
          <w:sz w:val="20"/>
          <w:rtl w:val="0"/>
        </w:rPr>
        <w:t xml:space="preserve">9</w:t>
      </w:r>
      <w:r w:rsidDel="00000000" w:rsidR="00000000" w:rsidRPr="00000000">
        <w:rPr>
          <w:rFonts w:ascii="Arial" w:hAnsi="Arial"/>
          <w:sz w:val="20"/>
          <w:szCs w:val="24"/>
          <w:rtl w:val="0"/>
        </w:rPr>
        <w:t xml:space="preserve"> – Cronograma de trabalho dividido em meses e atividades a serem realizadas.</w:t>
      </w:r>
    </w:p>
    <w:tbl>
      <w:tblPr>
        <w:tblStyle w:val="Table9"/>
        <w:tblW w:w="8910.0" w:type="dxa"/>
        <w:jc w:val="center"/>
        <w:tblInd w:w="25.99999999999994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30"/>
        <w:gridCol w:w="540"/>
        <w:gridCol w:w="510"/>
        <w:gridCol w:w="585"/>
        <w:gridCol w:w="540"/>
        <w:gridCol w:w="615"/>
        <w:gridCol w:w="495"/>
        <w:gridCol w:w="630"/>
        <w:gridCol w:w="585"/>
        <w:gridCol w:w="570"/>
        <w:gridCol w:w="540"/>
        <w:gridCol w:w="615"/>
        <w:gridCol w:w="555"/>
        <w:tblGridChange w:id="0">
          <w:tblGrid>
            <w:gridCol w:w="2130"/>
            <w:gridCol w:w="540"/>
            <w:gridCol w:w="510"/>
            <w:gridCol w:w="585"/>
            <w:gridCol w:w="540"/>
            <w:gridCol w:w="615"/>
            <w:gridCol w:w="495"/>
            <w:gridCol w:w="630"/>
            <w:gridCol w:w="585"/>
            <w:gridCol w:w="570"/>
            <w:gridCol w:w="540"/>
            <w:gridCol w:w="615"/>
            <w:gridCol w:w="555"/>
          </w:tblGrid>
        </w:tblGridChange>
      </w:tblGrid>
      <w:tr>
        <w:trPr>
          <w:cantSplit w:val="0"/>
          <w:trHeight w:val="186.980468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spacing w:before="190"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Atividades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before="17" w:line="240" w:lineRule="auto" w:after="40"/>
              <w:ind w:left="20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2026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 w:after="40"/>
              <w:ind w:left="7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Jan.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 w:after="40"/>
              <w:ind w:left="41" w:right="1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Fev.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 w:after="40"/>
              <w:ind w:left="41" w:right="1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Mar.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Abr.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 w:after="40"/>
              <w:ind w:left="52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Mai.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 w:after="40"/>
              <w:ind w:left="3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Jun.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Jul.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Ago.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Out.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Nov.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Dez.</w:t>
            </w:r>
          </w:p>
        </w:tc>
      </w:tr>
      <w:tr>
        <w:trPr>
          <w:cantSplit w:val="0"/>
          <w:trHeight w:val="431.9609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before="47"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Levantamento do referencial teórico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spacing w:before="11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before="116" w:line="240" w:lineRule="auto" w:after="40"/>
              <w:ind w:left="0" w:right="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before="11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451.9609374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before="52" w:line="240" w:lineRule="auto" w:after="40"/>
              <w:ind w:right="171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Levantamento dos requisitos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before="121" w:line="240" w:lineRule="auto" w:after="40"/>
              <w:ind w:left="0" w:right="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spacing w:before="12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before="131"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Desenvolvimento do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before="186" w:line="240" w:lineRule="auto" w:after="40"/>
              <w:ind w:left="0" w:right="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before="186" w:line="240" w:lineRule="auto" w:after="40"/>
              <w:ind w:left="0" w:right="21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360.980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before="1"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Testes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spacing w:before="191" w:line="240" w:lineRule="auto" w:after="40"/>
              <w:ind w:left="41" w:right="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420.980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before="47"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Apresentação TCC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before="116" w:line="240" w:lineRule="auto" w:after="40"/>
              <w:ind w:left="3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before="116" w:line="240" w:lineRule="auto" w:after="40"/>
              <w:ind w:left="3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before="116" w:line="240" w:lineRule="auto" w:after="40"/>
              <w:ind w:left="3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264.9804687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before="97"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Apresentação TCC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before="200" w:line="240" w:lineRule="auto" w:after="40"/>
              <w:ind w:left="3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before="11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2FD">
      <w:pPr>
        <w:keepNext w:val="0"/>
        <w:widowControl w:val="0"/>
        <w:tabs>
          <w:tab w:val="left" w:leader="none" w:pos="7865"/>
        </w:tabs>
        <w:spacing w:after="60" w:line="240" w:lineRule="auto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szCs w:val="24"/>
          <w:rtl w:val="0"/>
        </w:rPr>
        <w:t xml:space="preserve">Fonte: autor, 2026</w:t>
      </w:r>
      <w:r w:rsidDel="00000000" w:rsidR="00000000" w:rsidRPr="00000000">
        <w:rPr>
          <w:rFonts w:ascii="Arial" w:hAnsi="Arial"/>
          <w:sz w:val="20"/>
          <w:rtl w:val="0"/>
        </w:rPr>
        <w:t xml:space="preserve">.</w:t>
      </w: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r>
        <w:rPr>
          <w:rFonts w:ascii="Arial" w:hAnsi="Arial"/>
          <w:b/>
          <w:sz w:val="24"/>
        </w:rPr>
        <w:t>REFERÊNCIAS</w:t>
      </w:r>
    </w:p>
    <w:p w:rsidR="00000000" w:rsidDel="00000000" w:rsidP="00000000" w:rsidRDefault="00000000" w:rsidRPr="00000000" w14:paraId="000002FF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ABOALAYON, K. A. I. et al. </w:t>
      </w:r>
      <w:r w:rsidDel="00000000" w:rsidR="00000000" w:rsidRPr="00000000">
        <w:rPr>
          <w:b w:val="1"/>
          <w:bCs w:val="1"/>
          <w:rtl w:val="0"/>
        </w:rPr>
        <w:t xml:space="preserve">Seizure detection using EEG signals: a review of different EEG recording modalities, signal analysis techniques, and seizure detection systems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Informatics in Medicine Unlocked</w:t>
      </w:r>
      <w:r w:rsidDel="00000000" w:rsidR="00000000" w:rsidRPr="00000000">
        <w:rPr>
          <w:rtl w:val="0"/>
        </w:rPr>
        <w:t xml:space="preserve">, v. 6, p. 1-18, 2016. Disponível em: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https://catalog.nlm.nih.gov/discovery/fulldisplay?docid=alma9916189513406676&amp;context=L&amp;vid=01NLM_INST:01NLM_INST&amp;lang=en</w:t>
        </w:r>
      </w:hyperlink>
      <w:r w:rsidDel="00000000" w:rsidR="00000000" w:rsidRPr="00000000">
        <w:rPr>
          <w:rtl w:val="0"/>
        </w:rPr>
        <w:t xml:space="preserve">. Acesso em: 05 nov. 2025.</w:t>
      </w:r>
    </w:p>
    <w:p w:rsidR="00000000" w:rsidDel="00000000" w:rsidP="00000000" w:rsidRDefault="00000000" w:rsidRPr="00000000" w14:paraId="00000300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ACETO, G.; PERSICO, V.; PESCO, A. </w:t>
      </w:r>
      <w:r w:rsidDel="00000000" w:rsidR="00000000" w:rsidRPr="00000000">
        <w:rPr>
          <w:b w:val="1"/>
          <w:bCs w:val="1"/>
          <w:rtl w:val="0"/>
        </w:rPr>
        <w:t xml:space="preserve">Industry 4.0 and Health: Internet of Things, Big Data, and Cloud Computing for Healthcare 4.0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Journal of Industrial Information Integration</w:t>
      </w:r>
      <w:r w:rsidDel="00000000" w:rsidR="00000000" w:rsidRPr="00000000">
        <w:rPr>
          <w:rtl w:val="0"/>
        </w:rPr>
        <w:t xml:space="preserve">, v. 18, p. 100129, 2020. Disponível em: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https://www.sciencedirect.com/science/article/abs/pii/S2452414X19300135</w:t>
        </w:r>
      </w:hyperlink>
      <w:r w:rsidDel="00000000" w:rsidR="00000000" w:rsidRPr="00000000">
        <w:rPr>
          <w:rtl w:val="0"/>
        </w:rPr>
        <w:t xml:space="preserve"> . Acesso em: 05 nov. 2025.</w:t>
      </w:r>
    </w:p>
    <w:p w:rsidR="00000000" w:rsidDel="00000000" w:rsidP="00000000" w:rsidRDefault="00000000" w:rsidRPr="00000000" w14:paraId="00000301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ACHARYA, U. R. et al. </w:t>
      </w:r>
      <w:r w:rsidDel="00000000" w:rsidR="00000000" w:rsidRPr="00000000">
        <w:rPr>
          <w:b w:val="1"/>
          <w:bCs w:val="1"/>
          <w:rtl w:val="0"/>
        </w:rPr>
        <w:t xml:space="preserve">Deep convolutional neural network for the automated detection and diagnosis of seizure using EEG signals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Computers in Biology and Medicine</w:t>
      </w:r>
      <w:r w:rsidDel="00000000" w:rsidR="00000000" w:rsidRPr="00000000">
        <w:rPr>
          <w:rtl w:val="0"/>
        </w:rPr>
        <w:t xml:space="preserve">, v. 100, p. 270-278, 2018. Disponível em: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https://www.sciencedirect.com/science/article/abs/pii/S0010482517303153</w:t>
        </w:r>
      </w:hyperlink>
      <w:r w:rsidDel="00000000" w:rsidR="00000000" w:rsidRPr="00000000">
        <w:rPr>
          <w:rtl w:val="0"/>
        </w:rPr>
        <w:t xml:space="preserve"> . Acesso em: 06 nov. 2025.</w:t>
      </w:r>
    </w:p>
    <w:p w:rsidR="00000000" w:rsidDel="00000000" w:rsidP="00000000" w:rsidRDefault="00000000" w:rsidRPr="00000000" w14:paraId="00000302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ADADI, A.; BERRADA, M. </w:t>
      </w:r>
      <w:r w:rsidDel="00000000" w:rsidR="00000000" w:rsidRPr="00000000">
        <w:rPr>
          <w:b w:val="1"/>
          <w:bCs w:val="1"/>
          <w:rtl w:val="0"/>
        </w:rPr>
        <w:t xml:space="preserve">Peeking inside the black-box: a survey on explainable artificial intelligence (XAI)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IEEE Access</w:t>
      </w:r>
      <w:r w:rsidDel="00000000" w:rsidR="00000000" w:rsidRPr="00000000">
        <w:rPr>
          <w:rtl w:val="0"/>
        </w:rPr>
        <w:t xml:space="preserve">, v. 6, p. 52138-52160, 2018. Disponível em:</w:t>
      </w:r>
      <w:hyperlink r:id="rId2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https://www.researchgate.net/publication/327709435_Peeking_Inside_the_Black-Box_A_Survey_on_Explainable_Artificial_Intelligence_XAI</w:t>
        </w:r>
      </w:hyperlink>
      <w:r w:rsidDel="00000000" w:rsidR="00000000" w:rsidRPr="00000000">
        <w:rPr>
          <w:rtl w:val="0"/>
        </w:rPr>
        <w:t xml:space="preserve">. Acesso em: 06 nov. 2025.</w:t>
      </w:r>
    </w:p>
    <w:p w:rsidR="00000000" w:rsidDel="00000000" w:rsidP="00000000" w:rsidRDefault="00000000" w:rsidRPr="00000000" w14:paraId="00000303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AGARWAL, R. et al. </w:t>
      </w:r>
      <w:r w:rsidDel="00000000" w:rsidR="00000000" w:rsidRPr="00000000">
        <w:rPr>
          <w:b w:val="1"/>
          <w:bCs w:val="1"/>
          <w:rtl w:val="0"/>
        </w:rPr>
        <w:t xml:space="preserve">The digital transformation of healthcare: current status and the road ahead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Information Systems Research</w:t>
      </w:r>
      <w:r w:rsidDel="00000000" w:rsidR="00000000" w:rsidRPr="00000000">
        <w:rPr>
          <w:rtl w:val="0"/>
        </w:rPr>
        <w:t xml:space="preserve">, v. 21, n. 4, p. 796-809, 2010. Disponível em: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https://www.researchgate.net/publication/220079558_The_Digital_Transformation_of_Healthcare_Current_Status_and_the_Road_Ahead</w:t>
        </w:r>
      </w:hyperlink>
      <w:r w:rsidDel="00000000" w:rsidR="00000000" w:rsidRPr="00000000">
        <w:rPr>
          <w:rtl w:val="0"/>
        </w:rPr>
        <w:t xml:space="preserve"> . Acesso em: 07 nov. 2025.</w:t>
      </w:r>
    </w:p>
    <w:p w:rsidR="00000000" w:rsidDel="00000000" w:rsidP="00000000" w:rsidRDefault="00000000" w:rsidRPr="00000000" w14:paraId="00000304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AMANN, J. et al. </w:t>
      </w:r>
      <w:r w:rsidDel="00000000" w:rsidR="00000000" w:rsidRPr="00000000">
        <w:rPr>
          <w:b w:val="1"/>
          <w:bCs w:val="1"/>
          <w:rtl w:val="0"/>
        </w:rPr>
        <w:t xml:space="preserve">Explainability for artificial intelligence in healthcare: a multidisciplinary perspective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BMC Medical Informatics and Decision Making</w:t>
      </w:r>
      <w:r w:rsidDel="00000000" w:rsidR="00000000" w:rsidRPr="00000000">
        <w:rPr>
          <w:rtl w:val="0"/>
        </w:rPr>
        <w:t xml:space="preserve">, v. 20, n. 1, p. 310, 2020. Disponível em: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https://www.researchgate.net/publication/346542270_Explainability_for_artificial_intelligence_in_healthcare_a_multidisciplinary_perspective</w:t>
        </w:r>
      </w:hyperlink>
      <w:r w:rsidDel="00000000" w:rsidR="00000000" w:rsidRPr="00000000">
        <w:rPr>
          <w:rtl w:val="0"/>
        </w:rPr>
        <w:t xml:space="preserve"> . Acesso em: 07 nov. 2025.</w:t>
      </w:r>
    </w:p>
    <w:p w:rsidR="00000000" w:rsidDel="00000000" w:rsidP="00000000" w:rsidRDefault="00000000" w:rsidRPr="00000000" w14:paraId="00000305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ARRIETA, A. B. et al. </w:t>
      </w:r>
      <w:r w:rsidDel="00000000" w:rsidR="00000000" w:rsidRPr="00000000">
        <w:rPr>
          <w:b w:val="1"/>
          <w:bCs w:val="1"/>
          <w:rtl w:val="0"/>
        </w:rPr>
        <w:t xml:space="preserve">Explainable Artificial Intelligence (XAI): Concepts, taxonomies, opportunities and challenges toward responsible AI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Information Fusion</w:t>
      </w:r>
      <w:r w:rsidDel="00000000" w:rsidR="00000000" w:rsidRPr="00000000">
        <w:rPr>
          <w:rtl w:val="0"/>
        </w:rPr>
        <w:t xml:space="preserve">, v. 58, p. 82-115, 2020. Disponível em: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https://www.sciencedirect.com/science/article/abs/pii/S1566253519308103</w:t>
        </w:r>
      </w:hyperlink>
      <w:r w:rsidDel="00000000" w:rsidR="00000000" w:rsidRPr="00000000">
        <w:rPr>
          <w:rtl w:val="0"/>
        </w:rPr>
        <w:t xml:space="preserve">. Acesso em: 08 nov. 2025.</w:t>
      </w:r>
    </w:p>
    <w:p w:rsidR="00000000" w:rsidDel="00000000" w:rsidP="00000000" w:rsidRDefault="00000000" w:rsidRPr="00000000" w14:paraId="00000306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BANKS, A.; PORCELLO, E. </w:t>
      </w:r>
      <w:r w:rsidDel="00000000" w:rsidR="00000000" w:rsidRPr="00000000">
        <w:rPr>
          <w:b w:val="1"/>
          <w:bCs w:val="1"/>
          <w:rtl w:val="0"/>
        </w:rPr>
        <w:t xml:space="preserve">Learning React: Modern Patterns for Developing React Apps</w:t>
      </w:r>
      <w:r w:rsidDel="00000000" w:rsidR="00000000" w:rsidRPr="00000000">
        <w:rPr>
          <w:rtl w:val="0"/>
        </w:rPr>
        <w:t xml:space="preserve">. 2. ed. Sebastopol: O'Reilly Media, 2020.Disponível em: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https://phanindra-reddy.github.io/portfolio/static/media/learningreact.da253db3.pdf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7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BECK, K. et al. </w:t>
      </w:r>
      <w:r w:rsidDel="00000000" w:rsidR="00000000" w:rsidRPr="00000000">
        <w:rPr>
          <w:b w:val="1"/>
          <w:bCs w:val="1"/>
          <w:rtl w:val="0"/>
        </w:rPr>
        <w:t xml:space="preserve">Manifesto for Agile Software Development</w:t>
      </w:r>
      <w:r w:rsidDel="00000000" w:rsidR="00000000" w:rsidRPr="00000000">
        <w:rPr>
          <w:rtl w:val="0"/>
        </w:rPr>
        <w:t xml:space="preserve">. 2001. Disponível em: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http://agilemanifesto.org/</w:t>
        </w:r>
      </w:hyperlink>
      <w:r w:rsidDel="00000000" w:rsidR="00000000" w:rsidRPr="00000000">
        <w:rPr>
          <w:rtl w:val="0"/>
        </w:rPr>
        <w:t xml:space="preserve">. Acesso em: 16 nov. 2025.</w:t>
      </w:r>
    </w:p>
    <w:p>
      <w:pPr>
        <w:spacing w:line="240" w:lineRule="auto" w:after="120"/>
        <w:ind w:firstLine="0"/>
        <w:jc w:val="left"/>
      </w:pPr>
      <w:r>
        <w:t>BRASIL. Agência Nacional de Vigilância Sanitária. Resolução da Diretoria Colegiada - RDC nº 657, de 24 de março de 2022. Dispõe sobre a regularização de software como dispositivo médico. Brasília, DF: Anvisa, 2022. Disponível em: https://www.gov.br/anvisa/. Acesso em: 13 out. 2026.</w:t>
      </w:r>
    </w:p>
    <w:p>
      <w:pPr>
        <w:spacing w:line="240" w:lineRule="auto" w:after="120"/>
        <w:ind w:firstLine="0"/>
        <w:jc w:val="left"/>
      </w:pPr>
      <w:r>
        <w:t>BRASIL. Agência Nacional de Vigilância Sanitária. Software como dispositivo médico: perguntas e respostas. Brasília, DF: Anvisa, 2022. Disponível em: https://www.gov.br/anvisa/pt-br/centraisdeconteudo/publicacoes/produtos-para-a-saude/manuais/software-como-dispositivo-medico-perguntas-e-respostas. Acesso em: 13 out. 2026.</w:t>
      </w:r>
    </w:p>
    <w:p>
      <w:pPr>
        <w:spacing w:line="240" w:lineRule="auto" w:after="120"/>
        <w:ind w:firstLine="0"/>
        <w:jc w:val="left"/>
      </w:pPr>
      <w:r>
        <w:t>BRASIL. Governo Digital. Modelo de Acessibilidade em Governo Eletrônico - eMAG, versão 3.1. Brasília, DF: Governo Federal. Disponível em: https://www.gov.br/governodigitallogin/pt-br/acessibilidade-e-usuario/acessibilidade-digital/modelo-de-acessibilidade. Acesso em: 13 out. 2026.</w:t>
      </w:r>
    </w:p>
    <w:p w:rsidR="00000000" w:rsidDel="00000000" w:rsidP="00000000" w:rsidRDefault="00000000" w:rsidRPr="00000000" w14:paraId="00000308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CRAIK, A.; HE, Y.; CONTRERAS-VIDAL, J. L. </w:t>
      </w:r>
      <w:r w:rsidDel="00000000" w:rsidR="00000000" w:rsidRPr="00000000">
        <w:rPr>
          <w:b w:val="1"/>
          <w:bCs w:val="1"/>
          <w:rtl w:val="0"/>
        </w:rPr>
        <w:t xml:space="preserve">Deep learning for electroencephalogram (EEG) classification tasks: a review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Journal of Neural Engineering</w:t>
      </w:r>
      <w:r w:rsidDel="00000000" w:rsidR="00000000" w:rsidRPr="00000000">
        <w:rPr>
          <w:rtl w:val="0"/>
        </w:rPr>
        <w:t xml:space="preserve">, v. 16, n. 3, 2019. Disponível em: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https://pubmed.ncbi.nlm.nih.gov/30808014/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. Acesso em: 08 nov. 2025.</w:t>
      </w:r>
    </w:p>
    <w:p w:rsidR="00000000" w:rsidDel="00000000" w:rsidP="00000000" w:rsidRDefault="00000000" w:rsidRPr="00000000" w14:paraId="00000309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ELMASRI, R.; NAVATHE, S. B. </w:t>
      </w:r>
      <w:r w:rsidDel="00000000" w:rsidR="00000000" w:rsidRPr="00000000">
        <w:rPr>
          <w:b w:val="1"/>
          <w:bCs w:val="1"/>
          <w:rtl w:val="0"/>
        </w:rPr>
        <w:t xml:space="preserve">Fundamentals of Database Systems</w:t>
      </w:r>
      <w:r w:rsidDel="00000000" w:rsidR="00000000" w:rsidRPr="00000000">
        <w:rPr>
          <w:rtl w:val="0"/>
        </w:rPr>
        <w:t xml:space="preserve">. 6. ed. Boston: Addison-Wesley, 2011.  Disponível em: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https://www.uoitc.edu.iq/images/documents/informatics-institute/Competitive_exam/Database_Systems.pdf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A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ESTEVA, A. et al. </w:t>
      </w:r>
      <w:r w:rsidDel="00000000" w:rsidR="00000000" w:rsidRPr="00000000">
        <w:rPr>
          <w:b w:val="1"/>
          <w:bCs w:val="1"/>
          <w:rtl w:val="0"/>
        </w:rPr>
        <w:t xml:space="preserve">A guide to deep learning in healthcare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Nature Medicine</w:t>
      </w:r>
      <w:r w:rsidDel="00000000" w:rsidR="00000000" w:rsidRPr="00000000">
        <w:rPr>
          <w:rtl w:val="0"/>
        </w:rPr>
        <w:t xml:space="preserve">, v. 25, n. 1, p. 24-29, 2019. Disponível em: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https://pubmed.ncbi.nlm.nih.gov/30617335/</w:t>
        </w:r>
      </w:hyperlink>
      <w:r w:rsidDel="00000000" w:rsidR="00000000" w:rsidRPr="00000000">
        <w:rPr>
          <w:rtl w:val="0"/>
        </w:rPr>
        <w:t xml:space="preserve">. Acesso em: 09 nov. 2025.</w:t>
      </w:r>
    </w:p>
    <w:p w:rsidR="00000000" w:rsidDel="00000000" w:rsidP="00000000" w:rsidRDefault="00000000" w:rsidRPr="00000000" w14:paraId="0000030B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FAUST, O. et al. </w:t>
      </w:r>
      <w:r w:rsidDel="00000000" w:rsidR="00000000" w:rsidRPr="00000000">
        <w:rPr>
          <w:b w:val="1"/>
          <w:bCs w:val="1"/>
          <w:rtl w:val="0"/>
        </w:rPr>
        <w:t xml:space="preserve">Deep learning for healthcare applications based on physiological signals: A review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Computer Methods and Programs in Biomedicine</w:t>
      </w:r>
      <w:r w:rsidDel="00000000" w:rsidR="00000000" w:rsidRPr="00000000">
        <w:rPr>
          <w:rtl w:val="0"/>
        </w:rPr>
        <w:t xml:space="preserve">, v. 161, p. 1-13, 2018. Disponível em: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https://www.sciencedirect.com/science/article/abs/pii/S0169260718301226</w:t>
        </w:r>
      </w:hyperlink>
      <w:r w:rsidDel="00000000" w:rsidR="00000000" w:rsidRPr="00000000">
        <w:rPr>
          <w:rtl w:val="0"/>
        </w:rPr>
        <w:t xml:space="preserve"> . Acesso em: 09 nov. 2025.</w:t>
      </w:r>
    </w:p>
    <w:p w:rsidR="00000000" w:rsidDel="00000000" w:rsidP="00000000" w:rsidRDefault="00000000" w:rsidRPr="00000000" w14:paraId="0000030C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FIELDING, R. T. </w:t>
      </w:r>
      <w:r w:rsidDel="00000000" w:rsidR="00000000" w:rsidRPr="00000000">
        <w:rPr>
          <w:b w:val="1"/>
          <w:bCs w:val="1"/>
          <w:rtl w:val="0"/>
        </w:rPr>
        <w:t xml:space="preserve">Architectural Styles and the Design of Network-based Software Architectures</w:t>
      </w:r>
      <w:r w:rsidDel="00000000" w:rsidR="00000000" w:rsidRPr="00000000">
        <w:rPr>
          <w:rtl w:val="0"/>
        </w:rPr>
        <w:t xml:space="preserve">. 2000. Tese (Doutorado em Ciência da Computação) - University of California, Irvine, 2000. Disponível em: 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https://roy.gbiv.com/pubs/dissertation/fielding_dissertation.pdf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D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FOWLER, M. </w:t>
      </w:r>
      <w:r w:rsidDel="00000000" w:rsidR="00000000" w:rsidRPr="00000000">
        <w:rPr>
          <w:b w:val="1"/>
          <w:bCs w:val="1"/>
          <w:rtl w:val="0"/>
        </w:rPr>
        <w:t xml:space="preserve">Refactoring: Improving the Design of Existing Code</w:t>
      </w:r>
      <w:r w:rsidDel="00000000" w:rsidR="00000000" w:rsidRPr="00000000">
        <w:rPr>
          <w:rtl w:val="0"/>
        </w:rPr>
        <w:t xml:space="preserve">. 2. ed. Boston: Addison-Wesley, 2018. Disponível em:</w:t>
      </w:r>
      <w:hyperlink r:id="rId43">
        <w:r w:rsidDel="00000000" w:rsidR="00000000" w:rsidRPr="00000000">
          <w:rPr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https://www.kufunda.net/publicdocs/Refatora%C3%A7%C3%A3o%20(Fowler,%20Martin).pdf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E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GOLDBERGER, A. L. et al. </w:t>
      </w:r>
      <w:r w:rsidDel="00000000" w:rsidR="00000000" w:rsidRPr="00000000">
        <w:rPr>
          <w:b w:val="1"/>
          <w:bCs w:val="1"/>
          <w:rtl w:val="0"/>
        </w:rPr>
        <w:t xml:space="preserve">PhysioBank, PhysioToolkit, and PhysioNet: components of a new research resource for complex physiologic signals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Circulation</w:t>
      </w:r>
      <w:r w:rsidDel="00000000" w:rsidR="00000000" w:rsidRPr="00000000">
        <w:rPr>
          <w:rtl w:val="0"/>
        </w:rPr>
        <w:t xml:space="preserve">, v. 101, n. 23, p. e215-e220, 2000. Disponível em:</w:t>
      </w:r>
      <w:hyperlink r:id="rId45">
        <w:r w:rsidDel="00000000" w:rsidR="00000000" w:rsidRPr="00000000">
          <w:rPr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https://www.ahajournals.org/doi/10.1161/01.cir.101.23.e215</w:t>
        </w:r>
      </w:hyperlink>
      <w:r w:rsidDel="00000000" w:rsidR="00000000" w:rsidRPr="00000000">
        <w:rPr>
          <w:rtl w:val="0"/>
        </w:rPr>
        <w:t xml:space="preserve"> . Acesso em: 10 nov. 2025.</w:t>
      </w:r>
    </w:p>
    <w:p w:rsidR="00000000" w:rsidDel="00000000" w:rsidP="00000000" w:rsidRDefault="00000000" w:rsidRPr="00000000" w14:paraId="0000030F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GRAMFORT, A. et al. </w:t>
      </w:r>
      <w:r w:rsidDel="00000000" w:rsidR="00000000" w:rsidRPr="00000000">
        <w:rPr>
          <w:b w:val="1"/>
          <w:bCs w:val="1"/>
          <w:rtl w:val="0"/>
        </w:rPr>
        <w:t xml:space="preserve">MEG and EEG data analysis with MNE-Python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Frontiers in Neuroscience</w:t>
      </w:r>
      <w:r w:rsidDel="00000000" w:rsidR="00000000" w:rsidRPr="00000000">
        <w:rPr>
          <w:rtl w:val="0"/>
        </w:rPr>
        <w:t xml:space="preserve">, v. 7, p. 267, 2013. Disponível em:</w:t>
      </w:r>
      <w:hyperlink r:id="rId4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https://www.frontiersin.org/journals/neuroscience/articles/10.3389/fnins.2013.00267/full</w:t>
        </w:r>
      </w:hyperlink>
      <w:r w:rsidDel="00000000" w:rsidR="00000000" w:rsidRPr="00000000">
        <w:rPr>
          <w:rtl w:val="0"/>
        </w:rPr>
        <w:t xml:space="preserve">. Acesso em: 10 nov. 2025.</w:t>
      </w:r>
    </w:p>
    <w:p w:rsidR="00000000" w:rsidDel="00000000" w:rsidP="00000000" w:rsidRDefault="00000000" w:rsidRPr="00000000" w14:paraId="00000310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GROVES, P. et al. </w:t>
      </w:r>
      <w:r w:rsidDel="00000000" w:rsidR="00000000" w:rsidRPr="00000000">
        <w:rPr>
          <w:b w:val="1"/>
          <w:bCs w:val="1"/>
          <w:rtl w:val="0"/>
        </w:rPr>
        <w:t xml:space="preserve">The 'Big Data' revolution in healthcare: Accelerating value and innovation</w:t>
      </w:r>
      <w:r w:rsidDel="00000000" w:rsidR="00000000" w:rsidRPr="00000000">
        <w:rPr>
          <w:rtl w:val="0"/>
        </w:rPr>
        <w:t xml:space="preserve">. Center for US Health System Reform Business Technology Office. McKinsey &amp; Company, 2013. Disponível em: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https://www.linguee.com/portuguese-english/translation/relat%C3%B3rio.html</w:t>
        </w:r>
      </w:hyperlink>
      <w:r w:rsidDel="00000000" w:rsidR="00000000" w:rsidRPr="00000000">
        <w:rPr>
          <w:rtl w:val="0"/>
        </w:rPr>
        <w:t xml:space="preserve">. Acesso em: 17 nov. 2025.</w:t>
      </w:r>
    </w:p>
    <w:p w:rsidR="00000000" w:rsidDel="00000000" w:rsidP="00000000" w:rsidRDefault="00000000" w:rsidRPr="00000000" w14:paraId="00000311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GUNNING, D. et al. </w:t>
      </w:r>
      <w:r w:rsidDel="00000000" w:rsidR="00000000" w:rsidRPr="00000000">
        <w:rPr>
          <w:b w:val="1"/>
          <w:bCs w:val="1"/>
          <w:rtl w:val="0"/>
        </w:rPr>
        <w:t xml:space="preserve">XAI—Explainable artificial intelligence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Science Robotics</w:t>
      </w:r>
      <w:r w:rsidDel="00000000" w:rsidR="00000000" w:rsidRPr="00000000">
        <w:rPr>
          <w:rtl w:val="0"/>
        </w:rPr>
        <w:t xml:space="preserve">, v. 4, n. 37, 2019. Disponível em: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https://www.researchgate.net/publication/338039379_XAI-Explainable_artificial_intelligence</w:t>
        </w:r>
      </w:hyperlink>
      <w:r w:rsidDel="00000000" w:rsidR="00000000" w:rsidRPr="00000000">
        <w:rPr>
          <w:rtl w:val="0"/>
        </w:rPr>
        <w:t xml:space="preserve"> . Acesso em: 11 nov. 2025.</w:t>
      </w:r>
    </w:p>
    <w:p w:rsidR="00000000" w:rsidDel="00000000" w:rsidP="00000000" w:rsidRDefault="00000000" w:rsidRPr="00000000" w14:paraId="00000312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HERZOG, R. et al. </w:t>
      </w:r>
      <w:r w:rsidDel="00000000" w:rsidR="00000000" w:rsidRPr="00000000">
        <w:rPr>
          <w:b w:val="1"/>
          <w:bCs w:val="1"/>
          <w:rtl w:val="0"/>
        </w:rPr>
        <w:t xml:space="preserve">Digital Healthcare: The impact of digital transformation</w:t>
      </w:r>
      <w:r w:rsidDel="00000000" w:rsidR="00000000" w:rsidRPr="00000000">
        <w:rPr>
          <w:rtl w:val="0"/>
        </w:rPr>
        <w:t xml:space="preserve">. Springer, 2016. Disponível em: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https://pubmed.ncbi.nlm.nih.gov/40517785/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3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HOCHREITER, S.; SCHMIDHUBER, J. </w:t>
      </w:r>
      <w:r w:rsidDel="00000000" w:rsidR="00000000" w:rsidRPr="00000000">
        <w:rPr>
          <w:b w:val="1"/>
          <w:bCs w:val="1"/>
          <w:rtl w:val="0"/>
        </w:rPr>
        <w:t xml:space="preserve">Long short-term memory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Neural Computation</w:t>
      </w:r>
      <w:r w:rsidDel="00000000" w:rsidR="00000000" w:rsidRPr="00000000">
        <w:rPr>
          <w:rtl w:val="0"/>
        </w:rPr>
        <w:t xml:space="preserve">, v. 9, n. 8, p. 1735-1780, 1997. Disponível em:</w:t>
      </w:r>
      <w:hyperlink r:id="rId53">
        <w:r w:rsidDel="00000000" w:rsidR="00000000" w:rsidRPr="00000000">
          <w:rPr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https://www.researchgate.net/publication/13853244_Long_Short-Term_Memory</w:t>
        </w:r>
      </w:hyperlink>
      <w:r w:rsidDel="00000000" w:rsidR="00000000" w:rsidRPr="00000000">
        <w:rPr>
          <w:rtl w:val="0"/>
        </w:rPr>
        <w:t xml:space="preserve">. Acesso em: 11 nov. 2025.</w:t>
      </w:r>
    </w:p>
    <w:p w:rsidR="00000000" w:rsidDel="00000000" w:rsidP="00000000" w:rsidRDefault="00000000" w:rsidRPr="00000000" w14:paraId="00000314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KLEPPMANN, M. </w:t>
      </w:r>
      <w:r w:rsidDel="00000000" w:rsidR="00000000" w:rsidRPr="00000000">
        <w:rPr>
          <w:b w:val="1"/>
          <w:bCs w:val="1"/>
          <w:rtl w:val="0"/>
        </w:rPr>
        <w:t xml:space="preserve">Designing Data-Intensive Applications</w:t>
      </w:r>
      <w:r w:rsidDel="00000000" w:rsidR="00000000" w:rsidRPr="00000000">
        <w:rPr>
          <w:rtl w:val="0"/>
        </w:rPr>
        <w:t xml:space="preserve">. Sebastopol: O'Reilly Media, 2017. Disponível em: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https://www.oreilly.com/library/view/designing-data-intensive-applications/9781491903063/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5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LECUN, Y.; BENGIO, Y.; HINTON, G. </w:t>
      </w:r>
      <w:r w:rsidDel="00000000" w:rsidR="00000000" w:rsidRPr="00000000">
        <w:rPr>
          <w:b w:val="1"/>
          <w:b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Nature</w:t>
      </w:r>
      <w:r w:rsidDel="00000000" w:rsidR="00000000" w:rsidRPr="00000000">
        <w:rPr>
          <w:rtl w:val="0"/>
        </w:rPr>
        <w:t xml:space="preserve">, v. 521, p. 436-444, 2015. Disponível em: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https://www.nature.com/articles/nature14539</w:t>
        </w:r>
      </w:hyperlink>
      <w:r w:rsidDel="00000000" w:rsidR="00000000" w:rsidRPr="00000000">
        <w:rPr>
          <w:rtl w:val="0"/>
        </w:rPr>
        <w:t xml:space="preserve">. Acesso em: 12 nov. 2025.</w:t>
      </w:r>
    </w:p>
    <w:p w:rsidR="00000000" w:rsidDel="00000000" w:rsidP="00000000" w:rsidRDefault="00000000" w:rsidRPr="00000000" w14:paraId="00000316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LUNDBERG, S. M.; LEE, S.-I. </w:t>
      </w:r>
      <w:r w:rsidDel="00000000" w:rsidR="00000000" w:rsidRPr="00000000">
        <w:rPr>
          <w:b w:val="1"/>
          <w:bCs w:val="1"/>
          <w:rtl w:val="0"/>
        </w:rPr>
        <w:t xml:space="preserve">A unified approach to interpreting model predictions</w:t>
      </w:r>
      <w:r w:rsidDel="00000000" w:rsidR="00000000" w:rsidRPr="00000000">
        <w:rPr>
          <w:rtl w:val="0"/>
        </w:rPr>
        <w:t xml:space="preserve">. In: ADVANCES IN NEURAL INFORMATION PROCESSING SYSTEMS, 30. Anais... Long Beach, CA: NeurIPS, 2017. Disponível em:</w:t>
      </w:r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https://papers.nips.cc/paper_files/paper/2017/hash/8a20a8621978632d76c43dfd28b67767-Abstract.html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. Acesso em: 12 nov. 2025.</w:t>
      </w:r>
    </w:p>
    <w:p w:rsidR="00000000" w:rsidDel="00000000" w:rsidP="00000000" w:rsidRDefault="00000000" w:rsidRPr="00000000" w14:paraId="00000317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MCKINNEY, W. </w:t>
      </w:r>
      <w:r w:rsidDel="00000000" w:rsidR="00000000" w:rsidRPr="00000000">
        <w:rPr>
          <w:b w:val="1"/>
          <w:bCs w:val="1"/>
          <w:rtl w:val="0"/>
        </w:rPr>
        <w:t xml:space="preserve">Python for Data Analysis</w:t>
      </w:r>
      <w:r w:rsidDel="00000000" w:rsidR="00000000" w:rsidRPr="00000000">
        <w:rPr>
          <w:rtl w:val="0"/>
        </w:rPr>
        <w:t xml:space="preserve">. Sebastopol: O'Reilly Media, 2012.</w:t>
      </w:r>
    </w:p>
    <w:p w:rsidR="00000000" w:rsidDel="00000000" w:rsidP="00000000" w:rsidRDefault="00000000" w:rsidRPr="00000000" w14:paraId="00000318">
      <w:pPr>
        <w:spacing w:after="120" w:before="240" w:lineRule="auto" w:line="240"/>
        <w:ind w:firstLine="0"/>
        <w:jc w:val="left"/>
        <w:rPr/>
      </w:pPr>
      <w:r>
        <w:t>META PLATFORMS. React: the library for web and native user interfaces. Disponível em: https://react.dev/. Acesso em: 13 out. 2026.</w:t>
      </w:r>
    </w:p>
    <w:p w:rsidR="00000000" w:rsidDel="00000000" w:rsidP="00000000" w:rsidRDefault="00000000" w:rsidRPr="00000000" w14:paraId="00000319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MOREIRA, Karollyne Evangelista; MARQUES, Eduardo Henrique Guimarães; TORQUATO, Thiane Marques; SOUZA, Lynwood Livi de. </w:t>
      </w:r>
      <w:r w:rsidDel="00000000" w:rsidR="00000000" w:rsidRPr="00000000">
        <w:rPr>
          <w:b w:val="1"/>
          <w:bCs w:val="1"/>
          <w:rtl w:val="0"/>
        </w:rPr>
        <w:t xml:space="preserve">Identificação de Padrões Genéticos para Diagnóstico de Doenças Utilizando Inteligência Artificial</w:t>
      </w:r>
      <w:r w:rsidDel="00000000" w:rsidR="00000000" w:rsidRPr="00000000">
        <w:rPr>
          <w:rtl w:val="0"/>
        </w:rPr>
        <w:t xml:space="preserve"> (Relatório Final de Iniciação em Desenvolvimento Tecnológico e Inovação - PIBITI). Uruaçu: Instituto Federal de Educação, Ciência e Tecnologia de Goiás (IFG), 2025.</w:t>
      </w:r>
    </w:p>
    <w:p w:rsidR="00000000" w:rsidDel="00000000" w:rsidP="00000000" w:rsidRDefault="00000000" w:rsidRPr="00000000" w14:paraId="0000031A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NEWMAN, S. </w:t>
      </w:r>
      <w:r w:rsidDel="00000000" w:rsidR="00000000" w:rsidRPr="00000000">
        <w:rPr>
          <w:b w:val="1"/>
          <w:bCs w:val="1"/>
          <w:rtl w:val="0"/>
        </w:rPr>
        <w:t xml:space="preserve">Building Microservices: Designing Fine-Grained Systems</w:t>
      </w:r>
      <w:r w:rsidDel="00000000" w:rsidR="00000000" w:rsidRPr="00000000">
        <w:rPr>
          <w:rtl w:val="0"/>
        </w:rPr>
        <w:t xml:space="preserve">. 2. ed. Sebastopol: O'Reilly Media, 2021. Disponível em: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https://github.com/iamindian/References_Books/blob/master/Building%20Microservices%20Designing%20Fine-Grained%20Systems%202nd%20By%20Sam%20Newman.pdf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B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NIEDERMEYER, E.; LOPES DA SILVA, F. H. </w:t>
      </w:r>
      <w:r w:rsidDel="00000000" w:rsidR="00000000" w:rsidRPr="00000000">
        <w:rPr>
          <w:b w:val="1"/>
          <w:bCs w:val="1"/>
          <w:rtl w:val="0"/>
        </w:rPr>
        <w:t xml:space="preserve">Electroencephalography: Basic Principles, Clinical Applications, and Related Fields</w:t>
      </w:r>
      <w:r w:rsidDel="00000000" w:rsidR="00000000" w:rsidRPr="00000000">
        <w:rPr>
          <w:rtl w:val="0"/>
        </w:rPr>
        <w:t xml:space="preserve">. 5. ed. Philadelphia: Lippincott Williams &amp; Wilkins, 2005. Disponível em: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https://books.google.com.br/books/about/Electroencephalography.html?id=tndqYGPHQdEC&amp;redir_esc=y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C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PRESSMAN, R. S.; MAXIM, B. R. </w:t>
      </w:r>
      <w:r w:rsidDel="00000000" w:rsidR="00000000" w:rsidRPr="00000000">
        <w:rPr>
          <w:b w:val="1"/>
          <w:bCs w:val="1"/>
          <w:rtl w:val="0"/>
        </w:rPr>
        <w:t xml:space="preserve">Engenharia de Software: Uma Abordagem Profissional</w:t>
      </w:r>
      <w:r w:rsidDel="00000000" w:rsidR="00000000" w:rsidRPr="00000000">
        <w:rPr>
          <w:rtl w:val="0"/>
        </w:rPr>
        <w:t xml:space="preserve">. 8. ed. Porto Alegre: AMGH, 2016.</w:t>
      </w:r>
    </w:p>
    <w:p w:rsidR="00000000" w:rsidDel="00000000" w:rsidP="00000000" w:rsidRDefault="00000000" w:rsidRPr="00000000" w14:paraId="0000031D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RAGHUPATHI, W.; RAGHUPATHI, V. </w:t>
      </w:r>
      <w:r w:rsidDel="00000000" w:rsidR="00000000" w:rsidRPr="00000000">
        <w:rPr>
          <w:b w:val="1"/>
          <w:bCs w:val="1"/>
          <w:rtl w:val="0"/>
        </w:rPr>
        <w:t xml:space="preserve">Big data analytics in healthcare: promise and potential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Health Information Science and Systems</w:t>
      </w:r>
      <w:r w:rsidDel="00000000" w:rsidR="00000000" w:rsidRPr="00000000">
        <w:rPr>
          <w:rtl w:val="0"/>
        </w:rPr>
        <w:t xml:space="preserve">, v. 2, n. 3, 2014. Disponível em:</w:t>
      </w:r>
      <w:hyperlink r:id="rId64">
        <w:r w:rsidDel="00000000" w:rsidR="00000000" w:rsidRPr="00000000">
          <w:rPr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https://pubmed.ncbi.nlm.nih.gov/25825667/</w:t>
        </w:r>
      </w:hyperlink>
      <w:r w:rsidDel="00000000" w:rsidR="00000000" w:rsidRPr="00000000">
        <w:rPr>
          <w:rtl w:val="0"/>
        </w:rPr>
        <w:t xml:space="preserve"> . Acesso em: 13 nov. 2025.</w:t>
      </w:r>
    </w:p>
    <w:p w:rsidR="00000000" w:rsidDel="00000000" w:rsidP="00000000" w:rsidRDefault="00000000" w:rsidRPr="00000000" w14:paraId="0000031E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RAMÍREZ, S.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. Disponível em:</w:t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https://fastapi.tiangolo.com/</w:t>
        </w:r>
      </w:hyperlink>
      <w:r w:rsidDel="00000000" w:rsidR="00000000" w:rsidRPr="00000000">
        <w:rPr>
          <w:rtl w:val="0"/>
        </w:rPr>
        <w:t xml:space="preserve">. Acesso em: 18 nov. 2025.</w:t>
      </w:r>
    </w:p>
    <w:p w:rsidR="00000000" w:rsidDel="00000000" w:rsidP="00000000" w:rsidRDefault="00000000" w:rsidRPr="00000000" w14:paraId="0000031F">
      <w:pPr>
        <w:spacing w:after="120" w:before="240" w:lineRule="auto" w:line="240"/>
        <w:ind w:firstLine="0"/>
        <w:jc w:val="left"/>
        <w:rPr/>
      </w:pPr>
      <w:r>
        <w:t>REISMAN, M. EHRs: the challenge of making electronic data usable and interoperable. Pharmacy and Therapeutics, v. 42, n. 9, p. 572-575, 2017. Disponível em: https://pmc.ncbi.nlm.nih.gov/articles/PMC5565131/. Acesso em: 13 out. 2026.</w:t>
      </w:r>
    </w:p>
    <w:p w:rsidR="00000000" w:rsidDel="00000000" w:rsidP="00000000" w:rsidRDefault="00000000" w:rsidRPr="00000000" w14:paraId="00000320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RICHARDS, M. </w:t>
      </w:r>
      <w:r w:rsidDel="00000000" w:rsidR="00000000" w:rsidRPr="00000000">
        <w:rPr>
          <w:b w:val="1"/>
          <w:bCs w:val="1"/>
          <w:rtl w:val="0"/>
        </w:rPr>
        <w:t xml:space="preserve">Software Architecture Patterns</w:t>
      </w:r>
      <w:r w:rsidDel="00000000" w:rsidR="00000000" w:rsidRPr="00000000">
        <w:rPr>
          <w:rtl w:val="0"/>
        </w:rPr>
        <w:t xml:space="preserve">. Sebastopol: O'Reilly Media, 2015.</w:t>
      </w:r>
    </w:p>
    <w:p w:rsidR="00000000" w:rsidDel="00000000" w:rsidP="00000000" w:rsidRDefault="00000000" w:rsidRPr="00000000" w14:paraId="00000321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ROY, Y. et al. </w:t>
      </w:r>
      <w:r w:rsidDel="00000000" w:rsidR="00000000" w:rsidRPr="00000000">
        <w:rPr>
          <w:b w:val="1"/>
          <w:bCs w:val="1"/>
          <w:rtl w:val="0"/>
        </w:rPr>
        <w:t xml:space="preserve">Deep learning-based electroencephalography analysis: a comprehensive review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Journal of Neural Engineering</w:t>
      </w:r>
      <w:r w:rsidDel="00000000" w:rsidR="00000000" w:rsidRPr="00000000">
        <w:rPr>
          <w:rtl w:val="0"/>
        </w:rPr>
        <w:t xml:space="preserve">, v. 16, n. 5, 2019. Disponível em:</w:t>
      </w:r>
      <w:hyperlink r:id="rId70">
        <w:r w:rsidDel="00000000" w:rsidR="00000000" w:rsidRPr="00000000">
          <w:rPr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https://iopscience.iop.org/article/10.1088/1741-2552/ab260c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. Acesso em: 14 nov. 2025.</w:t>
      </w:r>
    </w:p>
    <w:p w:rsidR="00000000" w:rsidDel="00000000" w:rsidP="00000000" w:rsidRDefault="00000000" w:rsidRPr="00000000" w14:paraId="00000322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SHANNON, C. E. </w:t>
      </w:r>
      <w:r w:rsidDel="00000000" w:rsidR="00000000" w:rsidRPr="00000000">
        <w:rPr>
          <w:b w:val="1"/>
          <w:bCs w:val="1"/>
          <w:rtl w:val="0"/>
        </w:rPr>
        <w:t xml:space="preserve">A mathematical theory of communication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The Bell System Technical Journal</w:t>
      </w:r>
      <w:r w:rsidDel="00000000" w:rsidR="00000000" w:rsidRPr="00000000">
        <w:rPr>
          <w:rtl w:val="0"/>
        </w:rPr>
        <w:t xml:space="preserve">, v. 27, n. 3, p. 379–423, 1948. Disponível em:</w:t>
      </w:r>
      <w:hyperlink r:id="rId72">
        <w:r w:rsidDel="00000000" w:rsidR="00000000" w:rsidRPr="00000000">
          <w:rPr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https://people.math.harvard.edu/~ctm/home/text/others/shannon/entropy/entropy.pdf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. Acesso em: 14 nov. 2025.</w:t>
      </w:r>
    </w:p>
    <w:p>
      <w:pPr>
        <w:spacing w:line="240" w:lineRule="auto" w:after="120"/>
        <w:ind w:firstLine="0"/>
        <w:jc w:val="left"/>
      </w:pPr>
      <w:r>
        <w:t>SHOEB, A. H. Application of machine learning to epileptic seizure onset detection and treatment. 2009. Tese (Doutorado) - Massachusetts Institute of Technology, Cambridge, 2009.</w:t>
      </w:r>
    </w:p>
    <w:p w:rsidR="00000000" w:rsidDel="00000000" w:rsidP="00000000" w:rsidRDefault="00000000" w:rsidRPr="00000000" w14:paraId="00000323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SOMMERVILLE, I. </w:t>
      </w:r>
      <w:r w:rsidDel="00000000" w:rsidR="00000000" w:rsidRPr="00000000">
        <w:rPr>
          <w:b w:val="1"/>
          <w:bCs w:val="1"/>
          <w:rtl w:val="0"/>
        </w:rPr>
        <w:t xml:space="preserve">Software Engineering</w:t>
      </w:r>
      <w:r w:rsidDel="00000000" w:rsidR="00000000" w:rsidRPr="00000000">
        <w:rPr>
          <w:rtl w:val="0"/>
        </w:rPr>
        <w:t xml:space="preserve">. 9. ed. Boston: Addison-Wesley, 2011.</w:t>
      </w:r>
    </w:p>
    <w:p w:rsidR="00000000" w:rsidDel="00000000" w:rsidP="00000000" w:rsidRDefault="00000000" w:rsidRPr="00000000" w14:paraId="00000324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SUTTON, R. T. et al. </w:t>
      </w:r>
      <w:r w:rsidDel="00000000" w:rsidR="00000000" w:rsidRPr="00000000">
        <w:rPr>
          <w:b w:val="1"/>
          <w:bCs w:val="1"/>
          <w:rtl w:val="0"/>
        </w:rPr>
        <w:t xml:space="preserve">An overview of clinical decision support systems: benefits, risks, and strategies for success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NPJ Digital Medicine</w:t>
      </w:r>
      <w:r w:rsidDel="00000000" w:rsidR="00000000" w:rsidRPr="00000000">
        <w:rPr>
          <w:rtl w:val="0"/>
        </w:rPr>
        <w:t xml:space="preserve">, v. 3, n. 17, 2020. Disponível em: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https://www.nature.com/articles/s41746-020-0221-y</w:t>
        </w:r>
      </w:hyperlink>
      <w:r w:rsidDel="00000000" w:rsidR="00000000" w:rsidRPr="00000000">
        <w:rPr>
          <w:rtl w:val="0"/>
        </w:rPr>
        <w:t xml:space="preserve"> . Acesso em: 15 nov. 2025.</w:t>
      </w:r>
    </w:p>
    <w:p w:rsidR="00000000" w:rsidDel="00000000" w:rsidP="00000000" w:rsidRDefault="00000000" w:rsidRPr="00000000" w14:paraId="00000325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TATUM, W. O. et al. </w:t>
      </w:r>
      <w:r w:rsidDel="00000000" w:rsidR="00000000" w:rsidRPr="00000000">
        <w:rPr>
          <w:b w:val="1"/>
          <w:bCs w:val="1"/>
          <w:rtl w:val="0"/>
        </w:rPr>
        <w:t xml:space="preserve">Harper's Hospital Handbook. Handbook of EEG Interpretation</w:t>
      </w:r>
      <w:r w:rsidDel="00000000" w:rsidR="00000000" w:rsidRPr="00000000">
        <w:rPr>
          <w:rtl w:val="0"/>
        </w:rPr>
        <w:t xml:space="preserve">. 2. ed. Demos Medical Publishing, 2018.</w:t>
      </w:r>
    </w:p>
    <w:p w:rsidR="00000000" w:rsidDel="00000000" w:rsidP="00000000" w:rsidRDefault="00000000" w:rsidRPr="00000000" w14:paraId="00000326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TOPOL, E. J. </w:t>
      </w:r>
      <w:r w:rsidDel="00000000" w:rsidR="00000000" w:rsidRPr="00000000">
        <w:rPr>
          <w:b w:val="1"/>
          <w:bCs w:val="1"/>
          <w:rtl w:val="0"/>
        </w:rPr>
        <w:t xml:space="preserve">High-performance medicine: the convergence of human and artificial intelligence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Nature Medicine</w:t>
      </w:r>
      <w:r w:rsidDel="00000000" w:rsidR="00000000" w:rsidRPr="00000000">
        <w:rPr>
          <w:rtl w:val="0"/>
        </w:rPr>
        <w:t xml:space="preserve">, v. 25, p. 44-56, 2019. Disponível em:</w:t>
      </w:r>
      <w:hyperlink r:id="rId75">
        <w:r w:rsidDel="00000000" w:rsidR="00000000" w:rsidRPr="00000000">
          <w:rPr>
            <w:rtl w:val="0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https://pubmed.ncbi.nlm.nih.gov/30617339/</w:t>
        </w:r>
      </w:hyperlink>
      <w:r w:rsidDel="00000000" w:rsidR="00000000" w:rsidRPr="00000000">
        <w:rPr>
          <w:rtl w:val="0"/>
        </w:rPr>
        <w:t xml:space="preserve"> . Acesso em: 15 nov. 2025.</w:t>
      </w:r>
    </w:p>
    <w:p w:rsidR="00000000" w:rsidDel="00000000" w:rsidP="00000000" w:rsidRDefault="00000000" w:rsidRPr="00000000" w14:paraId="00000327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VAN ROSSUM, G.; DRAKE, F. L. </w:t>
      </w:r>
      <w:r w:rsidDel="00000000" w:rsidR="00000000" w:rsidRPr="00000000">
        <w:rPr>
          <w:b w:val="1"/>
          <w:bCs w:val="1"/>
          <w:rtl w:val="0"/>
        </w:rPr>
        <w:t xml:space="preserve">Python 3 Reference Manual</w:t>
      </w:r>
      <w:r w:rsidDel="00000000" w:rsidR="00000000" w:rsidRPr="00000000">
        <w:rPr>
          <w:rtl w:val="0"/>
        </w:rPr>
        <w:t xml:space="preserve">. Scotts Valley, CA: CreateSpace, 2009.</w:t>
      </w:r>
    </w:p>
    <w:p w:rsidR="00000000" w:rsidDel="00000000" w:rsidP="00000000" w:rsidRDefault="00000000" w:rsidRPr="00000000" w14:paraId="00000328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WHO - WORLD HEALTH ORGANIZATION. </w:t>
      </w:r>
      <w:r w:rsidDel="00000000" w:rsidR="00000000" w:rsidRPr="00000000">
        <w:rPr>
          <w:b w:val="1"/>
          <w:bCs w:val="1"/>
          <w:rtl w:val="0"/>
        </w:rPr>
        <w:t xml:space="preserve">Epilepsy</w:t>
      </w:r>
      <w:r w:rsidDel="00000000" w:rsidR="00000000" w:rsidRPr="00000000">
        <w:rPr>
          <w:rtl w:val="0"/>
        </w:rPr>
        <w:t xml:space="preserve">. 2024. Disponível em:</w:t>
      </w:r>
      <w:hyperlink r:id="rId77">
        <w:r w:rsidDel="00000000" w:rsidR="00000000" w:rsidRPr="00000000">
          <w:rPr>
            <w:rtl w:val="0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https://www.who.int/news-room/fact-sheets/detail/epilepsy</w:t>
        </w:r>
      </w:hyperlink>
      <w:r w:rsidDel="00000000" w:rsidR="00000000" w:rsidRPr="00000000">
        <w:rPr>
          <w:rtl w:val="0"/>
        </w:rPr>
        <w:t xml:space="preserve">. Acesso em: 17 nov. 2025.</w:t>
      </w:r>
    </w:p>
    <w:p w:rsidR="00000000" w:rsidDel="00000000" w:rsidP="00000000" w:rsidRDefault="00000000" w:rsidRPr="00000000" w14:paraId="00000329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YAMASHITA, R. et al. </w:t>
      </w:r>
      <w:r w:rsidDel="00000000" w:rsidR="00000000" w:rsidRPr="00000000">
        <w:rPr>
          <w:b w:val="1"/>
          <w:bCs w:val="1"/>
          <w:rtl w:val="0"/>
        </w:rPr>
        <w:t xml:space="preserve">Convolutional neural networks: an overview and application in radiology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Insights into Imaging</w:t>
      </w:r>
      <w:r w:rsidDel="00000000" w:rsidR="00000000" w:rsidRPr="00000000">
        <w:rPr>
          <w:rtl w:val="0"/>
        </w:rPr>
        <w:t xml:space="preserve">, v. 9, n. 4, p. 611-629, 2018. Disponível em:</w:t>
      </w:r>
      <w:hyperlink r:id="rId79">
        <w:r w:rsidDel="00000000" w:rsidR="00000000" w:rsidRPr="00000000">
          <w:rPr>
            <w:rtl w:val="0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https://pubmed.ncbi.nlm.nih.gov/29934920/</w:t>
        </w:r>
      </w:hyperlink>
      <w:r w:rsidDel="00000000" w:rsidR="00000000" w:rsidRPr="00000000">
        <w:rPr>
          <w:rtl w:val="0"/>
        </w:rPr>
        <w:t xml:space="preserve">. Acesso em: 16 nov. 2025.</w:t>
        <w:br w:type="textWrapping"/>
        <w:br w:type="textWrapping"/>
      </w:r>
    </w:p>
    <w:p w:rsidR="00000000" w:rsidDel="00000000" w:rsidP="00000000" w:rsidRDefault="00000000" w:rsidRPr="00000000" w14:paraId="0000032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00" w:line="360" w:lineRule="auto"/>
        <w:rPr/>
      </w:pPr>
      <w:r w:rsidDel="00000000" w:rsidR="00000000" w:rsidRPr="00000000">
        <w:rPr>
          <w:rtl w:val="0"/>
        </w:rPr>
      </w:r>
    </w:p>
    <w:sectPr>
      <w:headerReference r:id="rId81" w:type="default"/>
      <w:headerReference r:id="rId82" w:type="first"/>
      <w:type w:val="nextPage"/>
      <w:pgSz w:h="16838" w:w="11906" w:orient="portrait"/>
      <w:pgMar w:bottom="1134" w:top="1701" w:left="1701" w:right="1134" w:header="708" w:footer="708"/>
      <w:pgNumType w:start="4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D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E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F">
    <w:pPr>
      <w:ind w:left="2160" w:firstLine="72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line="360" w:lineRule="auto" w:before="0" w:after="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pPr>
      <w:keepNext w:val="1"/>
      <w:keepLines w:val="1"/>
      <w:spacing w:after="0" w:line="360" w:lineRule="auto"/>
      <w:ind w:right="1079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0" w:line="360" w:lineRule="auto"/>
      <w:ind w:right="1079"/>
      <w:jc w:val="both"/>
    </w:pPr>
    <w:rPr>
      <w:rFonts w:ascii="Arial" w:cs="Arial" w:eastAsia="Arial" w:hAnsi="Arial"/>
      <w:sz w:val="24"/>
      <w:szCs w:val="24"/>
    </w:rPr>
  </w:style>
  <w:style w:type="paragraph" w:styleId="Subtitle">
    <w:name w:val="Subtitle"/>
    <w:basedOn w:val="Normal"/>
    <w:next w:val="Normal"/>
    <w:pPr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table" w:styleId="Table1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cienciaescrita.com/periodico-jornal-ou-revista/" TargetMode="External"/><Relationship Id="rId42" Type="http://schemas.openxmlformats.org/officeDocument/2006/relationships/hyperlink" Target="https://roy.gbiv.com/pubs/dissertation/fielding_dissertation.pdf" TargetMode="External"/><Relationship Id="rId41" Type="http://schemas.openxmlformats.org/officeDocument/2006/relationships/hyperlink" Target="https://www.sciencedirect.com/science/article/abs/pii/S0169260718301226" TargetMode="External"/><Relationship Id="rId44" Type="http://schemas.openxmlformats.org/officeDocument/2006/relationships/hyperlink" Target="https://www.kufunda.net/publicdocs/Refatora%C3%A7%C3%A3o%20(Fowler,%20Martin).pdf" TargetMode="External"/><Relationship Id="rId43" Type="http://schemas.openxmlformats.org/officeDocument/2006/relationships/hyperlink" Target="https://cienciaescrita.com/periodico-jornal-ou-revista/" TargetMode="External"/><Relationship Id="rId46" Type="http://schemas.openxmlformats.org/officeDocument/2006/relationships/hyperlink" Target="https://www.ahajournals.org/doi/10.1161/01.cir.101.23.e215" TargetMode="External"/><Relationship Id="rId45" Type="http://schemas.openxmlformats.org/officeDocument/2006/relationships/hyperlink" Target="https://cienciaescrita.com/periodico-jornal-ou-revista/" TargetMode="External"/><Relationship Id="rId80" Type="http://schemas.openxmlformats.org/officeDocument/2006/relationships/hyperlink" Target="https://pubmed.ncbi.nlm.nih.gov/29934920/" TargetMode="External"/><Relationship Id="rId82" Type="http://schemas.openxmlformats.org/officeDocument/2006/relationships/header" Target="header4.xml"/><Relationship Id="rId81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48" Type="http://schemas.openxmlformats.org/officeDocument/2006/relationships/hyperlink" Target="https://www.linguee.com/portuguese-english/translation/relat%C3%B3rio.html" TargetMode="External"/><Relationship Id="rId47" Type="http://schemas.openxmlformats.org/officeDocument/2006/relationships/hyperlink" Target="https://www.frontiersin.org/journals/neuroscience/articles/10.3389/fnins.2013.00267/full" TargetMode="External"/><Relationship Id="rId49" Type="http://schemas.openxmlformats.org/officeDocument/2006/relationships/hyperlink" Target="https://www.linguee.com/portuguese-english/translation/relat%C3%B3rio.html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73" Type="http://schemas.openxmlformats.org/officeDocument/2006/relationships/hyperlink" Target="https://people.math.harvard.edu/~ctm/home/text/others/shannon/entropy/entropy.pdf" TargetMode="External"/><Relationship Id="rId72" Type="http://schemas.openxmlformats.org/officeDocument/2006/relationships/hyperlink" Target="https://cienciaescrita.com/periodico-jornal-ou-revista/" TargetMode="External"/><Relationship Id="rId31" Type="http://schemas.openxmlformats.org/officeDocument/2006/relationships/hyperlink" Target="https://phanindra-reddy.github.io/portfolio/static/media/learningreact.da253db3.pdf" TargetMode="External"/><Relationship Id="rId75" Type="http://schemas.openxmlformats.org/officeDocument/2006/relationships/hyperlink" Target="https://cienciaescrita.com/periodico-jornal-ou-revista/" TargetMode="External"/><Relationship Id="rId30" Type="http://schemas.openxmlformats.org/officeDocument/2006/relationships/hyperlink" Target="http://agilemanifesto.org/" TargetMode="External"/><Relationship Id="rId74" Type="http://schemas.openxmlformats.org/officeDocument/2006/relationships/hyperlink" Target="https://www.nature.com/articles/s41746-020-0221-y" TargetMode="External"/><Relationship Id="rId33" Type="http://schemas.openxmlformats.org/officeDocument/2006/relationships/hyperlink" Target="http://agilemanifesto.org/" TargetMode="External"/><Relationship Id="rId77" Type="http://schemas.openxmlformats.org/officeDocument/2006/relationships/hyperlink" Target="https://www.who.int/news-room/fact-sheets/detail/epilepsy" TargetMode="External"/><Relationship Id="rId32" Type="http://schemas.openxmlformats.org/officeDocument/2006/relationships/hyperlink" Target="http://agilemanifesto.org/" TargetMode="External"/><Relationship Id="rId76" Type="http://schemas.openxmlformats.org/officeDocument/2006/relationships/hyperlink" Target="https://pubmed.ncbi.nlm.nih.gov/30617339/" TargetMode="External"/><Relationship Id="rId35" Type="http://schemas.openxmlformats.org/officeDocument/2006/relationships/hyperlink" Target="https://pubmed.ncbi.nlm.nih.gov/30808014/" TargetMode="External"/><Relationship Id="rId79" Type="http://schemas.openxmlformats.org/officeDocument/2006/relationships/hyperlink" Target="https://cienciaescrita.com/periodico-jornal-ou-revista/" TargetMode="External"/><Relationship Id="rId34" Type="http://schemas.openxmlformats.org/officeDocument/2006/relationships/hyperlink" Target="https://cienciaescrita.com/periodico-jornal-ou-revista/" TargetMode="External"/><Relationship Id="rId78" Type="http://schemas.openxmlformats.org/officeDocument/2006/relationships/hyperlink" Target="https://www.who.int/news-room/fact-sheets/detail/epilepsy" TargetMode="External"/><Relationship Id="rId71" Type="http://schemas.openxmlformats.org/officeDocument/2006/relationships/hyperlink" Target="https://iopscience.iop.org/article/10.1088/1741-2552/ab260c" TargetMode="External"/><Relationship Id="rId70" Type="http://schemas.openxmlformats.org/officeDocument/2006/relationships/hyperlink" Target="https://cienciaescrita.com/periodico-jornal-ou-revista/" TargetMode="External"/><Relationship Id="rId37" Type="http://schemas.openxmlformats.org/officeDocument/2006/relationships/hyperlink" Target="https://www.uoitc.edu.iq/images/documents/informatics-institute/Competitive_exam/Database_Systems.pdf" TargetMode="External"/><Relationship Id="rId36" Type="http://schemas.openxmlformats.org/officeDocument/2006/relationships/hyperlink" Target="https://cienciaescrita.com/periodico-jornal-ou-revista/" TargetMode="External"/><Relationship Id="rId39" Type="http://schemas.openxmlformats.org/officeDocument/2006/relationships/hyperlink" Target="https://pubmed.ncbi.nlm.nih.gov/30617335/" TargetMode="External"/><Relationship Id="rId38" Type="http://schemas.openxmlformats.org/officeDocument/2006/relationships/hyperlink" Target="https://cienciaescrita.com/periodico-jornal-ou-revista/" TargetMode="External"/><Relationship Id="rId62" Type="http://schemas.openxmlformats.org/officeDocument/2006/relationships/hyperlink" Target="https://github.com/iamindian/References_Books/blob/master/Building%20Microservices%20Designing%20Fine-Grained%20Systems%202nd%20By%20Sam%20Newman.pdf" TargetMode="External"/><Relationship Id="rId61" Type="http://schemas.openxmlformats.org/officeDocument/2006/relationships/hyperlink" Target="https://react.dev/" TargetMode="External"/><Relationship Id="rId20" Type="http://schemas.openxmlformats.org/officeDocument/2006/relationships/hyperlink" Target="https://cienciaescrita.com/periodico-jornal-ou-revista/" TargetMode="External"/><Relationship Id="rId64" Type="http://schemas.openxmlformats.org/officeDocument/2006/relationships/hyperlink" Target="https://cienciaescrita.com/periodico-jornal-ou-revista/" TargetMode="External"/><Relationship Id="rId63" Type="http://schemas.openxmlformats.org/officeDocument/2006/relationships/hyperlink" Target="https://books.google.com.br/books/about/Electroencephalography.html?id=tndqYGPHQdEC&amp;redir_esc=y" TargetMode="External"/><Relationship Id="rId22" Type="http://schemas.openxmlformats.org/officeDocument/2006/relationships/hyperlink" Target="https://cienciaescrita.com/periodico-jornal-ou-revista/" TargetMode="External"/><Relationship Id="rId66" Type="http://schemas.openxmlformats.org/officeDocument/2006/relationships/hyperlink" Target="https://fastapi.tiangolo.com/" TargetMode="External"/><Relationship Id="rId21" Type="http://schemas.openxmlformats.org/officeDocument/2006/relationships/hyperlink" Target="https://www.sciencedirect.com/science/article/abs/pii/S2452414X19300135" TargetMode="External"/><Relationship Id="rId65" Type="http://schemas.openxmlformats.org/officeDocument/2006/relationships/hyperlink" Target="https://pubmed.ncbi.nlm.nih.gov/25825667/" TargetMode="External"/><Relationship Id="rId24" Type="http://schemas.openxmlformats.org/officeDocument/2006/relationships/hyperlink" Target="https://www.researchgate.net/publication/327709435_Peeking_Inside_the_Black-Box_A_Survey_on_Explainable_Artificial_Intelligence_XAI" TargetMode="External"/><Relationship Id="rId68" Type="http://schemas.openxmlformats.org/officeDocument/2006/relationships/hyperlink" Target="https://cienciaescrita.com/periodico-jornal-ou-revista/" TargetMode="External"/><Relationship Id="rId23" Type="http://schemas.openxmlformats.org/officeDocument/2006/relationships/hyperlink" Target="https://www.sciencedirect.com/science/article/abs/pii/S0010482517303153" TargetMode="External"/><Relationship Id="rId67" Type="http://schemas.openxmlformats.org/officeDocument/2006/relationships/hyperlink" Target="https://fastapi.tiangolo.com/" TargetMode="External"/><Relationship Id="rId60" Type="http://schemas.openxmlformats.org/officeDocument/2006/relationships/hyperlink" Target="https://react.dev/" TargetMode="External"/><Relationship Id="rId26" Type="http://schemas.openxmlformats.org/officeDocument/2006/relationships/hyperlink" Target="https://cienciaescrita.com/periodico-jornal-ou-revista/" TargetMode="External"/><Relationship Id="rId25" Type="http://schemas.openxmlformats.org/officeDocument/2006/relationships/hyperlink" Target="https://www.researchgate.net/publication/220079558_The_Digital_Transformation_of_Healthcare_Current_Status_and_the_Road_Ahead" TargetMode="External"/><Relationship Id="rId69" Type="http://schemas.openxmlformats.org/officeDocument/2006/relationships/hyperlink" Target="https://pmc.ncbi.nlm.nih.gov/articles/PMC5565131/" TargetMode="External"/><Relationship Id="rId28" Type="http://schemas.openxmlformats.org/officeDocument/2006/relationships/hyperlink" Target="https://cienciaescrita.com/periodico-jornal-ou-revista/" TargetMode="External"/><Relationship Id="rId27" Type="http://schemas.openxmlformats.org/officeDocument/2006/relationships/hyperlink" Target="https://www.researchgate.net/publication/346542270_Explainability_for_artificial_intelligence_in_healthcare_a_multidisciplinary_perspective" TargetMode="External"/><Relationship Id="rId29" Type="http://schemas.openxmlformats.org/officeDocument/2006/relationships/hyperlink" Target="https://www.sciencedirect.com/science/article/abs/pii/S1566253519308103" TargetMode="External"/><Relationship Id="rId51" Type="http://schemas.openxmlformats.org/officeDocument/2006/relationships/hyperlink" Target="https://www.researchgate.net/publication/338039379_XAI-Explainable_artificial_intelligence" TargetMode="External"/><Relationship Id="rId50" Type="http://schemas.openxmlformats.org/officeDocument/2006/relationships/hyperlink" Target="https://cienciaescrita.com/periodico-jornal-ou-revista/" TargetMode="External"/><Relationship Id="rId53" Type="http://schemas.openxmlformats.org/officeDocument/2006/relationships/hyperlink" Target="https://cienciaescrita.com/periodico-jornal-ou-revista/" TargetMode="External"/><Relationship Id="rId52" Type="http://schemas.openxmlformats.org/officeDocument/2006/relationships/hyperlink" Target="https://pubmed.ncbi.nlm.nih.gov/40517785/" TargetMode="External"/><Relationship Id="rId11" Type="http://schemas.openxmlformats.org/officeDocument/2006/relationships/image" Target="media/image9.png"/><Relationship Id="rId55" Type="http://schemas.openxmlformats.org/officeDocument/2006/relationships/hyperlink" Target="https://www.oreilly.com/library/view/designing-data-intensive-applications/9781491903063/" TargetMode="External"/><Relationship Id="rId10" Type="http://schemas.openxmlformats.org/officeDocument/2006/relationships/image" Target="media/image8.png"/><Relationship Id="rId54" Type="http://schemas.openxmlformats.org/officeDocument/2006/relationships/hyperlink" Target="https://www.researchgate.net/publication/13853244_Long_Short-Term_Memory" TargetMode="External"/><Relationship Id="rId13" Type="http://schemas.openxmlformats.org/officeDocument/2006/relationships/image" Target="media/image1.png"/><Relationship Id="rId57" Type="http://schemas.openxmlformats.org/officeDocument/2006/relationships/hyperlink" Target="https://www.nature.com/articles/nature14539" TargetMode="External"/><Relationship Id="rId12" Type="http://schemas.openxmlformats.org/officeDocument/2006/relationships/image" Target="media/image5.png"/><Relationship Id="rId56" Type="http://schemas.openxmlformats.org/officeDocument/2006/relationships/hyperlink" Target="https://cienciaescrita.com/periodico-jornal-ou-revista/" TargetMode="External"/><Relationship Id="rId15" Type="http://schemas.openxmlformats.org/officeDocument/2006/relationships/image" Target="media/image4.png"/><Relationship Id="rId59" Type="http://schemas.openxmlformats.org/officeDocument/2006/relationships/hyperlink" Target="https://papers.nips.cc/paper_files/paper/2017/hash/8a20a8621978632d76c43dfd28b67767-Abstract.html" TargetMode="External"/><Relationship Id="rId14" Type="http://schemas.openxmlformats.org/officeDocument/2006/relationships/image" Target="media/image3.png"/><Relationship Id="rId58" Type="http://schemas.openxmlformats.org/officeDocument/2006/relationships/hyperlink" Target="https://eventtodo.com/contact/" TargetMode="External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19" Type="http://schemas.openxmlformats.org/officeDocument/2006/relationships/hyperlink" Target="https://catalog.nlm.nih.gov/discovery/fulldisplay?docid=alma9916189513406676&amp;context=L&amp;vid=01NLM_INST:01NLM_INST&amp;lang=en" TargetMode="External"/><Relationship Id="rId18" Type="http://schemas.openxmlformats.org/officeDocument/2006/relationships/image" Target="media/image6.png"/><Relationship Id="rId83" Type="http://schemas.openxmlformats.org/officeDocument/2006/relationships/image" Target="media/image11.png"/><Relationship Id="rId84" Type="http://schemas.openxmlformats.org/officeDocument/2006/relationships/image" Target="media/image12.png"/><Relationship Id="rId85" Type="http://schemas.openxmlformats.org/officeDocument/2006/relationships/image" Target="media/image13.png"/><Relationship Id="rId86" Type="http://schemas.openxmlformats.org/officeDocument/2006/relationships/image" Target="media/image14.png"/><Relationship Id="rId87" Type="http://schemas.openxmlformats.org/officeDocument/2006/relationships/image" Target="media/image15.png"/><Relationship Id="rId88" Type="http://schemas.openxmlformats.org/officeDocument/2006/relationships/image" Target="media/image16.png"/><Relationship Id="rId89" Type="http://schemas.openxmlformats.org/officeDocument/2006/relationships/image" Target="media/image17.png"/><Relationship Id="rId90" Type="http://schemas.openxmlformats.org/officeDocument/2006/relationships/image" Target="media/image18.png"/><Relationship Id="rId9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Plataforma Web para Analise de EEG com Inteligencia Artificial Explicavel</dc:title>
  <cp:lastModifiedBy>python-docx</cp:lastModifiedBy>
  <cp:revision>1</cp:revision>
  <dcterms:modified xsi:type="dcterms:W3CDTF">2026-10-13T12:52:18Z</dcterms:modified>
  <dc:subject>TCC II - versao final do prototipo e resultados experimentais</dc:subject>
</cp:coreProperties>
</file>