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INSTITUTO FEDERAL DE EDUCAÇÃO, CIÊNCIA E TECNOLOGIA DE GOIÁS – </w:t>
      </w:r>
      <w:r w:rsidDel="00000000" w:rsidR="00000000" w:rsidRPr="00000000">
        <w:rPr>
          <w:rFonts w:ascii="Arial" w:hAnsi="Arial"/>
          <w:b/>
          <w:i w:val="1"/>
          <w:iCs w:val="1"/>
          <w:color w:val="000000"/>
          <w:sz w:val="24"/>
          <w:szCs w:val="24"/>
          <w:rtl w:val="0"/>
        </w:rPr>
        <w:t xml:space="preserve">CÂMPUS </w:t>
      </w: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URUAÇU</w:t>
      </w:r>
    </w:p>
    <w:p w:rsidR="00000000" w:rsidDel="00000000" w:rsidP="00000000" w:rsidRDefault="00000000" w:rsidRPr="00000000" w14:paraId="00000002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DEPARTAMENTO DE ÁREAS ACADÊMICAS</w:t>
      </w:r>
    </w:p>
    <w:p w:rsidR="00000000" w:rsidDel="00000000" w:rsidP="00000000" w:rsidRDefault="00000000" w:rsidRPr="00000000" w14:paraId="00000003">
      <w:pPr>
        <w:spacing w:after="220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B">
      <w:pPr>
        <w:spacing w:line="276" w:lineRule="auto" w:before="0" w:after="260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EDUARDO HENRIQUE GUIMARÃES MARQUES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14">
      <w:pPr>
        <w:spacing w:line="276" w:lineRule="auto" w:before="0" w:after="420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1F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20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pageBreakBefore/>
        <w:spacing w:line="276" w:lineRule="auto" w:before="0" w:after="240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EDUARDO HENRIQUE GUIMARÃES MARQUES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29">
      <w:pPr>
        <w:spacing w:line="276" w:lineRule="auto" w:before="0" w:after="180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33">
      <w:pPr>
        <w:spacing w:after="160" w:line="240" w:lineRule="auto" w:before="0"/>
        <w:ind w:left="4535" w:firstLine="0"/>
        <w:jc w:val="both"/>
        <w:rPr>
          <w:sz w:val="20"/>
          <w:szCs w:val="20"/>
        </w:rPr>
      </w:pPr>
      <w:r>
        <w:rPr>
          <w:rFonts w:ascii="Arial" w:hAnsi="Arial"/>
          <w:b w:val="0"/>
          <w:color w:val="000000"/>
          <w:sz w:val="20"/>
        </w:rPr>
        <w:t>Trabalho de Conclusão de Curso apresentado ao curso de Tecnologia em Análise e Desenvolvimento de Sistemas do Departamento de Áreas Acadêmicas do Instituto Federal de Educação, Ciência e Tecnologia de Goiás - Câmpus Uruaçu como requisito parcial para conclusão do curso.</w:t>
      </w:r>
    </w:p>
    <w:p w:rsidR="00000000" w:rsidDel="00000000" w:rsidP="00000000" w:rsidRDefault="00000000" w:rsidRPr="00000000" w14:paraId="00000034">
      <w:pPr>
        <w:spacing w:after="2900" w:line="240" w:lineRule="auto" w:before="0"/>
        <w:ind w:left="4535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hAnsi="Arial"/>
          <w:b w:val="0"/>
          <w:color w:val="000000"/>
          <w:sz w:val="20"/>
          <w:szCs w:val="20"/>
          <w:rtl w:val="0"/>
        </w:rPr>
        <w:t xml:space="preserve">Orientador: Dr. Lynwood Livi de Souza</w:t>
      </w:r>
    </w:p>
    <w:p w:rsidR="00000000" w:rsidDel="00000000" w:rsidP="00000000" w:rsidRDefault="00000000" w:rsidRPr="00000000" w14:paraId="0000003D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3E">
      <w:pPr>
        <w:spacing w:after="0" w:line="276" w:lineRule="auto" w:before="0"/>
        <w:ind w:firstLine="0" w:left="0"/>
        <w:jc w:val="center"/>
        <w:rPr/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Title"/>
        <w:pageBreakBefore/>
        <w:spacing w:line="276" w:lineRule="auto" w:before="0" w:after="200"/>
        <w:ind w:firstLine="0" w:left="0"/>
        <w:jc w:val="center"/>
        <w:rPr>
          <w:b w:val="1"/>
          <w:bCs w:val="1"/>
        </w:rPr>
      </w:pPr>
      <w:r>
        <w:rPr>
          <w:rFonts w:ascii="Arial" w:hAnsi="Arial"/>
          <w:b/>
          <w:color w:val="000000"/>
          <w:sz w:val="24"/>
        </w:rPr>
        <w:t>SUMÁRIO</w:t>
      </w:r>
    </w:p>
    <w:tbl>
      <w:tblPr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2" w:type="dxa"/>
          <w:left w:w="20" w:type="dxa"/>
          <w:bottom w:w="12" w:type="dxa"/>
          <w:right w:w="20" w:type="dxa"/>
        </w:tblCellMar>
        <w:tblLook w:val="0000"/>
      </w:tblPr>
      <w:tblGrid>
        <w:gridCol w:w="8070"/>
        <w:gridCol w:w="1000"/>
      </w:tblGrid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1 INTRODUÇÃO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 OBJETIVOS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1.1.1 Objetivo Geral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1.1.2 Objetivos Específicos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1.2 Justificativa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2 REFERENCIAL TEÓRICO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2.1 Contexto Neurofisiológico e Desafios da Análise Computacional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2.2 Desenvolvimento Ágil e Arquitetura Orientada a Serviços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2.3 Tecnologias Full-Stack e Persistência de Dados Biomédicos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2.4 Inteligência Artificial Híbrida e Explicabilidade (XAI)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2.5 Transformação Digital no Diagnóstico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3 METODOLOGIA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3.1 Levantamento de Requisitos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3.2 Desenvolvimento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3.3 Tecnologias e ferramentas utilizadas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3.4 Desenvolvimento incremental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3.5 Testes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3.6 Implementação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4 SOFTWARE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4.1 Descrição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4.2 Levantamento de Requisitos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4.3 Requisitos Funcionais e Não Funcionais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4.4 Casos de uso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4.5 Arquitetura do Sistema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4.6 Fluxograma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4.7 Modelo Entidade Relacionamento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4.8 Protótipos de baixa fidelidade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5 RESULTADOS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31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5.1 Interface implementada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31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5.2 Protocolo experimental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5.3 Desempenho do modelo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5.4 Evolução experimental e estabilidade entre seeds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5.5 Análise dos erros e generalização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5.6 Verificação do software e dos artefatos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6 DISCUSSÃO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6.1 Limitações e ameaças à validade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7 CONCLUSÃO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REFERÊNCIAS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38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APÊNDICE A - RECURSOS E CRONOGRAMA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A.1 Recursos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A.2 Cronograma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42</w:t>
            </w:r>
          </w:p>
        </w:tc>
      </w:tr>
    </w:tbl>
    <w:p w:rsidR="00000000" w:rsidDel="00000000" w:rsidP="00000000" w:rsidRDefault="00000000" w:rsidRPr="00000000" w14:paraId="00000060">
      <w:pPr>
        <w:pStyle w:val="Title"/>
        <w:spacing w:after="0" w:line="240" w:lineRule="auto" w:before="0"/>
        <w:jc w:val="both"/>
        <w:rPr/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4" w:top="1701" w:left="1701" w:right="1134" w:header="708" w:footer="708"/>
          <w:pgNumType w:start="1"/>
        </w:sectPr>
      </w:pPr>
      <w:bookmarkStart w:colFirst="0" w:colLast="0" w:name="_1f8ned6zrhix" w:id="2"/>
      <w:bookmarkEnd w:id="2"/>
      <w:r w:rsidDel="00000000" w:rsidR="00000000" w:rsidRPr="00000000">
        <w:rPr>
          <w:sz w:val="2"/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/>
        <w:pageBreakBefore w:val="0"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l3mlfcex4d0x" w:id="3"/>
      <w:bookmarkEnd w:id="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 INTRODUÇÃO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2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Eletroencefalograma (EEG) constitui uma ferramenta fundamental para o diagnóstico e o monitoramento da epilepsia, pois registra com elevada resolução temporal a atividade elétrica cerebral. A análise de registros extensos, contudo, permanece predominantemente visual, demanda tempo especializado e está sujeita à fadiga e à variabilidade entre avaliadores (TATUM et al., 2018; ROY et al., 2019). Esse cenário reforça a necessidade de ferramentas computacionais capazes de apoiar a triagem sem substituir a decisão médica.</w:t>
      </w:r>
    </w:p>
    <w:p w:rsidR="00000000" w:rsidDel="00000000" w:rsidP="00000000" w:rsidRDefault="00000000" w:rsidRPr="00000000" w14:paraId="00000063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Embora técnicas de Deep Learning apresentem potencial para reconhecer padrões complexos em EEG, sua incorporação ao fluxo clínico enfrenta barreiras técnicas e operacionais. Entre elas estão a fragmentação entre ferramentas de armazenamento e visualização, a dependência de soluções proprietárias, a dificuldade de processar exames multicanais extensos e a opacidade das redes neurais profundas. Um classificador isolado não resolve integralmente o problema: o especialista também precisa importar o exame, navegar pelos canais, localizar os eventos suspeitos, avaliar a explicação do modelo e registrar seu próprio parecer.</w:t>
      </w:r>
    </w:p>
    <w:p w:rsidR="00000000" w:rsidDel="00000000" w:rsidP="00000000" w:rsidRDefault="00000000" w:rsidRPr="00000000" w14:paraId="00000064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</w:rPr>
        <w:t>Diante dessa lacuna, o presente trabalho desenvolveu um protótipo funcional de plataforma web para apoio à triagem e à análise de EEG. A solução centraliza a ingestão de arquivos EDF, a visualização multicanal, a inferência temporal por uma rede CNN-BiLSTM e a apresentação de trechos suspeitos. A arquitetura cliente-servidor mediada por API REST separa a interface do núcleo de processamento e permite evoluir cada componente de forma independente.</w:t>
      </w:r>
    </w:p>
    <w:p w:rsidR="00000000" w:rsidDel="00000000" w:rsidP="00000000" w:rsidRDefault="00000000" w:rsidRPr="00000000" w14:paraId="00000065">
      <w:pPr>
        <w:keepNext w:val="0"/>
        <w:spacing w:after="0" w:before="0" w:line="360" w:lineRule="auto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A explicabilidade é incorporada por meio do método SHAP, que relaciona a decisão da rede às características, aos canais e aos intervalos temporais analisados. O sistema deve ser compreendido como ferramenta experimental de segunda opinião, com potencial para apoiar a produtividade e direcionar a revisão do especialista, e não como substituto do diagnóstico clínico. Por lidar com informações de saúde, sua evolução também deve considerar acessibilidade, privacidade, segurança e o enquadramento regulatório aplicável a Software como Dispositivo Médico.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Arial" w:hAnsi="Arial"/>
          <w:color w:val="000000"/>
          <w:sz w:val="24"/>
        </w:rPr>
        <w:t>No Brasil, a eventual disponibilização de software com finalidade médica deve considerar a regulamentação aplicável a Software como Dispositivo Médico, incluindo a RDC nº 657, de 24 de março de 2022, da Agência Nacional de Vigilância Sanitária. O protótipo desenvolvido neste trabalho não foi submetido à regularização sanitária. No âmbito da interface, as recomendações do eMAG e das WCAG constituem referências para evolução da acessibilidade, sem que se alegue conformidade formal antes de uma auditoria específica.</w:t>
      </w:r>
    </w:p>
    <w:p w:rsidR="00000000" w:rsidDel="00000000" w:rsidP="00000000" w:rsidRDefault="00000000" w:rsidRPr="00000000" w14:paraId="00000066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q00vb749n9x" w:id="4"/>
      <w:bookmarkEnd w:id="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1.1 OBJETIVOS</w:t>
      </w:r>
    </w:p>
    <w:p w:rsidR="00000000" w:rsidDel="00000000" w:rsidP="00000000" w:rsidRDefault="00000000" w:rsidRPr="00000000" w14:paraId="00000067">
      <w:pPr>
        <w:pStyle w:val="Heading3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m78squaotloc" w:id="5"/>
      <w:bookmarkEnd w:id="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1.1.1 Objetivo Geral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8">
      <w:pPr>
        <w:keepNext w:val="0"/>
        <w:spacing w:after="0" w:before="0" w:line="360" w:lineRule="auto"/>
        <w:ind w:firstLine="709" w:left="0"/>
        <w:jc w:val="both"/>
        <w:rPr>
          <w:b w:val="1"/>
          <w:bCs w:val="1"/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Desenvolver e avaliar um protótipo funcional de plataforma web para apoio à triagem e à análise de exames de Eletroencefalograma (EEG), integrando uma arquitetura híbrida CNN-BiLSTM e técnicas de Inteligência Artificial Explicável (XAI) para localizar temporalmente eventos suspeitos e fornecer informações de apoio à revisão do especialista.</w:t>
      </w:r>
    </w:p>
    <w:p w:rsidR="00000000" w:rsidDel="00000000" w:rsidP="00000000" w:rsidRDefault="00000000" w:rsidRPr="00000000" w14:paraId="00000069">
      <w:pPr>
        <w:pStyle w:val="Heading3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5buap6hfv1yf" w:id="6"/>
      <w:bookmarkEnd w:id="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1.1.2 Objetivos Específicos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A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Os objetivos específicos a seguir foram definidos para viabilizar o alcance do objetivo geral: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Levantar e documentar requisitos funcionais e não funcionais relacionados à ingestão, ao processamento, à visualização, à segurança e à interpretabilidade de sinais de EEG.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Implementar uma interface web responsiva, desenvolvida em React, para importação de EDF, navegação temporal, zoom e seleção dinâmica de canais.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Desenvolver um módulo de ingestão capaz de validar arquivos EDF, extrair seus metadados e preservar a identidade dos canais durante a análise.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Estruturar o janelamento temporal depois da separação dos pacientes entre treino e calibração, ampliando a quantidade de exemplos sem provocar vazamento de dados.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Extrair características tempo-frequência por canal, Entropia de Shannon e medidas de Dinâmica Simbólica, e treinar uma rede CNN-BiLSTM com probabilidade ictal por passo temporal.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Integrar o método SHAP para representar a relevância das características por canal e por intervalo temporal sobre o traçado do EEG.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Avaliar o modelo em registros públicos da CHB-MIT por EDF, evento e localização temporal, utilizando precisão, sensibilidade, F1, IoU e falsos alarmes por hora.</w:t>
      </w:r>
    </w:p>
    <w:p w:rsidR="00000000" w:rsidDel="00000000" w:rsidP="00000000" w:rsidRDefault="00000000" w:rsidRPr="00000000" w14:paraId="00000072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1clf1nar1xaz" w:id="7"/>
      <w:bookmarkEnd w:id="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1.2 Justificativa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3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leitura manual de EEG é extensa e depende de conhecimento especializado, enquanto classificadores isolados não oferecem necessariamente o fluxo de ingestão, visualização, explicação e registro do parecer. O projeto busca enfrentar essa lacuna por meio de uma plataforma integrada, preservando a supervisão humana e apresentando a saída da IA como trecho suspeito, e não como diagnóstico final.</w:t>
      </w:r>
    </w:p>
    <w:p w:rsidR="00000000" w:rsidDel="00000000" w:rsidP="00000000" w:rsidRDefault="00000000" w:rsidRPr="00000000" w14:paraId="00000074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proposta fundamenta-se na experiência adquirida no projeto de iniciação tecnológica Identificação de Padrões Genéticos para Diagnóstico de Doenças Utilizando Inteligência Artificial, posteriormente direcionado à análise de sinais bioelétricos (MOREIRA et al., 2025). O trabalho anterior demonstrou a viabilidade de extrair características matemáticas de séries temporais; o presente projeto amplia essa contribuição ao incorporar tais técnicas a um fluxo web completo.</w:t>
      </w:r>
    </w:p>
    <w:p w:rsidR="00000000" w:rsidDel="00000000" w:rsidP="00000000" w:rsidRDefault="00000000" w:rsidRPr="00000000" w14:paraId="00000075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disponibilização por navegador reduz a dependência de instalações proprietárias em cada estação de trabalho e permite centralizar o processamento computacional no servidor. Essa estratégia não elimina custos de infraestrutura, mas favorece manutenção, atualização e acesso controlado. A integração entre visualização, modelo temporal e XAI também contribui para que a predição seja inspecionada no contexto do sinal original.</w:t>
      </w:r>
    </w:p>
    <w:p w:rsidR="00000000" w:rsidDel="00000000" w:rsidP="00000000" w:rsidRDefault="00000000" w:rsidRPr="00000000" w14:paraId="00000076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relevância acadêmica decorre da aplicação conjunta de Engenharia de Software, processamento de sinais, aprendizado profundo e interpretabilidade. O resultado esperado é um protótipo verificável, acompanhado de métricas e limitações explícitas, que possa servir de base para estudos posteriores de generalização interpaciente, usabilidade e validação com especialistas.</w:t>
      </w:r>
    </w:p>
    <w:p w:rsidR="00000000" w:rsidDel="00000000" w:rsidP="00000000" w:rsidRDefault="00000000" w:rsidRPr="00000000" w14:paraId="00000079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x1957ionkqr3" w:id="8"/>
      <w:bookmarkEnd w:id="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 REFERENCIAL TEÓRICO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rnm7u5khih5" w:id="9"/>
      <w:bookmarkEnd w:id="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2.1 Contexto Neurofisiológico e Desafios da Análise Computacional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B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Eletroencefalograma (EEG) é reconhecido como recurso fundamental para o diagnóstico e o monitoramento de epilepsia e outras desordens cerebrais, caracterizando-se como exame não invasivo, de baixo custo e elevada resolução temporal (NIEDERMEYER; LOPES DA SILVA, 2005; CRAIK et al., 2019). A duração dos registros e a quantidade de canais produzem grande volume de dados, o que aumenta a carga de revisão dos especialistas.</w:t>
      </w:r>
    </w:p>
    <w:p w:rsidR="00000000" w:rsidDel="00000000" w:rsidP="00000000" w:rsidRDefault="00000000" w:rsidRPr="00000000" w14:paraId="0000007C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Apesar da importância crítica do exame, a interpretação do EEG ainda é predominantemente manual e visual. Relatórios e estudos da área indicam que a análise de longas séries temporais (exames que podem durar de 20 minutos a dias) é um processo exaustivo, sujeito à fadiga e à subjetividade do especialista (TATUM et al., 2018; ROY et al., 2019). Essa dependência da análise humana exclusiva constitui uma vulnerabilidade diagnóstica crítica. A leitura visual convencional é criticada por ser lenta, apresentar baixa concordância entre diferentes avaliadores (variabilidade interobservador) e ser propensa a erros na detecção de eventos sutis ou raros em meio a artefatos de ruído (ABOALAYON et al., 2016).</w:t>
      </w:r>
    </w:p>
    <w:p w:rsidR="00000000" w:rsidDel="00000000" w:rsidP="00000000" w:rsidRDefault="00000000" w:rsidRPr="00000000" w14:paraId="0000007D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Diante da complexidade não-linear dos sinais biológicos, a aplicação de Inteligência Artificial deixou de ser apenas uma promessa acadêmica e tornou-se uma necessidade para o suporte à decisão clínica (TOPOL, 2019). O estado da arte exige modernização e eficiência, tornando sistemas de auxílio ao diagnóstico (CDSS - Clinical Decision Support Systems) indispensáveis para triagem em larga escala (SUTTON et al., 2020). A adoção de algoritmos de Deep Learning tem como principal objetivo sanar as limitações humanas, pois: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Aumenta a Sensibilidade:</w:t>
      </w:r>
      <w:r>
        <w:rPr>
          <w:rFonts w:ascii="Arial" w:hAnsi="Arial"/>
          <w:b w:val="0"/>
          <w:color w:val="000000"/>
          <w:sz w:val="24"/>
        </w:rPr>
        <w:t xml:space="preserve"> redes profundas podem identificar relações não lineares e padrões distribuídos no sinal que são difíceis de representar por regras fixas; o desempenho, contudo, depende da base, do protocolo de validação e da população avaliada (ACHARYA et al., 2018; ROY et al., 2019).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Automatiza a Triagem:</w:t>
      </w:r>
      <w:r>
        <w:rPr>
          <w:rFonts w:ascii="Arial" w:hAnsi="Arial"/>
          <w:b w:val="0"/>
          <w:color w:val="000000"/>
          <w:sz w:val="24"/>
        </w:rPr>
        <w:t xml:space="preserve"> Soluções tecnológicas processam arquivos pesados em segundos, permitindo que o médico foque sua atenção apenas nos segmentos apontados como patológicos pelo sistema, otimizando o fluxo clínico (ESTEVA et al., 2019).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beforeAutospacing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Padroniza a Análise:</w:t>
      </w:r>
      <w:r>
        <w:rPr>
          <w:rFonts w:ascii="Arial" w:hAnsi="Arial"/>
          <w:b w:val="0"/>
          <w:color w:val="000000"/>
          <w:sz w:val="24"/>
        </w:rPr>
        <w:t xml:space="preserve"> Ao utilizar critérios matemáticos consistentes, a tecnologia reduz a variabilidade diagnóstica, proporcionando uma "segunda opinião" isenta de fatores como cansaço ou viés cognitivo (FAUST et al., 2018).</w:t>
      </w:r>
    </w:p>
    <w:p w:rsidR="00000000" w:rsidDel="00000000" w:rsidP="00000000" w:rsidRDefault="00000000" w:rsidRPr="00000000" w14:paraId="00000081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Portanto, uma plataforma web de apoio não busca substituir o médico, mas organizar o fluxo de triagem e apresentar evidências computacionais para revisão. A utilidade clínica efetiva depende de validação externa, avaliação com especialistas e controle dos falsos alarmes.</w:t>
      </w:r>
    </w:p>
    <w:p w:rsidR="00000000" w:rsidDel="00000000" w:rsidP="00000000" w:rsidRDefault="00000000" w:rsidRPr="00000000" w14:paraId="00000082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eimas9j4voya" w:id="10"/>
      <w:bookmarkEnd w:id="1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2.2 Desenvolvimento Ágil e Arquitetura Orientada a Serviços</w:t>
      </w:r>
    </w:p>
    <w:p w:rsidR="00000000" w:rsidDel="00000000" w:rsidP="00000000" w:rsidRDefault="00000000" w:rsidRPr="00000000" w14:paraId="0000008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szCs w:val="24"/>
          <w:rtl w:val="0"/>
        </w:rPr>
        <w:t>O desenvolvimento adotou uma abordagem incremental adaptada a um projeto individual de Pesquisa e Desenvolvimento. Em vez de reproduzir integralmente papéis coletivos de Scrum ou XP, o trabalho foi organizado em ciclos de implementação, experimento, avaliação e revisão com a orientação acadêmica. O Git foi utilizado para versionar o código e manter a rastreabilidade das alterações.</w:t>
      </w:r>
    </w:p>
    <w:p w:rsidR="00000000" w:rsidDel="00000000" w:rsidP="00000000" w:rsidRDefault="00000000" w:rsidRPr="00000000" w14:paraId="0000008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Os ciclos curtos permitiram comparar arquiteturas, estratégias de amostragem e regras temporais antes da integração ao produto. Cada alteração relevante foi confrontada com uma referência controlada, reduzindo o risco de promover um modelo apenas por melhora pontual em uma única métrica.</w:t>
      </w:r>
    </w:p>
    <w:p w:rsidR="00000000" w:rsidDel="00000000" w:rsidP="00000000" w:rsidRDefault="00000000" w:rsidRPr="00000000" w14:paraId="00000085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arquitetura segue o modelo cliente-servidor mediado por API REST. O frontend React envia requisições ao backend FastAPI, responsável pela persistência, pelo processamento dos arquivos EDF e pela execução da IA. Esse desacoplamento permite manter a interface responsiva enquanto as tarefas computacionalmente intensivas são executadas no servidor.</w:t>
      </w:r>
    </w:p>
    <w:p w:rsidR="00000000" w:rsidDel="00000000" w:rsidP="00000000" w:rsidRDefault="00000000" w:rsidRPr="00000000" w14:paraId="00000087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f5yy08agam" w:id="11"/>
      <w:bookmarkEnd w:id="1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2.3 Tecnologias Full-Stack e Persistência de Dados Biomédicos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88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arquitetura Full-Stack moderna é essencial para o desenvolvimento de soluções que exigem alta performance e interatividade, como a proposta. Na camada de desenvolvimento da API e Inteligência Artificial, a escolha pela linguagem Python é crucial, pois ela constitui o padrão da indústria para Ciência de Dados, oferecendo bibliotecas robustas (como TensorFlow e MNE) para manipulação de sinais (VAN ROSSUM; DRAKE, 2009; MCKINNEY, 2012). Para a interface web, sistemas modernos de visualização médica exigem gráficos dinâmicos e interativos (necessários para o zoom e seleção de canais no EEG), sendo o React.js a biblioteca mais indicada para a construção de uma Single Page Application (SPA) fluida e reativa (META PLATFORMS, 2024; BANKS; PORCELLO, 2020).</w:t>
      </w:r>
    </w:p>
    <w:p w:rsidR="00000000" w:rsidDel="00000000" w:rsidP="00000000" w:rsidRDefault="00000000" w:rsidRPr="00000000" w14:paraId="00000089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Na persistência, o PostgreSQL armazena metadados cadastrais e clínicos, enquanto arquivos EDF, artefatos dos modelos e mapas gerados são mantidos no sistema de arquivos e referenciados pelo banco. Não foram utilizados pgvector, banco vetorial ou formatos .npy/.h5 como persistência clínica. Essa delimitação reduz ambiguidades e corresponde à implementação do protótipo.</w:t>
      </w:r>
    </w:p>
    <w:p w:rsidR="00000000" w:rsidDel="00000000" w:rsidP="00000000" w:rsidRDefault="00000000" w:rsidRPr="00000000" w14:paraId="0000008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z8ee6qpdqh5v" w:id="12"/>
      <w:bookmarkEnd w:id="1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2.4 Inteligência Artificial Híbrida e Explicabilidade (XAI)</w:t>
      </w:r>
    </w:p>
    <w:p w:rsidR="00000000" w:rsidDel="00000000" w:rsidP="00000000" w:rsidRDefault="00000000" w:rsidRPr="00000000" w14:paraId="0000008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aplicação de IA na saúde enfrenta o problema da opacidade algorítmica. Em sistemas de apoio, uma métrica elevada não é suficiente para justificar confiança: também é necessário conhecer a origem dos dados, o protocolo de validação, as limitações do modelo e os elementos que influenciaram cada predição (AMANN et al., 2020; ADADI; BERRADA, 2018).</w:t>
      </w:r>
    </w:p>
    <w:p w:rsidR="00000000" w:rsidDel="00000000" w:rsidP="00000000" w:rsidRDefault="00000000" w:rsidRPr="00000000" w14:paraId="0000008C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</w:rPr>
        <w:t>A abordagem proposta inova ao utilizar uma Arquitetura Híbrida (CNN-LSTM) combinada com técnicas de Explainable AI (XAI). Redes Neurais convencionais muitas vezes falham em capturar a dinâmica temporal de uma crise epiléptica ou focam apenas na morfologia da onda isolada. A arquitetura híbrida une o melhor de dois paradigmas: a Convolutional Neural Network (CNN) extrai características espaciais (forma da onda) e a Long Short-Term Memory (LSTM) analisa a dependência temporal (evolução da crise) (HOCHREITER; SCHMIDHUBER, 1997; YAMASHITA et al., 2018). Além disso, a integração de biomarcadores matemáticos, como a Entropia de Shannon, serve como um guia (feature engineering) para o modelo, estabilizando o aprendizado em cenários com poucos dados (SHANNON, 1948; ACHARYA et al., 2018).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Arial" w:hAnsi="Arial"/>
          <w:color w:val="000000"/>
          <w:sz w:val="24"/>
        </w:rPr>
        <w:t>A escolha de uma abordagem baseada em algoritmos de Deep Learning (CNN e LSTM) justifica-se pelo estudo comparativo sistemático realizado por Moreira et al. (2025). Nessa investigação preliminar, ao avaliar múltiplos modelos sobre uma base de dados de sinais de EEG, o algoritmo clássico Random Forest obteve uma acurácia de 86,0%, enquanto o modelo Multi-Layer Perceptron (MLP Tabular) alcançou 97,7%. Em contrapartida, as arquiteturas profundas apresentaram os desempenhos mais elevados, com a rede convolucional (CNN) atingindo 99,2% e a rede recorrente (LSTM) alcançando uma acurácia de 100,0% na diferenciação de padrões patológicos (MOREIRA et al., 2025). Desse modo, o desenvolvimento do presente software adota essas duas arquiteturas como base para o seu motor preditivo.</w:t>
      </w:r>
    </w:p>
    <w:p w:rsidR="00000000" w:rsidDel="00000000" w:rsidP="00000000" w:rsidRDefault="00000000" w:rsidRPr="00000000" w14:paraId="0000008D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Para que essa análise seja confiável, a integração do método SHAP (Shapley Additive exPlanations) é fundamental. Proposto por Lundberg e Lee (2017), o SHAP baseia-se na teoria dos jogos para atribuir valores de importância a cada feature de entrada. O uso de XAI neste contexto: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Favorece a Interpretabilidade:</w:t>
      </w:r>
      <w:r>
        <w:rPr>
          <w:rFonts w:ascii="Arial" w:hAnsi="Arial"/>
          <w:b w:val="0"/>
          <w:color w:val="000000"/>
          <w:sz w:val="24"/>
        </w:rPr>
        <w:t xml:space="preserve"> o sistema associa os valores de relevância às features, aos canais e aos intervalos temporais da sequência analisada, permitindo confrontar a saída do modelo com o traçado exibido.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Apoia a Revisão Clínica:</w:t>
      </w:r>
      <w:r>
        <w:rPr>
          <w:rFonts w:ascii="Arial" w:hAnsi="Arial"/>
          <w:b w:val="0"/>
          <w:color w:val="000000"/>
          <w:sz w:val="24"/>
        </w:rPr>
        <w:t xml:space="preserve"> a explicação não comprova uma justificativa fisiológica nem valida automaticamente a predição. Ela oferece uma indicação adicional para que o especialista examine se a região destacada é compatível com evento ictal, padrão interictal ou artefato.</w:t>
      </w:r>
    </w:p>
    <w:p w:rsidR="00000000" w:rsidDel="00000000" w:rsidP="00000000" w:rsidRDefault="00000000" w:rsidRPr="00000000" w14:paraId="00000090">
      <w:pPr>
        <w:keepNext w:val="0"/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A combinação entre modelo temporal e XAI é, portanto, utilizada para tornar a saída computacional mais inspecionável, mantendo explícita a necessidade de supervisão humana e validação externa.</w:t>
      </w:r>
    </w:p>
    <w:p w:rsidR="00000000" w:rsidDel="00000000" w:rsidP="00000000" w:rsidRDefault="00000000" w:rsidRPr="00000000" w14:paraId="00000091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b7ssjv3hmnvy" w:id="13"/>
      <w:bookmarkEnd w:id="1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2.5 Transformação Digital no Diagnóstico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2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transformação digital em saúde depende de sistemas capazes de trocar e apresentar dados de forma consistente. Neste trabalho, a interoperabilidade foi delimitada ao suporte ao formato EDF e à comunicação por API REST. Integrações hospitalares baseadas em HL7 FHIR ou DICOM não foram implementadas e permanecem como possibilidade de evolução.</w:t>
      </w:r>
    </w:p>
    <w:p w:rsidR="00000000" w:rsidDel="00000000" w:rsidP="00000000" w:rsidRDefault="00000000" w:rsidRPr="00000000" w14:paraId="0000009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centralização web pode reduzir fragmentação operacional ao reunir cadastro, exame, visualização, análise e laudo em uma única interface. Entretanto, rapidez, segurança e benefício clínico não devem ser presumidos; essas propriedades precisam ser demonstradas por testes técnicos e estudos com usuários.</w:t>
      </w:r>
    </w:p>
    <w:p w:rsidR="00000000" w:rsidDel="00000000" w:rsidP="00000000" w:rsidRDefault="00000000" w:rsidRPr="00000000" w14:paraId="0000009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Nesse contexto, a plataforma proposta se alinha à digitalização do fluxo de análise, mantendo o especialista responsável pela interpretação e pelo laudo. A automação fornece trechos suspeitos e explicações, mas não garante eliminação de erros nem maior precisão clínica sem validação apropriada.</w:t>
      </w:r>
    </w:p>
    <w:p w:rsidR="00000000" w:rsidDel="00000000" w:rsidP="00000000" w:rsidRDefault="00000000" w:rsidRPr="00000000" w14:paraId="00000099">
      <w:pPr>
        <w:pStyle w:val="Heading1"/>
        <w:keepNext/>
        <w:pageBreakBefore/>
        <w:spacing w:line="240" w:lineRule="auto" w:before="0" w:after="80"/>
        <w:ind w:firstLine="0" w:left="0"/>
        <w:jc w:val="left"/>
        <w:rPr/>
      </w:pPr>
      <w:bookmarkStart w:colFirst="0" w:colLast="0" w:name="_s2zgn28frzm0" w:id="14"/>
      <w:bookmarkEnd w:id="1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3 METODOLOGIA</w:t>
      </w:r>
    </w:p>
    <w:p w:rsidR="00000000" w:rsidDel="00000000" w:rsidP="00000000" w:rsidRDefault="00000000" w:rsidRPr="00000000" w14:paraId="0000009A">
      <w:pPr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</w:rPr>
        <w:t>O desenvolvimento foi organizado nas etapas apresentadas na Figura 1, desde o levantamento de requisitos até a integração e a verificação técnica do protótipo.</w:t>
      </w:r>
    </w:p>
    <w:p>
      <w:pPr>
        <w:keepNext/>
        <w:spacing w:line="240" w:lineRule="auto" w:after="80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 – Etapas executadas no desenvolvimento e na avaliação do projeto.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1572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s_metodologica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15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200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09B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msztwk8da3yt" w:id="15"/>
      <w:bookmarkEnd w:id="1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3.1 Levantamento de Requisitos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C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O levantamento de requisitos foi conduzido por revisão bibliográfica sobre análise computacional de EEG, análise documental do formato EDF, estudo do fluxo proposto no projeto anterior e refinamentos realizados durante a orientação acadêmica.</w:t>
      </w:r>
    </w:p>
    <w:p w:rsidR="00000000" w:rsidDel="00000000" w:rsidP="00000000" w:rsidRDefault="00000000" w:rsidRPr="00000000" w14:paraId="0000009D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Foram priorizados requisitos de ingestão, processamento de registros multicanais, visualização temporal, segurança, persistência e interpretabilidade. Não foram realizadas entrevistas estruturadas nem validação formal com neurologistas; por isso, os requisitos clínicos da versão atual são tratados como requisitos de um protótipo acadêmico.</w:t>
      </w:r>
    </w:p>
    <w:p w:rsidR="00000000" w:rsidDel="00000000" w:rsidP="00000000" w:rsidRDefault="00000000" w:rsidRPr="00000000" w14:paraId="0000009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benchmarking teve caráter bibliográfico e conceitual. Foram comparadas características descritas na literatura e em ferramentas de processamento de EEG, com atenção a visualização, seleção de canais, suporte a EDF e explicabilidade. Ferramentas que não tenham sido avaliadas de forma documentada não são apresentadas como objetos de comparação empírica.</w:t>
      </w:r>
    </w:p>
    <w:p w:rsidR="00000000" w:rsidDel="00000000" w:rsidP="00000000" w:rsidRDefault="00000000" w:rsidRPr="00000000" w14:paraId="0000009F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Como resultado, foram definidos os módulos de autenticação, pacientes, ingestão de EDF, visualização multicanal, análise preditiva, explicabilidade, configurações e emissão de laudo. A validação desses requisitos com profissionais da neurologia permanece como trabalho futuro.</w:t>
      </w:r>
    </w:p>
    <w:p w:rsidR="00000000" w:rsidDel="00000000" w:rsidP="00000000" w:rsidRDefault="00000000" w:rsidRPr="00000000" w14:paraId="000000A0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kk6jz3b8unjj" w:id="16"/>
      <w:bookmarkEnd w:id="1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3.2 Desenvolvimento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1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  <w:rtl w:val="0"/>
        </w:rPr>
        <w:t>O desenvolvimento foi conduzido em ciclos incrementais individuais de implementação, teste e revisão. A orientação acadêmica apoiou a avaliação das entregas e o Git registrou a evolução do código. Nos ciclos de IA, hiperparâmetros e arquiteturas foram comparados por experimentos controlados antes da integração.</w:t>
      </w:r>
    </w:p>
    <w:p w:rsidR="00000000" w:rsidDel="00000000" w:rsidP="00000000" w:rsidRDefault="00000000" w:rsidRPr="00000000" w14:paraId="000000A2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  <w:rtl w:val="0"/>
        </w:rPr>
        <w:t>O sistema utiliza arquitetura full-stack orientada a serviços, separando o cliente React do servidor FastAPI. Essa separação mantém responsabilidades claras e permite que o processamento matemático ocorra no backend sem transferir os arquivos brutos ou o modelo para o navegador.</w:t>
      </w:r>
    </w:p>
    <w:p w:rsidR="00000000" w:rsidDel="00000000" w:rsidP="00000000" w:rsidRDefault="00000000" w:rsidRPr="00000000" w14:paraId="000000A3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7bv0180de" w:id="17"/>
      <w:bookmarkEnd w:id="1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3.3 Tecnologias e ferramentas utilizadas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implementação utilizou ferramentas com versões registradas para favorecer a reprodutibilidade do ambiente.</w:t>
      </w:r>
    </w:p>
    <w:p w:rsidR="00000000" w:rsidDel="00000000" w:rsidP="00000000" w:rsidRDefault="00000000" w:rsidRPr="00000000" w14:paraId="000000A5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backend foi desenvolvido com Python 3.11.9, FastAPI 0.115.6 e SQLAlchemy 2.0.36. O PostgreSQL é destinado aos metadados, enquanto os EDF, modelos e mapas permanecem no sistema de arquivos. O ambiente Python é isolado por venv.</w:t>
      </w:r>
    </w:p>
    <w:p w:rsidR="00000000" w:rsidDel="00000000" w:rsidP="00000000" w:rsidRDefault="00000000" w:rsidRPr="00000000" w14:paraId="000000A6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frontend foi desenvolvido com React 19.2.7, TypeScript, Vite 6.3.5 e Recharts 3.9.0. O Recharts foi adotado por sua integração declarativa com React; D3.js não integra a versão final do protótipo.</w:t>
      </w:r>
    </w:p>
    <w:p w:rsidR="00000000" w:rsidDel="00000000" w:rsidP="00000000" w:rsidRDefault="00000000" w:rsidRPr="00000000" w14:paraId="000000A7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pipeline utiliza TensorFlow 2.16.2, MNE-Python 1.8.0, NumPy 1.26.4 e SHAP 0.46.0. O Git registra as alterações e o arquivo de dependências do Python, juntamente com o package-lock do frontend, apoia a reprodução do ambiente. Docker não foi adotado nesta versão.</w:t>
      </w:r>
    </w:p>
    <w:p w:rsidR="00000000" w:rsidDel="00000000" w:rsidP="00000000" w:rsidRDefault="00000000" w:rsidRPr="00000000" w14:paraId="000000A9">
      <w:pPr>
        <w:pStyle w:val="Heading2"/>
        <w:keepNext/>
        <w:spacing w:line="240" w:lineRule="auto" w:before="160" w:after="80"/>
        <w:ind w:firstLine="0" w:left="0"/>
        <w:jc w:val="left"/>
        <w:rPr>
          <w:sz w:val="24"/>
          <w:szCs w:val="24"/>
        </w:rPr>
      </w:pPr>
      <w:bookmarkStart w:colFirst="0" w:colLast="0" w:name="_89a2uvbem9fd" w:id="18"/>
      <w:bookmarkEnd w:id="1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3.4 Desenvolvimento incremental </w:t>
      </w: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A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implementação foi dividida em incrementos dependentes, mas com atividades parcialmente paralelas. Cada incremento recebeu critérios objetivos de aceite: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Incremento I (Infraestrutura e Ingestão):</w:t>
      </w:r>
      <w:r>
        <w:rPr>
          <w:rFonts w:ascii="Arial" w:hAnsi="Arial"/>
          <w:b w:val="0"/>
          <w:color w:val="000000"/>
          <w:sz w:val="24"/>
        </w:rPr>
        <w:t xml:space="preserve"> concluído quando a API passou a autenticar usuários, cadastrar pacientes, receber, validar, armazenar e ler arquivos EDF, extraindo canais e taxa de amostragem.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Incremento II (Núcleo de Inteligência):</w:t>
      </w:r>
      <w:r>
        <w:rPr>
          <w:rFonts w:ascii="Arial" w:hAnsi="Arial"/>
          <w:b w:val="0"/>
          <w:color w:val="000000"/>
          <w:sz w:val="24"/>
        </w:rPr>
        <w:t xml:space="preserve"> concluído quando o pipeline passou a gerar de forma reproduzível características tempo-frequência por canal, Entropia de Shannon e Dinâmica Simbólica, treinar a CNN-BiLSTM e produzir probabilidades temporais. A separação por paciente foi executada antes do janelamento e da amostragem para evitar vazamento de dados.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Incremento III (Interface e Explicabilidade):</w:t>
      </w:r>
      <w:r>
        <w:rPr>
          <w:rFonts w:ascii="Arial" w:hAnsi="Arial"/>
          <w:b w:val="0"/>
          <w:color w:val="000000"/>
          <w:sz w:val="24"/>
        </w:rPr>
        <w:t xml:space="preserve"> concluído com a integração entre backend e frontend, incluindo visualização multicanal, seleção de canais, trechos suspeitos, sobreposição SHAP, configurações médicas e emissão de laudo.</w:t>
      </w:r>
    </w:p>
    <w:p w:rsidR="00000000" w:rsidDel="00000000" w:rsidP="00000000" w:rsidRDefault="00000000" w:rsidRPr="00000000" w14:paraId="000000AF">
      <w:pPr>
        <w:keepNext w:val="0"/>
        <w:spacing w:after="0" w:line="360" w:lineRule="auto" w:before="0"/>
        <w:ind w:firstLine="709" w:left="0"/>
        <w:jc w:val="both"/>
        <w:rPr>
          <w:color w:val="ff0000"/>
        </w:rPr>
      </w:pPr>
      <w:r>
        <w:rPr>
          <w:rFonts w:ascii="Arial" w:hAnsi="Arial"/>
          <w:color w:val="000000"/>
          <w:sz w:val="24"/>
          <w:rtl w:val="0"/>
        </w:rPr>
        <w:t>A cada ciclo foram executados testes automatizados e verificações sobre arquivos EDF reais. Alterações experimentais na IA somente foram promovidas quando apresentaram benefício no protocolo controlado de calibração.</w:t>
      </w:r>
    </w:p>
    <w:p w:rsidR="00000000" w:rsidDel="00000000" w:rsidP="00000000" w:rsidRDefault="00000000" w:rsidRPr="00000000" w14:paraId="000000B2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sgbc2pxseryx" w:id="19"/>
      <w:bookmarkEnd w:id="1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3.5 Testes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verificação contemplou o comportamento do software e a avaliação científica do modelo, mantendo métricas de janela, EDF, evento e localização temporal em níveis distintos.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>
        <w:t>• Dados e métricas de IA: a base final foi a CHB-MIT (SHOEB, 2009), com registros contínuos multicanais em EDF e anotações temporais das crises. Foram destinados ao treino 77 EDFs de 17 grupos de pacientes e à calibração 13 EDFs de chb16, chb19, chb20 e chb24. A separação ocorreu por paciente antes do janelamento. Foram avaliados precisão, sensibilidade e F1 por EDF e por evento, F1 localizado, IoU temporal e falsos alarmes por hora.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/>
      <w:r>
        <w:rPr>
          <w:rFonts w:ascii="Arial" w:hAnsi="Arial"/>
          <w:b/>
          <w:color w:val="000000"/>
          <w:sz w:val="24"/>
        </w:rPr>
        <w:t>• Desempenho e carga:</w:t>
      </w:r>
      <w:r>
        <w:rPr>
          <w:rFonts w:ascii="Arial" w:hAnsi="Arial"/>
          <w:b w:val="0"/>
          <w:color w:val="000000"/>
          <w:sz w:val="24"/>
        </w:rPr>
        <w:t xml:space="preserve"> o processamento ponta a ponta foi verificado em EDF real de longa duração. O tempo aceitável para uso clínico não foi definido por profissionais da área; portanto, o trabalho não adota um limite arbitrário. Uma avaliação formal deve registrar hardware, duração do exame, tempo total, uso de memória e concorrência.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/>
      <w:r>
        <w:rPr>
          <w:rFonts w:ascii="Arial" w:hAnsi="Arial"/>
          <w:b/>
          <w:color w:val="000000"/>
          <w:sz w:val="24"/>
        </w:rPr>
        <w:t>• Usabilidade e interpretabilidade:</w:t>
      </w:r>
      <w:r>
        <w:rPr>
          <w:rFonts w:ascii="Arial" w:hAnsi="Arial"/>
          <w:b w:val="0"/>
          <w:color w:val="000000"/>
          <w:sz w:val="24"/>
        </w:rPr>
        <w:t xml:space="preserve"> foram realizados testes técnicos da interface, do alinhamento temporal e da projeção do SHAP. Não foi conduzido estudo formal com médicos ou técnicos; essa ausência é apresentada como limitação e trabalho futuro.</w:t>
      </w:r>
    </w:p>
    <w:p w:rsidR="00000000" w:rsidDel="00000000" w:rsidP="00000000" w:rsidRDefault="00000000" w:rsidRPr="00000000" w14:paraId="000000B8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rmst7ujtxjvb" w:id="20"/>
      <w:bookmarkEnd w:id="2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3.6 Implementação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9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versão avaliada foi implantada localmente como protótipo de pesquisa, com frontend, API, banco de dados e artefatos de IA executados no ambiente de desenvolvimento.</w:t>
      </w:r>
    </w:p>
    <w:p w:rsidR="00000000" w:rsidDel="00000000" w:rsidP="00000000" w:rsidRDefault="00000000" w:rsidRPr="00000000" w14:paraId="000000BA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implantação em nuvem não foi validada. Embora a arquitetura permita execução em servidor, acesso remoto, escalabilidade, criptografia de transporte e operação multiusuário exigem configuração e avaliação próprias antes de qualquer uso externo.</w:t>
      </w:r>
    </w:p>
    <w:p w:rsidR="00000000" w:rsidDel="00000000" w:rsidP="00000000" w:rsidRDefault="00000000" w:rsidRPr="00000000" w14:paraId="000000B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API disponibiliza documentação Swagger/OpenAPI gerada pelo FastAPI. O repositório também registra variáveis de configuração, comandos de treinamento, calibração, avaliação e verificação dos artefatos.</w:t>
      </w:r>
    </w:p>
    <w:p w:rsidR="00000000" w:rsidDel="00000000" w:rsidP="00000000" w:rsidRDefault="00000000" w:rsidRPr="00000000" w14:paraId="000000BC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avaliação utilizou registros públicos reais e desidentificados da CHB-MIT. Não foram coletados exames de hospital local nem recrutados participantes. Eventual estudo com dados identificáveis ou interação com pacientes e profissionais deverá ser submetido às instâncias éticas e institucionais aplicáveis.</w:t>
      </w:r>
    </w:p>
    <w:p w:rsidR="00000000" w:rsidDel="00000000" w:rsidP="00000000" w:rsidRDefault="00000000" w:rsidRPr="00000000" w14:paraId="000000D4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47u54iw0uzje" w:id="21"/>
      <w:bookmarkEnd w:id="2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 SOFTWARE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a19ezh8mjkhj" w:id="22"/>
      <w:bookmarkEnd w:id="2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4.1 Descrição</w:t>
      </w:r>
    </w:p>
    <w:p w:rsidR="00000000" w:rsidDel="00000000" w:rsidP="00000000" w:rsidRDefault="00000000" w:rsidRPr="00000000" w14:paraId="000000D6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software configura-se como um protótipo funcional de plataforma web de apoio à análise de EEG. Seu público-alvo potencial inclui neurologistas, neurofisiologistas e pesquisadores, mas a versão atual não foi validada clinicamente nem regularizada para uso assistencial. A proposta responde ao esforço envolvido na revisão de registros extensos e à necessidade de reunir visualização, análise computacional, explicabilidade e laudo em um fluxo único.</w:t>
      </w:r>
    </w:p>
    <w:p w:rsidR="00000000" w:rsidDel="00000000" w:rsidP="00000000" w:rsidRDefault="00000000" w:rsidRPr="00000000" w14:paraId="000000D7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plataforma recebe arquivos EDF vinculados ao paciente, extrai metadados e apresenta os canais em uma linha temporal interativa. O pipeline CNN-BiLSTM produz probabilidades ictais por passo e agrega sequências sobrepostas em trechos suspeitos. O Gradient SHAP explica as features da sequência de pico e a interface projeta relevâncias positivas por canal e intervalo de segundos. Essa explicação não corresponde a uma atribuição por amostra bruta e deve ser interpretada como apoio à inspeção, não como justificativa fisiológica conclusiva.</w:t>
      </w:r>
    </w:p>
    <w:p w:rsidR="00000000" w:rsidDel="00000000" w:rsidP="00000000" w:rsidRDefault="00000000" w:rsidRPr="00000000" w14:paraId="000000D8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iizqfdido844" w:id="23"/>
      <w:bookmarkEnd w:id="2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4.2 Levantamento de Requisitos</w:t>
      </w:r>
    </w:p>
    <w:p w:rsidR="00000000" w:rsidDel="00000000" w:rsidP="00000000" w:rsidRDefault="00000000" w:rsidRPr="00000000" w14:paraId="000000D9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engenharia de requisitos baseou-se em revisão bibliográfica, análise documental do EDF, experiência do projeto anterior e refinamento com a orientação acadêmica. Não houve entrevista estruturada nem validação formal com neurologistas. Assim, os requisitos clínicos representam hipóteses de projeto para um protótipo e deverão ser avaliados com profissionais antes de uma eventual evolução assistencial.</w:t>
      </w:r>
    </w:p>
    <w:p w:rsidR="00000000" w:rsidDel="00000000" w:rsidP="00000000" w:rsidRDefault="00000000" w:rsidRPr="00000000" w14:paraId="000000D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vl388rmj0d54" w:id="24"/>
      <w:bookmarkEnd w:id="2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4.3 Requisitos Funcionais e Não Funcionais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B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Conforme abordado por Sommerville (2011), a especificação de requisitos é um pilar fundamental da Engenharia de Software, definindo com clareza as expectativas dos usuários e as restrições operacionais sob as quais o sistema deve atuar. Os requisitos dividem-se tradicionalmente em funcionais, que estabelecem detalhadamente as ações declarativas, as reações a entradas específicas e os serviços explícitos que o software é obrigado a executar, e requisitos não funcionais, os quais não se ligam diretamente aos serviços individuais do sistema, mas sim às propriedades emergentes de qualidade, confiabilidade, desempenho, compatibilidade e segurança corporativa.</w:t>
      </w:r>
    </w:p>
    <w:p w:rsidR="00000000" w:rsidDel="00000000" w:rsidP="00000000" w:rsidRDefault="00000000" w:rsidRPr="00000000" w14:paraId="000000DC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partir da análise estrutural da plataforma e do pipeline de triagem neurofisiológica estabelecido na metodologia, foram definidos os seguintes requisitos de engenharia para o sistema:</w:t>
      </w:r>
    </w:p>
    <w:p w:rsidR="00000000" w:rsidDel="00000000" w:rsidP="00000000" w:rsidRDefault="00000000" w:rsidRPr="00000000" w14:paraId="000000DD">
      <w:pPr>
        <w:keepNext/>
        <w:spacing w:line="360" w:lineRule="auto" w:before="160" w:after="80"/>
        <w:ind w:firstLine="0" w:lef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Requisitos Funcionais:</w:t>
      </w:r>
    </w:p>
    <w:p w:rsidR="00000000" w:rsidDel="00000000" w:rsidP="00000000" w:rsidRDefault="00000000" w:rsidRPr="00000000" w14:paraId="000000DE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1 – Autenticar Usuário:</w:t>
      </w:r>
      <w:r>
        <w:rPr>
          <w:rFonts w:ascii="Arial" w:hAnsi="Arial"/>
          <w:b w:val="0"/>
          <w:color w:val="000000"/>
          <w:sz w:val="24"/>
        </w:rPr>
        <w:t xml:space="preserve"> O sistema deve fornecer uma interface de login para que o médico neurologista insira suas credenciais e acesse a plataforma de forma restrita.</w:t>
      </w:r>
    </w:p>
    <w:p w:rsidR="00000000" w:rsidDel="00000000" w:rsidP="00000000" w:rsidRDefault="00000000" w:rsidRPr="00000000" w14:paraId="000000DF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 – Gerenciar Pacientes:</w:t>
      </w:r>
      <w:r>
        <w:rPr>
          <w:rFonts w:ascii="Arial" w:hAnsi="Arial"/>
          <w:b w:val="0"/>
          <w:color w:val="000000"/>
          <w:sz w:val="24"/>
        </w:rPr>
        <w:t xml:space="preserve"> O sistema deve permitir a inclusão, alteração, consulta e exclusão de dados cadastrais básicos e prontuários clínicos dos pacientes.</w:t>
      </w:r>
    </w:p>
    <w:p w:rsidR="00000000" w:rsidDel="00000000" w:rsidP="00000000" w:rsidRDefault="00000000" w:rsidRPr="00000000" w14:paraId="000000E0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3 – Importar Exame (.EDF):</w:t>
      </w:r>
      <w:r>
        <w:rPr>
          <w:rFonts w:ascii="Arial" w:hAnsi="Arial"/>
          <w:b w:val="0"/>
          <w:color w:val="000000"/>
          <w:sz w:val="24"/>
        </w:rPr>
        <w:t xml:space="preserve"> O sistema deve fornecer mecanismos para o upload e a ingestão de arquivos de sinais biomédicos estruturados no formato padrão universal .EDF.</w:t>
      </w:r>
    </w:p>
    <w:p w:rsidR="00000000" w:rsidDel="00000000" w:rsidP="00000000" w:rsidRDefault="00000000" w:rsidRPr="00000000" w14:paraId="000000E1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4 – Extrair Metadados do Sinal:</w:t>
      </w:r>
      <w:r>
        <w:rPr>
          <w:rFonts w:ascii="Arial" w:hAnsi="Arial"/>
          <w:b w:val="0"/>
          <w:color w:val="000000"/>
          <w:sz w:val="24"/>
        </w:rPr>
        <w:t xml:space="preserve"> O sistema deve decodificar o cabeçalho (header) do arquivo binário carregado e extrair automaticamente informações como taxa de amostragem e os rótulos dos canais de eletrodos.</w:t>
      </w:r>
    </w:p>
    <w:p w:rsidR="00000000" w:rsidDel="00000000" w:rsidP="00000000" w:rsidRDefault="00000000" w:rsidRPr="00000000" w14:paraId="000000E2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5 – Visualizar Sinais de EEG:</w:t>
      </w:r>
      <w:r>
        <w:rPr>
          <w:rFonts w:ascii="Arial" w:hAnsi="Arial"/>
          <w:b w:val="0"/>
          <w:color w:val="000000"/>
          <w:sz w:val="24"/>
        </w:rPr>
        <w:t xml:space="preserve"> O sistema deve plotar graficamente na tela do usuário as séries temporais contínuas e multicanais correspondentes às ondas cerebrais captadas.</w:t>
      </w:r>
    </w:p>
    <w:p w:rsidR="00000000" w:rsidDel="00000000" w:rsidP="00000000" w:rsidRDefault="00000000" w:rsidRPr="00000000" w14:paraId="000000E3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6 – Manipulação Interativa de Ondas:</w:t>
      </w:r>
      <w:r>
        <w:rPr>
          <w:rFonts w:ascii="Arial" w:hAnsi="Arial"/>
          <w:b w:val="0"/>
          <w:color w:val="000000"/>
          <w:sz w:val="24"/>
        </w:rPr>
        <w:t xml:space="preserve"> O sistema deve permitir que o médico execute comandos responsivos de zoom horizontal e vertical e isole montagens de canais focais diretamente no dashboard.</w:t>
      </w:r>
    </w:p>
    <w:p w:rsidR="00000000" w:rsidDel="00000000" w:rsidP="00000000" w:rsidRDefault="00000000" w:rsidRPr="00000000" w14:paraId="000000E4">
      <w:pPr>
        <w:spacing w:after="0" w:line="360" w:lineRule="auto" w:before="0"/>
        <w:ind w:left="709" w:firstLine="0"/>
        <w:jc w:val="both"/>
        <w:rPr/>
      </w:pPr>
      <w:r>
        <w:t>7 – Solicitar Análise Preditiva: o sistema deve acionar o modelo CNN-BiLSTM sobre um exame EDF já importado para gerar probabilidades ictais por intervalo e destacar trechos suspeitos para revisão médica.</w:t>
      </w:r>
    </w:p>
    <w:p w:rsidR="00000000" w:rsidDel="00000000" w:rsidP="00000000" w:rsidRDefault="00000000" w:rsidRPr="00000000" w14:paraId="000000E5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8 – Exibir Justificativa Visual (XAI):</w:t>
      </w:r>
      <w:r>
        <w:rPr>
          <w:rFonts w:ascii="Arial" w:hAnsi="Arial"/>
          <w:b w:val="0"/>
          <w:color w:val="000000"/>
          <w:sz w:val="24"/>
        </w:rPr>
        <w:t xml:space="preserve"> O sistema deve sobrepor um mapa de calor gerado com os valores do algoritmo SHAP sobre o traçado original do EEG, destacando em vermelho os trechos de tempo determinantes para o diagnóstico da máquina.</w:t>
      </w:r>
    </w:p>
    <w:p w:rsidR="00000000" w:rsidDel="00000000" w:rsidP="00000000" w:rsidRDefault="00000000" w:rsidRPr="00000000" w14:paraId="000000E6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9 – Emitir Laudo Médico:</w:t>
      </w:r>
      <w:r>
        <w:rPr>
          <w:rFonts w:ascii="Arial" w:hAnsi="Arial"/>
          <w:b w:val="0"/>
          <w:color w:val="000000"/>
          <w:sz w:val="24"/>
        </w:rPr>
        <w:t xml:space="preserve"> O sistema deve disponibilizar um campo de texto descritivo para que o especialista redija e formalize o laudo definitivo do exame, integrando a triagem analítica.</w:t>
      </w:r>
    </w:p>
    <w:p w:rsidR="00000000" w:rsidDel="00000000" w:rsidP="00000000" w:rsidRDefault="00000000" w:rsidRPr="00000000" w14:paraId="000000E7">
      <w:pPr>
        <w:keepNext/>
        <w:spacing w:after="80" w:line="360" w:lineRule="auto" w:before="160"/>
        <w:ind w:firstLine="0" w:lef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Requisitos Não Funcionais:</w:t>
      </w:r>
    </w:p>
    <w:p w:rsidR="00000000" w:rsidDel="00000000" w:rsidP="00000000" w:rsidRDefault="00000000" w:rsidRPr="00000000" w14:paraId="000000E8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1 – Desempenho (Processamento Assíncrono):</w:t>
      </w:r>
      <w:r>
        <w:rPr>
          <w:rFonts w:ascii="Arial" w:hAnsi="Arial"/>
          <w:b w:val="0"/>
          <w:color w:val="000000"/>
          <w:sz w:val="24"/>
        </w:rPr>
        <w:t xml:space="preserve"> A execução do pipeline de engenharia de features matemáticas e inferência da rede neural profunda não deve bloquear ou congelar a interface de visualização do usuário (client-side).</w:t>
      </w:r>
    </w:p>
    <w:p w:rsidR="00000000" w:rsidDel="00000000" w:rsidP="00000000" w:rsidRDefault="00000000" w:rsidRPr="00000000" w14:paraId="000000E9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 – Compatibilidade e Portabilidade:</w:t>
      </w:r>
      <w:r>
        <w:rPr>
          <w:rFonts w:ascii="Arial" w:hAnsi="Arial"/>
          <w:b w:val="0"/>
          <w:color w:val="000000"/>
          <w:sz w:val="24"/>
        </w:rPr>
        <w:t xml:space="preserve"> O software deve ser executado e renderizado com total fidelidade diretamente através de navegadores web modernos compatíveis com os padrões HTML5 e JavaScript.</w:t>
      </w:r>
    </w:p>
    <w:p w:rsidR="00000000" w:rsidDel="00000000" w:rsidP="00000000" w:rsidRDefault="00000000" w:rsidRPr="00000000" w14:paraId="000000EA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3 – Segurança e Privacidade:</w:t>
      </w:r>
      <w:r>
        <w:rPr>
          <w:rFonts w:ascii="Arial" w:hAnsi="Arial"/>
          <w:b w:val="0"/>
          <w:color w:val="000000"/>
          <w:sz w:val="24"/>
        </w:rPr>
        <w:t xml:space="preserve"> o sistema deve restringir rotas clínicas a usuários autenticados, armazenar senhas por hash e evitar exposição desnecessária de dados. A versão atual não implementa consentimento, política automatizada de retenção, criptografia específica dos EDF em repouso ou trilha completa de auditoria; esses controles são necessários antes do uso com dados identificáveis.</w:t>
      </w:r>
    </w:p>
    <w:p w:rsidR="00000000" w:rsidDel="00000000" w:rsidP="00000000" w:rsidRDefault="00000000" w:rsidRPr="00000000" w14:paraId="000000EB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4 – Usabilidade e Responsividade:</w:t>
      </w:r>
      <w:r>
        <w:rPr>
          <w:rFonts w:ascii="Arial" w:hAnsi="Arial"/>
          <w:b w:val="0"/>
          <w:color w:val="000000"/>
          <w:sz w:val="24"/>
        </w:rPr>
        <w:t xml:space="preserve"> A interface analítica deve ser projetada com foco em ergonomia e usabilidade médica, garantindo a exibição fluida e nítida das séries temporais de alta densidade em monitores de alta resolução.</w:t>
      </w:r>
    </w:p>
    <w:p w:rsidR="00000000" w:rsidDel="00000000" w:rsidP="00000000" w:rsidRDefault="00000000" w:rsidRPr="00000000" w14:paraId="000000EC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5 – Confiabilidade e Robustez de I/O:</w:t>
      </w:r>
      <w:r>
        <w:rPr>
          <w:rFonts w:ascii="Arial" w:hAnsi="Arial"/>
          <w:b w:val="0"/>
          <w:color w:val="000000"/>
          <w:sz w:val="24"/>
        </w:rPr>
        <w:t xml:space="preserve"> A arquitetura de persistência híbrida deve suportar o armazenamento íntegro e a rápida velocidade de entrada e saída (I/O) exigida por arquivos pesados de Big Data na saúde.</w:t>
      </w:r>
    </w:p>
    <w:p w:rsidR="00000000" w:rsidDel="00000000" w:rsidP="00000000" w:rsidRDefault="00000000" w:rsidRPr="00000000" w14:paraId="000000EE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t87tofhbiofd" w:id="25"/>
      <w:bookmarkEnd w:id="2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4.4 Casos de uso</w:t>
      </w:r>
    </w:p>
    <w:p w:rsidR="00000000" w:rsidDel="00000000" w:rsidP="00000000" w:rsidRDefault="00000000" w:rsidRPr="00000000" w14:paraId="000000EF">
      <w:pPr>
        <w:keepNext w:val="0"/>
        <w:spacing w:line="360" w:lineRule="auto" w:before="0" w:after="0"/>
        <w:ind w:firstLine="709" w:left="0"/>
        <w:jc w:val="both"/>
        <w:rPr/>
      </w:pPr>
      <w:r>
        <w:t>Segundo Pressman e Maxim (2016), os casos de uso descrevem as interações entre atores e funcionalidades do sistema. Neste protótipo, o médico é o ator principal; a extração de características e a inferência são operações internas acionadas após a solicitação de análise de um exame previamente importado.</w:t>
      </w:r>
    </w:p>
    <w:p w:rsidR="00000000" w:rsidDel="00000000" w:rsidP="00000000" w:rsidRDefault="00000000" w:rsidRPr="00000000" w14:paraId="000000F0">
      <w:pPr>
        <w:keepNext w:val="0"/>
        <w:spacing w:line="360" w:lineRule="auto" w:before="0" w:after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Ao solicitar a análise preditiva, o médico seleciona um exame previamente importado. A extração de métricas e a execução do modelo constituem operações internas obrigatórias do sistema, e não casos de uso iniciados diretamente pelo médico. A visualização da explicação permanece opcional durante a revisão do resultado.</w:t>
      </w:r>
    </w:p>
    <w:p w:rsidR="00000000" w:rsidDel="00000000" w:rsidP="00000000" w:rsidRDefault="00000000" w:rsidRPr="00000000" w14:paraId="000000F1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2 – Diagrama de Casos de Uso da Plataforma Web.</w:t>
      </w:r>
    </w:p>
    <w:p w:rsidR="00000000" w:rsidDel="00000000" w:rsidP="00000000" w:rsidRDefault="00000000" w:rsidRPr="00000000" w14:paraId="000000F2">
      <w:pPr>
        <w:keepNext/>
        <w:spacing w:line="240" w:lineRule="auto" w:after="60" w:before="60"/>
        <w:ind w:firstLine="0" w:left="0"/>
        <w:jc w:val="center"/>
        <w:rPr/>
      </w:pP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4896000" cy="3411353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411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20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0F5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1 – Documentação do caso de uso: Autenticar Usuário.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Autenticar Usuário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autenticação de segurança, permitindo que o médico insira suas credenciais para obter acesso seguro ao painel de controle da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previamente cadastrado no banco de dados do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usuário é autenticado, um token de sessão seguro (JWT) é gerado e o dashboard principal é carregado no frontend.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Acessar a tela inicial da plataforma web e preencher os campos de e-mail e senha.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Receber os dados de login através da API FastAPI de forma assíncrona.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Clicar no botão "Entrar".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Validar as credenciais comparando a senha informada com o hash criptográfico armazenado no PostgreSQL. Se válidas, liberar o acesso à área restrita.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Não permitir campos em branco no formulário de login.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/>
              <w:spacing w:line="240" w:lineRule="auto" w:before="40" w:after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Bloquear a autenticação caso a combinação de e-mail e senha seja inválida. 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1E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2 – Documentação do caso de uso: Gerenciar Pacientes.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Gerenciar Pacientes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inclusão, alteração ou consulta dos dados cadastrais e prontuários médicos dos pacientes na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devidamente autenticado no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Os registros do paciente são atualizados ou salvos de maneira consistente no banco de dados relacional.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Selecionar a opção de menu "Pacientes" e clicar em "Novo Cadastro".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Exibir o formulário de cadastro de paciente na interface React.js.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Preencher as informações obrigatórias (Nome, Data de Nascimento, Gênero e CPF) e clicar em "Salvar".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Validar a integridade das informações e persistir os dados na tabela correspondente do PostgreSQL, exibindo mensagem de sucesso.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Impedir a gravação de dados caso o CPF informado seja inválido ou já conste no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/>
              <w:spacing w:line="240" w:lineRule="auto" w:before="40" w:after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/>
              <w:spacing w:after="40" w:before="40" w:lineRule="auto" w:line="2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Validar se os campos obrigatórios foram preenchidos corretamente. 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46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3 – Documentação do caso de uso: Importar Exame (.EDF).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Importar Exame (.EDF)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ingestão de arquivos biomédicos padronizados no formato .EDF para o servidor, vinculando o exame ao prontuário do paciente selecionado.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autenticado e o paciente correspondente selecionado em tela.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arquivo binário do exame é armazenado no sistema de arquivos estruturado e seus metadados são indexados no banco de dados.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Clicar na opção "Importar Novo Exame" dentro do perfil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Abrir a caixa de seleção de arquivos locais do sistema operacional.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Selecionar o arquivo com extensão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desejado e confirmar o envio.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Transferir o arquivo via requisição Multipart e executar o processamento assíncrono do cabeçalho (</w:t>
            </w:r>
            <w:r w:rsidDel="00000000" w:rsidR="00000000" w:rsidRPr="00000000">
              <w:rPr>
                <w:rFonts w:ascii="Arial" w:hAnsi="Arial"/>
                <w:b w:val="0"/>
                <w:i w:val="1"/>
                <w:iCs w:val="1"/>
                <w:color w:val="000000"/>
                <w:sz w:val="20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) do arquivo via biblioteca MNE-Python, extraindo canais e taxa de amostragem.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Recusar arquivos que não possuam estritamente a extensão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/>
              <w:spacing w:after="40" w:before="40" w:line="240" w:lineRule="auto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Verificar a integridade do cabeçalho binário do arquivo para atestar que o sinal não está corrompido antes do salvamento. 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6B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4 – Documentação do caso de uso: Visualizar Sinais de EEG.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Visualizar Sinais de EEG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plotagem gráfica e interativa das séries temporais multicanais das ondas cerebrais de EEG na interface web do usuário.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arquivo do exame já deve ter sido importado com sucesso na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Os traçados de sinais elétricos são exibidos de forma reativa e fluida em tela, permitindo manipulações visuais pelo usuário.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Selecionar o exame de EEG correspondente na linha do tempo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Buscar os blocos de vetores temporais do arquivo de sinais e renderizar os canais na tela usando componentes gráficos de alta performance.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Executar interações na tela, como comandos de zoom horizontal/vertical e seleção dinâmica de montagens de canais específicos.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Atualizar as escalas dos eixos, recalculando a renderização visual das ondas cerebrais em tempo real conforme os filtros acionados.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O sistema deve limitar a quantidade de pontos simultâneos renderizados na tela para evitar gargalos de memória e travamentos na interface React.js.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91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5 – Documentação do caso de uso: Solicitar Análise Preditiva.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Solicitar Análise Preditiva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detalha o acionamento do pipeline de inteligência artificial para realizar a triagem e a predição automática de descargas epileptiformes e crises no sinal.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O arquivo EDF correspondente deve estar previamente importado e carregado no backend.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As probabilidades temporais, os trechos suspeitos e os metadados da análise são persistidos e disponibilizados na interface.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Clicar no comando "Solicitar Análise da IA" localizado no painel de visualização do exame.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r>
              <w:t>2 – Extrair 15 características por canal e por janela, incluindo Entropia de Shannon e medidas de Dinâmica Simbólica.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r>
              <w:t>3 – Alimentar a rede CNN-BiLSTM com as sequências de características para estimar a probabilidade ictal em cada passo temporal.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Persistir o score probabilístico resultante e sinalizar graficamente no dashboard quais trechos de tempo apresentam indícios patológicos.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Garantir processamento estritamente assíncrono no backend via FastAPI para que a requisição de classificação em segundo plano não interrompa o uso do sistema médico.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B5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6 – Documentação do caso de uso: Visualizar Explicação (XAI).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Visualizar Explicação (XAI)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exibição das justificativas fisiológicas tomadas pela rede neural profunda através da plotagem de mapas de relevância gerados pelo algoritmo SHAP.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A análise preditiva descrita no Quadro 5 deve estar concluída e possuir uma sequência de pico válida.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Gráficos explicativos com mapas de calor coloridos são sobrepostos às ondas de EEG para inspeção do médico.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Acionar a opção "Exibir Justificativa / Mapa SHAP" no painel de resultados preditivos.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2 - Associar os valores positivos de Gradient SHAP às features, aos canais e aos intervalos temporais da sequência de pico.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3 - Projetar as relevâncias por canal e intervalo de segundos sobre o traçado exibido, mantendo explícito que a explicação não é calculada por amostra bruta.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Validar que o mapa gerado corresponda exatamente à janela de tempo selecionada para evitar desalinhamento visual entre o sinal original e a marcação de explicabilidade.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keepNext w:val="0"/>
        <w:spacing w:line="240" w:lineRule="auto" w:after="200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DB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7 – Documentação do caso de uso: Emitir Laudo Médico.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Emitir Laudo Médico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conclusão do exame, permitindo que o especialista insira seu parecer final baseando-se em suas conclusões e na segunda opinião fornecida pela IA.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ter revisado as análises visuais e preditivas geradas no prontuário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laudo clínico final é salvo em formato definitivo e o status do exame é modificado para "Concluído".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Acessar o campo de digitação textual para o laudo médico final.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Digitar as impressões clínicas e decidir se confirma ou desconsidera os alertas emitidos pela triagem do algoritmo inteligente.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Clicar na ação "Emitir Laudo Finalizado".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4 - Salvar o texto associado ao exame, alterar o status para Concluído e impedir novas edições.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1 - Impedir a emissão se o texto estiver vazio. 2 - Informar que não há rascunho persistente, campos estruturados ou assinatura digital nesta versão.</w:t>
            </w:r>
          </w:p>
        </w:tc>
      </w:tr>
    </w:tbl>
    <w:p w:rsidR="00000000" w:rsidDel="00000000" w:rsidP="00000000" w:rsidRDefault="00000000" w:rsidRPr="00000000" w14:paraId="000001F7">
      <w:pPr>
        <w:keepNext w:val="0"/>
        <w:spacing w:line="240" w:lineRule="auto" w:after="200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F9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lkx4cwbg0vu5" w:id="26"/>
      <w:bookmarkEnd w:id="2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4.5 Arquitetura do Sistema 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1FA">
      <w:pPr>
        <w:keepNext w:val="0"/>
        <w:spacing w:after="0" w:line="360" w:lineRule="auto" w:before="0"/>
        <w:ind w:firstLine="709" w:left="0"/>
        <w:jc w:val="both"/>
        <w:rPr/>
      </w:pPr>
      <w:r>
        <w:t>A aplicação adota uma organização cliente-servidor: a interface React se comunica com a API FastAPI por HTTP, enquanto o servidor mantém as regras de negócio, a persistência e o processamento de EEG. Essa separação facilita a manutenção dos componentes (RICHARDS, 2015). A análise de IA é solicitada separadamente após a importação do EDF e executada em segundo plano.</w:t>
      </w:r>
    </w:p>
    <w:p w:rsidR="00000000" w:rsidDel="00000000" w:rsidP="00000000" w:rsidRDefault="00000000" w:rsidRPr="00000000" w14:paraId="000001FB">
      <w:pPr>
        <w:keepNext w:val="0"/>
        <w:spacing w:after="0" w:line="360" w:lineRule="auto" w:before="0"/>
        <w:ind w:firstLine="709" w:left="0"/>
        <w:jc w:val="both"/>
        <w:rPr/>
      </w:pPr>
      <w:r>
        <w:t>O frontend é uma aplicação React e TypeScript. O traçado multicanal utiliza Recharts e oferece navegação temporal, seleção de canais e sobreposição de trechos suspeitos. O backend, em Python e FastAPI, utiliza MNE-Python na leitura do EDF e TensorFlow/Keras na inferência da CNN-BiLSTM. A instalação local usa banco relacional configurável; PostgreSQL é previsto no projeto, mas SQLite também pode ser usado no ambiente de desenvolvimento.</w:t>
      </w:r>
    </w:p>
    <w:p w:rsidR="00000000" w:rsidDel="00000000" w:rsidP="00000000" w:rsidRDefault="00000000" w:rsidRPr="00000000" w14:paraId="000001FC">
      <w:pPr>
        <w:keepNext w:val="0"/>
        <w:spacing w:after="0" w:line="360" w:lineRule="auto" w:before="0"/>
        <w:ind w:firstLine="709" w:left="0"/>
        <w:jc w:val="both"/>
        <w:rPr/>
      </w:pPr>
      <w:r>
        <w:t>Após o envio do EDF, a API valida e armazena o arquivo e registra o exame. Quando o médico solicita a análise, o pipeline extrai 15 características por canal em janelas temporais e forma sequências para a CNN-BiLSTM, que produz probabilidades ictais ao longo do tempo. A explicação Gradient SHAP é calculada para a sequência de pico e projetada por canal e intervalo de segundos na interface. Essa projeção não atribui relevância a cada amostra bruta do sinal e não substitui a interpretação médica.</w:t>
      </w:r>
    </w:p>
    <w:p w:rsidR="00000000" w:rsidDel="00000000" w:rsidP="00000000" w:rsidRDefault="00000000" w:rsidRPr="00000000" w14:paraId="000001FD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7tqzvtrdag3" w:id="27"/>
      <w:bookmarkEnd w:id="2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4.6 Fluxograma</w:t>
      </w:r>
    </w:p>
    <w:p w:rsidR="00000000" w:rsidDel="00000000" w:rsidP="00000000" w:rsidRDefault="00000000" w:rsidRPr="00000000" w14:paraId="000001F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Para mapear de maneira lógica a dinâmica operacional e a rastreabilidade dos dados na plataforma web proposta, desenvolveu-se o fluxograma detalhado na Figura 3. Conforme preconizado pelas boas práticas de Engenharia de Software, o fluxo foi segmentado visualmente em três macrocamadas interdependentes e síncronas/assíncronas, diferenciadas por meio de uma paleta de cores funcional para facilitar a compreensão da arquitetura lógica do sistema:</w:t>
      </w:r>
    </w:p>
    <w:p w:rsidR="00000000" w:rsidDel="00000000" w:rsidP="00000000" w:rsidRDefault="00000000" w:rsidRPr="00000000" w14:paraId="000001FF">
      <w:pPr>
        <w:spacing w:after="0" w:afterAutospacing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Camada de Interface (Em Azul):</w:t>
      </w:r>
      <w:r>
        <w:rPr>
          <w:rFonts w:ascii="Arial" w:hAnsi="Arial"/>
          <w:b w:val="0"/>
          <w:color w:val="000000"/>
          <w:sz w:val="24"/>
        </w:rPr>
        <w:t xml:space="preserve"> Representa o frontend em React.js, sendo a camada de interação direta do médico neurologista com o sistema.</w:t>
      </w:r>
    </w:p>
    <w:p w:rsidR="00000000" w:rsidDel="00000000" w:rsidP="00000000" w:rsidRDefault="00000000" w:rsidRPr="00000000" w14:paraId="00000200">
      <w:pPr>
        <w:spacing w:after="0" w:afterAutospacing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Camada de Servidor (Em Verde):</w:t>
      </w:r>
      <w:r>
        <w:rPr>
          <w:rFonts w:ascii="Arial" w:hAnsi="Arial"/>
          <w:b w:val="0"/>
          <w:color w:val="000000"/>
          <w:sz w:val="24"/>
        </w:rPr>
        <w:t xml:space="preserve"> Representa o backend estruturado em FastAPI, encarregado da lógica de negócios, segurança de formato e persistência de metadados no banco PostgreSQL.</w:t>
      </w:r>
    </w:p>
    <w:p w:rsidR="00000000" w:rsidDel="00000000" w:rsidP="00000000" w:rsidRDefault="00000000" w:rsidRPr="00000000" w14:paraId="00000201">
      <w:p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Camada de Pipeline de IA (Em Roxo):</w:t>
      </w:r>
      <w:r>
        <w:rPr>
          <w:rFonts w:ascii="Arial" w:hAnsi="Arial"/>
          <w:b w:val="0"/>
          <w:color w:val="000000"/>
          <w:sz w:val="24"/>
        </w:rPr>
        <w:t xml:space="preserve"> Representa o motor de processamento matemático e inferência de redes neurais profundas em Python.</w:t>
      </w:r>
    </w:p>
    <w:p w:rsidR="00000000" w:rsidDel="00000000" w:rsidP="00000000" w:rsidRDefault="00000000" w:rsidRPr="00000000" w14:paraId="00000202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lógica de processamento mapeada no diagrama cumpre rigorosamente quatro fases sequenciais estruturadas:</w:t>
      </w:r>
    </w:p>
    <w:p w:rsidR="00000000" w:rsidDel="00000000" w:rsidP="00000000" w:rsidRDefault="00000000" w:rsidRPr="00000000" w14:paraId="00000203">
      <w:pPr>
        <w:spacing w:after="0" w:before="0" w:line="360" w:lineRule="auto"/>
        <w:ind w:left="709" w:firstLine="0"/>
        <w:jc w:val="both"/>
        <w:rPr/>
      </w:pPr>
      <w:r>
        <w:t>1. Autenticação e Gestão Cadastral: O fluxo inicia-se com a validação das credenciais do usuário na tela de login. Na busca pelo prontuário, caso o paciente pesquisado via CPF não conste na base, a interface força o redirecionamento para um formulário de cadastro simplificado, assegurando as restrições de integridade referencial antes da abertura do exame.</w:t>
      </w:r>
    </w:p>
    <w:p w:rsidR="00000000" w:rsidDel="00000000" w:rsidP="00000000" w:rsidRDefault="00000000" w:rsidRPr="00000000" w14:paraId="00000204">
      <w:pPr>
        <w:spacing w:after="0" w:before="0" w:line="360" w:lineRule="auto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2. Ingestão e Validação de Arquivo:</w:t>
      </w:r>
      <w:r>
        <w:rPr>
          <w:rFonts w:ascii="Arial" w:hAnsi="Arial"/>
          <w:b w:val="0"/>
          <w:color w:val="000000"/>
          <w:sz w:val="24"/>
        </w:rPr>
        <w:t xml:space="preserve"> O arquivo biomédico com extensão .EDF é submetido pela interface via requisição HTTP POST Multipart. O servidor FastAPI intercepta o arquivo e valida a integridade do seu cabeçalho (header); caso haja inconformidade ou erro de formato, o fluxo é interrompido com uma notificação de erro ao cliente, impedindo a persistência de dados corrompidos.</w:t>
      </w:r>
    </w:p>
    <w:p w:rsidR="00000000" w:rsidDel="00000000" w:rsidP="00000000" w:rsidRDefault="00000000" w:rsidRPr="00000000" w14:paraId="00000205">
      <w:pPr>
        <w:spacing w:after="0" w:before="0" w:line="360" w:lineRule="auto"/>
        <w:ind w:left="709" w:firstLine="0"/>
        <w:jc w:val="both"/>
        <w:rPr/>
      </w:pPr>
      <w:r>
        <w:t>3. Processamento Inteligente Assíncrono: após a importação, o médico solicita a análise do exame. O servidor executa em segundo plano a extração das 15 características por canal e a inferência CNN-BiLSTM. As probabilidades são agregadas em trechos temporais suspeitos; o SHAP explica a sequência de pico. Os metadados e resultados são registrados no banco relacional configurado, enquanto EDF e imagens permanecem em disco.</w:t>
      </w:r>
    </w:p>
    <w:p w:rsidR="00000000" w:rsidDel="00000000" w:rsidP="00000000" w:rsidRDefault="00000000" w:rsidRPr="00000000" w14:paraId="00000206">
      <w:pPr>
        <w:spacing w:after="0" w:before="0" w:line="360" w:lineRule="auto"/>
        <w:ind w:left="709" w:firstLine="0"/>
        <w:jc w:val="both"/>
        <w:rPr/>
      </w:pPr>
      <w:r>
        <w:t>4. Conclusão Clínico-Administrativa: a interface apresenta o EEG, os trechos suspeitos e, quando disponível, a relevância SHAP por canal e intervalo. O médico pode registrar seu parecer no laudo. A saída da IA é apoio à revisão, não diagnóstico autônomo.</w:t>
      </w:r>
    </w:p>
    <w:p w:rsidR="00000000" w:rsidDel="00000000" w:rsidP="00000000" w:rsidRDefault="00000000" w:rsidRPr="00000000" w14:paraId="00000207">
      <w:pPr>
        <w:keepNext/>
        <w:spacing w:after="80" w:line="240" w:lineRule="auto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3 – Fluxograma de Execução e Ciclo de Vida dos Dados da Plataforma.</w:t>
      </w:r>
    </w:p>
    <w:p w:rsidR="00000000" w:rsidDel="00000000" w:rsidP="00000000" w:rsidRDefault="00000000" w:rsidRPr="00000000" w14:paraId="00000209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9375" cy="5112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6622" l="0" r="0" t="5836"/>
                    <a:stretch>
                      <a:fillRect/>
                    </a:stretch>
                  </pic:blipFill>
                  <pic:spPr>
                    <a:xfrm>
                      <a:off x="0" y="0"/>
                      <a:ext cx="3049375" cy="5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0B">
      <w:pPr>
        <w:pStyle w:val="Heading2"/>
        <w:keepNext/>
        <w:spacing w:line="240" w:lineRule="auto" w:before="160" w:after="80"/>
        <w:ind w:firstLine="0" w:left="0"/>
        <w:jc w:val="left"/>
        <w:rPr>
          <w:color w:val="ff0000"/>
        </w:rPr>
      </w:pPr>
      <w:bookmarkStart w:colFirst="0" w:colLast="0" w:name="_lwl83x1htoss" w:id="28"/>
      <w:bookmarkEnd w:id="2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4.7 Modelo Entidade Relacionamento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20C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Conforme abordado por Elmasri e Navathe (2011), o Modelo Entidade-Relacionamento (MER) consiste em uma técnica de modelagem conceitual de alto nível amplamente utilizada no design de bancos de dados, permitindo mapear de forma abstrata as estruturas de dados e os requisitos de informação de um ecossistema de software. Essa abordagem viabiliza a representação visual do domínio do sistema por meio da identificação de entidades abstratas ou objetos do mundo real, de seus respectivos atributos qualificadores e dos relacionamentos lógicos estabelecidos entre essas estruturas.</w:t>
      </w:r>
    </w:p>
    <w:p w:rsidR="00000000" w:rsidDel="00000000" w:rsidP="00000000" w:rsidRDefault="00000000" w:rsidRPr="00000000" w14:paraId="0000020D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Para representar a persistência implementada no protótipo, o modelo relaciona quatro entidades principais: Usuario, Paciente, Exame e Predicao_IA. O texto do laudo permanece associado ao Exame, enquanto as saídas do modelo e a referência do SHAP são armazenadas em Predicao_IA. Não existe entidade específica de auditoria na versão atual.</w:t>
      </w:r>
    </w:p>
    <w:p w:rsidR="00000000" w:rsidDel="00000000" w:rsidP="00000000" w:rsidRDefault="00000000" w:rsidRPr="00000000" w14:paraId="0000020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Usuario armazena dados profissionais e o hash da senha dos médicos autorizados. Paciente centraliza os dados cadastrais e se relaciona aos exames registrados. Embora o sistema possua autenticação, a implementação atual não equivale a conformidade integral com a LGPD.</w:t>
      </w:r>
    </w:p>
    <w:p w:rsidR="00000000" w:rsidDel="00000000" w:rsidP="00000000" w:rsidRDefault="00000000" w:rsidRPr="00000000" w14:paraId="0000020F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Exame registra o arquivo EDF, os metadados extraídos, o estado do processamento e o texto livre do laudo. Depois da emissão, o laudo torna-se imutável. Não há rascunho persistente, campos clínicos estruturados ou assinatura digital nesta versão.</w:t>
      </w:r>
    </w:p>
    <w:p w:rsidR="00000000" w:rsidDel="00000000" w:rsidP="00000000" w:rsidRDefault="00000000" w:rsidRPr="00000000" w14:paraId="00000210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Predicao_IA registra o resultado analítico, o score, os trechos suspeitos e a referência do mapa SHAP. Arquivos EDF, modelos e imagens permanecem no sistema de arquivos e são referenciados pelo banco.</w:t>
      </w:r>
    </w:p>
    <w:p w:rsidR="00000000" w:rsidDel="00000000" w:rsidP="00000000" w:rsidRDefault="00000000" w:rsidRPr="00000000" w14:paraId="00000216">
      <w:pPr>
        <w:keepNext/>
        <w:spacing w:after="80" w:line="240" w:lineRule="auto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4 – Modelo Entidade Relacionamento.</w:t>
      </w:r>
    </w:p>
    <w:p w:rsidR="00000000" w:rsidDel="00000000" w:rsidP="00000000" w:rsidRDefault="00000000" w:rsidRPr="00000000" w14:paraId="00000217">
      <w:pPr>
        <w:keepNext/>
        <w:spacing w:after="60" w:line="240" w:lineRule="auto" w:before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120905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209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1A">
      <w:pPr>
        <w:pStyle w:val="Heading2"/>
        <w:keepNext/>
        <w:spacing w:line="240" w:lineRule="auto" w:before="160" w:after="80"/>
        <w:ind w:firstLine="0" w:left="0"/>
        <w:jc w:val="left"/>
        <w:rPr>
          <w:color w:val="ff0000"/>
        </w:rPr>
      </w:pPr>
      <w:r>
        <w:rPr>
          <w:rFonts w:ascii="Arial" w:hAnsi="Arial"/>
          <w:b/>
          <w:color w:val="000000"/>
          <w:sz w:val="24"/>
        </w:rPr>
        <w:t>4.8 Protótipos de baixa fidelidade</w:t>
      </w:r>
    </w:p>
    <w:p w:rsidR="00000000" w:rsidDel="00000000" w:rsidP="00000000" w:rsidRDefault="00000000" w:rsidRPr="00000000" w14:paraId="0000021B">
      <w:pPr>
        <w:keepNext w:val="0"/>
        <w:spacing w:after="0" w:before="0" w:lineRule="auto" w:line="360"/>
        <w:ind w:firstLine="709" w:left="0"/>
        <w:jc w:val="both"/>
        <w:rPr/>
      </w:pPr>
      <w:r>
        <w:t>O desenvolvimento de Sistemas de Apoio à Decisão Clínica (SADC) exige uma atenção rigorosa à usabilidade e à interação, visto que a eficácia da ferramenta está diretamente ligada à capacidade do profissional de saúde em interpretar os dados de forma ágil, intuitiva e sem sobrecarga cognitiva. Antes de avançar para a implementação em código, a construção de interfaces de usuário (User Interfaces - UI) requer um planejamento visual rigoroso.</w:t>
      </w:r>
    </w:p>
    <w:p w:rsidR="00000000" w:rsidDel="00000000" w:rsidP="00000000" w:rsidRDefault="00000000" w:rsidRPr="00000000" w14:paraId="0000021C">
      <w:pPr>
        <w:keepNext w:val="0"/>
        <w:spacing w:after="0" w:before="0" w:lineRule="auto" w:line="360"/>
        <w:ind w:firstLine="709" w:left="0"/>
        <w:jc w:val="both"/>
        <w:rPr/>
      </w:pPr>
      <w:r>
        <w:t>Para esse efeito, a utilização de wireframes e protótipos constitui uma ferramenta metodológica essencial. Segundo Pressman e Maxim (2016), a prototipação de telas permite que os programadores e os futuros usuárioes visualizem a disposição das informações, o fluxo de navegação e as funcionalidades primárias do software antes da fase de codificação final, mitigando riscos, retrabalho e falhas de comunicação.</w:t>
      </w:r>
    </w:p>
    <w:p w:rsidR="00000000" w:rsidDel="00000000" w:rsidP="00000000" w:rsidRDefault="00000000" w:rsidRPr="00000000" w14:paraId="0000021D">
      <w:pPr>
        <w:keepNext w:val="0"/>
        <w:spacing w:after="0" w:before="0" w:lineRule="auto" w:line="360"/>
        <w:ind w:firstLine="709" w:left="0"/>
        <w:jc w:val="both"/>
        <w:rPr/>
      </w:pPr>
      <w:r>
        <w:t>Neste contexto, visando materializar a proposta da plataforma Web de apoio à análise neurológica desenvolvida neste projeto, foram elaborados wireframes que representam o fluxo de interação do especialista médico com o sistema. A conceção destas interfaces teve como premissa principal integrar a complexidade da visualização de sinais de Eletroencefalograma (EEG) e os resultados preditivos do modelo de Inteligência Artificial Explicável (XAI) num ambiente limpo e responsivo.</w:t>
      </w:r>
    </w:p>
    <w:p w:rsidR="00000000" w:rsidDel="00000000" w:rsidP="00000000" w:rsidRDefault="00000000" w:rsidRPr="00000000" w14:paraId="0000021E">
      <w:pPr>
        <w:keepNext w:val="0"/>
        <w:spacing w:after="0" w:before="0" w:lineRule="auto" w:line="360"/>
        <w:ind w:firstLine="709" w:left="0"/>
        <w:jc w:val="both"/>
        <w:rPr>
          <w:color w:val="ff0000"/>
        </w:rPr>
      </w:pPr>
      <w:r>
        <w:t>As figuras a seguir apresentam os principais telas projetados, detalhando a jornada do usuário desde a autenticação no sistema, passando pela gestão de prontuários, até à área central de análise visual e emissão de laudos com o suporte da rede neural.</w:t>
      </w:r>
    </w:p>
    <w:p w:rsidR="00000000" w:rsidDel="00000000" w:rsidP="00000000" w:rsidRDefault="00000000" w:rsidRPr="00000000" w14:paraId="0000021F">
      <w:pPr>
        <w:keepNext w:val="0"/>
        <w:pageBreakBefore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5 apresenta a tela de login do sistema, porta de entrada para a plataforma de suporte à decisão clínica. Centralizada e com design minimalista, a interface conta com campos para a inserção do e-mail e da senha de acesso, além do botão de ação principal "Entrar no Sistema". O layout foi projetado com tipografia limpa, priorizando a legibilidade imediata e destacando no rodapé que o acesso é restrito aos profissionais credenciados.</w:t>
      </w:r>
    </w:p>
    <w:p>
      <w:pPr>
        <w:keepNext/>
        <w:spacing w:line="240" w:lineRule="auto" w:before="200" w:after="8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5 – Tela de login do sistema.</w:t>
      </w:r>
    </w:p>
    <w:p w:rsidR="00000000" w:rsidDel="00000000" w:rsidP="00000000" w:rsidRDefault="00000000" w:rsidRPr="00000000" w14:paraId="00000220">
      <w:pPr>
        <w:keepNext/>
        <w:spacing w:after="60" w:before="60" w:line="240" w:lineRule="auto"/>
        <w:ind w:firstLine="0" w:left="0"/>
        <w:jc w:val="center"/>
        <w:rPr/>
      </w:pP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4896000" cy="215721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309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15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21">
      <w:pPr>
        <w:keepNext w:val="0"/>
        <w:spacing w:after="200" w:line="240" w:lineRule="auto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2B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6 apresenta a interface de recuperação de senha. Na versão acadêmica, o fluxo é apenas simulado: a API devolve uma resposta neutra, mas não envia mensagem nem redefine credenciais. A recuperação operacional por e-mail permanece como trabalho futuro.</w:t>
      </w:r>
    </w:p>
    <w:p>
      <w:pPr>
        <w:keepNext/>
        <w:spacing w:line="240" w:lineRule="auto" w:before="200" w:after="8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6 – Janela modal de recuperação de senha do sistema.</w:t>
      </w:r>
    </w:p>
    <w:p w:rsidR="00000000" w:rsidDel="00000000" w:rsidP="00000000" w:rsidRDefault="00000000" w:rsidRPr="00000000" w14:paraId="0000022C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4896000" cy="232050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2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2D">
      <w:pPr>
        <w:keepNext w:val="0"/>
        <w:spacing w:after="200" w:before="60" w:lineRule="auto" w:line="24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38">
      <w:pPr>
        <w:keepNext w:val="0"/>
        <w:spacing w:line="360" w:lineRule="auto" w:before="0" w:after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7 apresenta a tela inicial do sistema, também denominada Dashboard, que atua como o painel de controle principal para o especialista médico após a autenticação. A interface foi projetada para fornecer uma visão geral do ambiente clínico de forma clara e objetiva. O layout dispõe de um menu de navegação lateral e indicadores numéricos em destaque no topo, que resumem o volume de pacientes, exames em análise, laudos emitidos e a acurácia média do modelo preditivo. O centro da tela é ocupado por uma tabela de atividades recentes para o acompanhamento de status dos exames, finalizando com atalhos de acesso rápido na seção inferior para otimizar o fluxo de trabalho diário do profissional.</w:t>
      </w:r>
    </w:p>
    <w:p w:rsidR="00000000" w:rsidDel="00000000" w:rsidP="00000000" w:rsidRDefault="00000000" w:rsidRPr="00000000" w14:paraId="0000023A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7 – Tela inicial (Dashboard) e visão geral do sistema.</w:t>
      </w:r>
    </w:p>
    <w:p w:rsidR="00000000" w:rsidDel="00000000" w:rsidP="00000000" w:rsidRDefault="00000000" w:rsidRPr="00000000" w14:paraId="0000023B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6472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64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47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8 apresenta a interface de gestão de pacientes, dedicada ao registro e ao acompanhamento dos prontuários. A tela reúne pesquisa, cadastro, histórico de exames e situação do laudo, permitindo organizar o fluxo de trabalho do protótipo.</w:t>
      </w:r>
    </w:p>
    <w:p w:rsidR="00000000" w:rsidDel="00000000" w:rsidP="00000000" w:rsidRDefault="00000000" w:rsidRPr="00000000" w14:paraId="00000248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8 – Interface de gestão de pacientes e prontuários.</w:t>
      </w:r>
    </w:p>
    <w:p w:rsidR="00000000" w:rsidDel="00000000" w:rsidP="00000000" w:rsidRDefault="00000000" w:rsidRPr="00000000" w14:paraId="00000249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7587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7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51">
      <w:pPr>
        <w:keepNext w:val="0"/>
        <w:spacing w:after="0" w:before="0" w:lineRule="auto" w:line="360"/>
        <w:ind w:firstLine="709" w:left="0"/>
        <w:jc w:val="both"/>
        <w:rPr/>
      </w:pPr>
      <w:r>
        <w:t>A Figura 9 apresenta a interface de cadastro de um novo paciente, implementada no formato de janela sobreposta (modal). Acionada a partir da tela de gestão, a interface obscurece o plano de fundo para direcionar o foco do usuário ao formulário principal. O layout minimalista é composto por campos de entrada para os dados obrigatórios iniciais, como o nome completo e o CPF, além dos botões de confirmação ("Cadastrar Paciente") e cancelamento da ação. Esta abordagem de design permite a inserção ágil de informações no sistema sem a necessidade de redirecionamento de página, mantendo a fluidez do fluxo de trabalho clínico.</w:t>
      </w:r>
    </w:p>
    <w:p w:rsidR="00000000" w:rsidDel="00000000" w:rsidP="00000000" w:rsidRDefault="00000000" w:rsidRPr="00000000" w14:paraId="00000252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9 – Janela modal de cadastro de novo paciente.</w:t>
      </w:r>
    </w:p>
    <w:p w:rsidR="00000000" w:rsidDel="00000000" w:rsidP="00000000" w:rsidRDefault="00000000" w:rsidRPr="00000000" w14:paraId="00000253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8703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87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5E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10 apresenta a interface central do sistema, dedicada à exploração visual dos sinais de Eletroencefalograma (EEG) e ao suporte à decisão clínica. O layout encontra-se estruturado em três colunas principais que refletem o fluxo de trabalho do neurologista. A secção lateral esquerda exibe os dados do paciente e possibilita a importação de novos exames no formato padrão EDF. A área central renderiza as séries temporais dos canais do EEG, oferecendo controles interativos de escala e amplitude, e prevê uma área de sobreposição gráfica onde atuará a Inteligência Artificial Explicável (mapas de calor gerados pelo método SHAP). Por fim, a coluna direita integra as ferramentas analíticas, disponibilizando a seleção dinâmica de elétrodos, o botão de acionamento do modelo preditivo (CNN-LSTM) e um editor de texto estruturado para a consolidação e emissão do laudo médico final.</w:t>
      </w:r>
    </w:p>
    <w:p w:rsidR="00000000" w:rsidDel="00000000" w:rsidP="00000000" w:rsidRDefault="00000000" w:rsidRPr="00000000" w14:paraId="0000025F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10 – Interface central de visualização de EEG, análise de IA e laudo.</w:t>
      </w:r>
    </w:p>
    <w:p w:rsidR="00000000" w:rsidDel="00000000" w:rsidP="00000000" w:rsidRDefault="00000000" w:rsidRPr="00000000" w14:paraId="00000260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30934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0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66">
      <w:pPr>
        <w:keepNext w:val="0"/>
        <w:spacing w:after="0" w:before="0" w:lineRule="auto" w:line="360"/>
        <w:ind w:firstLine="709" w:left="0"/>
        <w:jc w:val="both"/>
        <w:rPr/>
      </w:pPr>
      <w:r>
        <w:t>A Figura 11 apresenta a tela de configurações, com dados profissionais, montagem padrão de canais, limiar de confiança e controle de exibição do SHAP. Essas preferências de interface não substituem a calibração científica do modelo.</w:t>
      </w:r>
    </w:p>
    <w:p w:rsidR="00000000" w:rsidDel="00000000" w:rsidP="00000000" w:rsidRDefault="00000000" w:rsidRPr="00000000" w14:paraId="00000267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11 – Interface de configurações do sistema e preferências de análise.</w:t>
      </w:r>
    </w:p>
    <w:p w:rsidR="00000000" w:rsidDel="00000000" w:rsidP="00000000" w:rsidRDefault="00000000" w:rsidRPr="00000000" w14:paraId="00000268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4896000" cy="232050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2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20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5 RESULTADOS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5.1 Interface implementada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As Figuras 12 a 16 documentam a interface implementada no ambiente local: painel principal, gestão de pacientes, configurações, análise multicanal com sobreposição SHAP e redação do laudo médico.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12 – Painel principal da versão implementada.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13 – Gestão de pacientes da versão implementada.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entes_fina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14 – Configurações do perfil, montagem, limiar e SHAP.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_fina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15 – Visualização multicanal com trecho suspeito e SHAP sobreposto por canal e tempo.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e_shap_fina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Na Figura 15, a faixa laranja delimita o trecho suspeito e a intensidade vermelha representa contribuição positiva do Gradient SHAP. A projeção está associada às janelas de features da sequência de pico; portanto, não corresponde a uma atribuição para cada amostra bruta do sinal.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16 – Área de emissão do parecer médico após a análise computacional.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do_final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5.2 Protocolo experimental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modelo final selecionado foi a versão v43 com seed 42. A arquitetura CNN-BiLSTM utiliza fusão tardia de 23 canais, 15 características tempo-frequência por canal, janelas de 4 segundos, passo de 2 segundos e sequências de 8 passos. O treinamento utilizou 77 EDF de 17 grupos de pacientes. A calibração foi realizada em 13 EDF dos grupos chb16, chb19, chb20 e chb24, separados antes do janelamento.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ponto operacional foi definido exclusivamente na calibração, com limiar de 0,60, duração mínima de 18 segundos e fechamento de lacunas de 8 segundos. A seleção do checkpoint priorizou desempenho por evento sob limite de falsos alarmes por hora. O conjunto chb09, chb15 e chb18 foi mantido separado no experimento final, mas já havia sido consultado durante o desenvolvimento; por isso, seus resultados são classificados como avaliação histórica, e não como teste final intocado.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base Bonn, prevista no planejamento do TCC I, não foi combinada à avaliação final. Seus segmentos curtos e previamente selecionados não preservam o mesmo protocolo de registros contínuos multicanais com início e término de crises do CHB-MIT. A mistura direta dificultaria interpretar métricas de localização temporal e falsos alarmes por hora. Assim, os resultados apresentados nesta pesquisa referem-se ao CHB-MIT; Bonn permanece como referência do planejamento.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5.3 Desempenho do modelo</w:t>
      </w:r>
    </w:p>
    <w:p>
      <w:pPr>
        <w:keepNext/>
        <w:spacing w:line="240" w:lineRule="auto" w:after="80" w:before="200"/>
        <w:ind w:firstLine="0" w:left="0"/>
        <w:jc w:val="center"/>
      </w:pPr>
      <w:r>
        <w:t>Quadro 8 – Resultados da v43 na calibração e na avaliação histórica.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4470"/>
        <w:gridCol w:w="2300"/>
        <w:gridCol w:w="2300"/>
      </w:tblGrid>
      <w:tr>
        <w:trPr>
          <w:cantSplit/>
        </w:trPr>
        <w:tc>
          <w:tcPr>
            <w:tcW w:w="447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Métrica</w:t>
            </w:r>
          </w:p>
        </w:tc>
        <w:tc>
          <w:tcPr>
            <w:tcW w:w="230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Calibração</w:t>
            </w:r>
          </w:p>
        </w:tc>
        <w:tc>
          <w:tcPr>
            <w:tcW w:w="230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Histórico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Precisão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100,0%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87,5%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Sensibilidade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91,7%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77,8%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95,7%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82,4%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localizado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90,9%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46,2%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Eventos detectados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de 20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 de 9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Recall por evento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75,0%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44,4%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por evento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71,4%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17,8%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Falsos alarmes por hora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0,55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2,08</w:t>
            </w:r>
          </w:p>
        </w:tc>
      </w:tr>
    </w:tbl>
    <w:p>
      <w:pPr>
        <w:keepNext w:val="0"/>
        <w:spacing w:line="240" w:lineRule="auto" w:after="200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a partir dos artefatos v43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17 – Comparação das métricas da v43.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2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_v4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Na calibração, a v43 atingiu F1 por EDF de 95,7%, F1 localizado de 90,9% e detectou 15 de 20 eventos, com 0,55 falso alarme por hora. A avaliação histórica apresentou F1 por EDF de 82,4%, F1 localizado de 46,2% e detecção de 4 de 9 eventos, com 2,08 falsos alarmes por hora. A diferença indica perda de generalização entre pacientes e impede interpretar a calibração como estimativa de desempenho clínico externo.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18 – Eventos localizados e falsos alarmes por hora.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2393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_falsos_alarmes_v43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ponto operacional da v43 foi escolhido na curva de compromisso entre sensibilidade por evento e falsos alarmes por hora (FROC), com teto de 0,75 falso alarme por hora na calibração. Os valores apresentados no quadro representam esse ponto selecionado; não constituem uma curva FROC de teste externo. A precisão por EDF e a localização são analisadas separadamente, pois uma classificação correta do arquivo pode coexistir com uma crise perdida.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5.4 Evolução experimental e estabilidade entre seeds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seleção da v43 não decorreu de uma única execução. Nas cinco seeds 42 a 46, a calibração apresentou média de 13,8 eventos detectados em 20, F1 por evento de 65,7%, F1 localizado de 81,9%, F1 por EDF de 96,4% e 0,64 falso alarme por hora. A seed 42 alcançou 15/20 eventos, F1 localizado de 90,9% e 0,55 falso alarme por hora. A variação entre seeds impede tratar esse melhor resultado isolado como desempenho esperado em novos pacientes.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Em comparação controlada com a CNN-BiLSTM anterior nas seeds 42 a 44, a fusão tardia da v43 elevou a média de eventos de 13,33 para 14,00 em 20, o F1 localizado de 75,0% para 83,4% e o F1 por EDF de 92,9% para 97,1%. Os falsos alarmes passaram de 0,58 para 0,63 por hora. Esses números são de calibração no mesmo protocolo e não demonstram generalização externa.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Experimentos posteriores avaliaram multirresolução, seleção de checkpoint e expansão dirigida dos dados. A v53, com 26 EDF no treino e três seeds, obteve média de 12,33/20 eventos, F1 localizado de 77,9%, F1 por EDF de 92,5% e 0,602 falso alarme por hora. Embora algumas crises tenham melhorado, o conjunto não superou a referência v43 no mesmo protocolo. Por isso, a v53 não substituiu o modelo integrado à aplicação.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mineração de negativos difíceis foi examinada nas versões v55 e v56, usando somente pacientes de treino. A configuração forte v55 reduziu a média para 12,67/20 eventos e F1 localizado de 71,3%, sem redução relevante dos falsos alarmes. A configuração leve v56 manteve 15/20 eventos na seed 42, mas reduziu o F1 localizado de 90,9% para 85,7%, com os mesmos 0,55 falso alarme por hora. Ambas foram rejeitadas para implantação.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5.5 Análise dos erros e generalização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avaliação histórica em chb09, chb15 e chb18 localizou 4 de 9 eventos, com F1 localizado de 46,2% e 2,08 falsos alarmes por hora. Esses pacientes haviam sido consultados durante o desenvolvimento e, portanto, os resultados descrevem a dificuldade interpaciente observada, sem constituir teste externo intocado. Crises não localizadas podem refletir baixa evidência ictal, fragmentação temporal ou escolha de candidato principal incorreto. A interpretação por evento é necessária porque F1 por EDF não identifica qual desses erros ocorreu.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5.6 Verificação do software e dos artefatos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integração foi verificada no fluxo local completo: autenticação, cadastro do paciente, leitura de EDF, visualização multicanal, recuperação de exame analisado, apresentação do score, intervalo suspeito, sobreposição SHAP e emissão de laudo. O frontend foi compilado com TypeScript e Vite. Os testes focados do backend totalizaram 22 casos aprovados; a suíte completa apresentou bloqueio na inicialização do TensorFlow no ambiente utilizado e permanece como pendência de fechamento.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19 – Verificação de integridade dos artefatos da v43.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7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verificacao_v4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6 DISCUSSÃO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Os resultados demonstram que o protótipo executa a proposta de apoio à análise temporal de EEG e apresenta evidências interpretáveis no mesmo contexto visual do sinal. A avaliação por EDF, isoladamente, mostrou-se insuficiente: mesmo quando o arquivo foi classificado corretamente, o sistema pôde deixar de localizar eventos específicos ou produzir alarmes fora do intervalo ictal. Por esse motivo, o estudo passou a registrar métricas por evento, localização temporal e falsos alarmes por hora.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fusão tardia preservou a identidade dos canais por mais etapas da rede e foi superior às tentativas que agregavam precocemente a dimensão espacial. Entretanto, crises com morfologia, duração ou topografia pouco representadas no treino continuaram recebendo score baixo. O pós-processamento temporal melhorou continuidade e reduziu fragmentação, mas não recuperou eventos que o primeiro estágio não representou.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SHAP aumenta a inspecionabilidade ao destacar quais canais e janelas de features contribuíram para a sequência de pico. Essa explicação não comprova causalidade fisiológica, não substitui a interpretação do traçado e pode refletir correlações aprendidas pelo modelo. Sua utilidade deverá ser avaliada com especialistas em estudo posterior.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6.1 Limitações e ameaças à validade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existe conjunto CHB-MIT local completamente intocado, pois todos os grupos disponíveis foram utilizados em treino, calibração ou desenvolvimento histórico;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a calibração contém apenas quatro grupos de pacientes e vinte eventos, quantidade insuficiente para estimar generalização clínica;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foi realizada validação externa em outra instituição ou base temporal multicanal equivalente;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houve estudo formal de usabilidade com neurologistas ou técnicos de EEG;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o sistema é um protótipo local, sem validação de desempenho concorrente, conformidade integral com a LGPD ou regularização sanitária;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a suíte completa de testes precisa ser reexecutada em ambiente isolado após resolver o bloqueio de inicialização do TensorFlow.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7 CONCLUSÃO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Este trabalho desenvolveu um protótipo web de apoio à análise de EEG que integra autenticação, gestão de pacientes, ingestão de EDF, visualização multicanal, detecção temporal com CNN-BiLSTM, explicabilidade por Gradient SHAP e emissão de laudo. A implementação atende ao objetivo de reunir o fluxo técnico em uma única aplicação e mantém explícito que a saída da IA representa apoio à decisão, não diagnóstico autônomo.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v43 apresentou desempenho elevado na calibração, mas a queda observada na avaliação histórica confirmou que a generalização interpaciente permanece o principal gargalo. Portanto, o protótipo pode ser apresentado como resultado de Engenharia de Software e experimento de IA explicável, mas não como sistema clinicamente validado.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Como trabalhos futuros, recomenda-se obter uma coorte externa mantida intocada, ampliar a diversidade de eventos ictais, avaliar arquiteturas espaciais e temporais em ablações controladas, calibrar o ponto operacional sem acesso ao teste, medir usabilidade com profissionais, completar controles de segurança e privacidade e avaliar requisitos regulatórios antes de qualquer uso assistencial.</w:t>
      </w:r>
    </w:p>
    <w:p w:rsidR="00000000" w:rsidDel="00000000" w:rsidP="00000000" w:rsidRDefault="00000000" w:rsidRPr="00000000" w14:paraId="000002FE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REFERÊNCIAS</w:t>
      </w:r>
    </w:p>
    <w:p w:rsidR="00000000" w:rsidDel="00000000" w:rsidP="00000000" w:rsidRDefault="00000000" w:rsidRPr="00000000" w14:paraId="000002F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ABOALAYON, K. A. I. et al. Seizure detection using EEG signals: a review of different EEG recording modalities, signal analysis techniques, and seizure detection systems. Informatics in Medicine Unlocked, v. 6, p. 1-18, 2016. Disponível em: https://catalog.nlm.nih.gov/discovery/fulldisplay?docid=alma9916189513406676&amp;context=L&amp;vid=01NLM_INST:01NLM_INST&amp;lang=en. Acesso em: 05 nov. 2025.</w:t>
      </w:r>
    </w:p>
    <w:p w:rsidR="00000000" w:rsidDel="00000000" w:rsidP="00000000" w:rsidRDefault="00000000" w:rsidRPr="00000000" w14:paraId="00000300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ACETO, G.; PERSICO, V.; PESCO, A.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Industry 4.0 and Health: Internet of Things, Big Data, and Cloud Computing for Healthcare 4.0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Industrial Information Integration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18, p. 100129, 2020.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https://www.sciencedirect.com/science/article/abs/pii/S2452414X19300135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05 nov. 2025.</w:t>
      </w:r>
    </w:p>
    <w:p w:rsidR="00000000" w:rsidDel="00000000" w:rsidP="00000000" w:rsidRDefault="00000000" w:rsidRPr="00000000" w14:paraId="0000030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ACHARYA, U.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convolutional neural network for the automated detection and diagnosis of seizure using EEG signals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Computers in Biology and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100, p. 270-278, 2018. Disponível em: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https://www.sciencedirect.com/science/article/abs/pii/S0010482517303153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06 nov. 2025.</w:t>
      </w:r>
    </w:p>
    <w:p w:rsidR="00000000" w:rsidDel="00000000" w:rsidP="00000000" w:rsidRDefault="00000000" w:rsidRPr="00000000" w14:paraId="00000302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ADADI, A.; BERRADA, M. Peeking inside the black-box: a survey on explainable artificial intelligence (XAI). IEEE Access, v. 6, p. 52138-52160, 2018. Disponível em: https://www.researchgate.net/publication/327709435_Peeking_Inside_the_Black-Box_A_Survey_on_Explainable_Artificial_Intelligence_XAI. Acesso em: 06 nov. 2025.</w:t>
      </w:r>
    </w:p>
    <w:p w:rsidR="00000000" w:rsidDel="00000000" w:rsidP="00000000" w:rsidRDefault="00000000" w:rsidRPr="00000000" w14:paraId="00000303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AGARWAL, R. et al. The digital transformation of healthcare: current status and the road ahead. Information Systems Research, v. 21, n. 4, p. 796-809, 2010. Disponível em: https://www.researchgate.net/publication/220079558_The_Digital_Transformation_of_Healthcare_Current_Status_and_the_Road_Ahead . Acesso em: 07 nov. 2025.</w:t>
      </w:r>
    </w:p>
    <w:p w:rsidR="00000000" w:rsidDel="00000000" w:rsidP="00000000" w:rsidRDefault="00000000" w:rsidRPr="00000000" w14:paraId="00000304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AMANN, J.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Explainability for artificial intelligence in healthcare: a multidisciplinary perspective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BMC Medical Informatics and Decision Making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20, n. 1, p. 310, 2020.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https://www.researchgate.net/publication/346542270_Explainability_for_artificial_intelligence_in_healthcare_a_multidisciplinary_perspective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07 nov. 2025.</w:t>
      </w:r>
    </w:p>
    <w:p w:rsidR="00000000" w:rsidDel="00000000" w:rsidP="00000000" w:rsidRDefault="00000000" w:rsidRPr="00000000" w14:paraId="0000030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ARRIETA, A. B.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Explainable Artificial Intelligence (XAI): Concepts, taxonomies, opportunities and challenges toward responsible AI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Information Fusion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58, p. 82-115, 2020. Disponível em: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https://www.sciencedirect.com/science/article/abs/pii/S1566253519308103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08 nov. 2025.</w:t>
      </w:r>
    </w:p>
    <w:p w:rsidR="00000000" w:rsidDel="00000000" w:rsidP="00000000" w:rsidRDefault="00000000" w:rsidRPr="00000000" w14:paraId="0000030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BANKS, A.; PORCELLO, 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Learning React: Modern Patterns for Developing React Apps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Sebastopol: O'Reilly Media, 2020.Disponível em: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https://phanindra-reddy.github.io/portfolio/static/media/learningreact.da253db3.pdf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BECK, K.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Manifesto for Agile Software Development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2001. Disponível em: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http://agilemanifesto.org/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16 nov. 2025.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Agência Nacional de Vigilância Sanitária. Resolução da Diretoria Colegiada - RDC nº 657, de 24 de março de 2022. Dispõe sobre a regularização de software como dispositivo médico. Brasília, DF: Anvisa, 2022. Disponível em: https://www.gov.br/anvisa/. Acesso em: 13 out. 2026.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Agência Nacional de Vigilância Sanitária. Software como dispositivo médico: perguntas e respostas. Brasília, DF: Anvisa, 2022. Disponível em: https://www.gov.br/anvisa/pt-br/centraisdeconteudo/publicacoes/produtos-para-a-saude/manuais/software-como-dispositivo-medico-perguntas-e-respostas. Acesso em: 13 out. 2026.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Governo Digital. Modelo de Acessibilidade em Governo Eletrônico - eMAG, versão 3.1. Brasília, DF: Governo Federal. Disponível em: https://www.gov.br/governodigitallogin/pt-br/acessibilidade-e-usuario/acessibilidade-digital/modelo-de-acessibilidade. Acesso em: 13 out. 2026.</w:t>
      </w:r>
    </w:p>
    <w:p w:rsidR="00000000" w:rsidDel="00000000" w:rsidP="00000000" w:rsidRDefault="00000000" w:rsidRPr="00000000" w14:paraId="00000308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CRAIK, A.; HE, Y.; CONTRERAS-VIDAL, J. 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 for electroencephalogram (EEG) classification tasks: a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Neural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16, n. 3, 2019. Disponível em: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https://pubmed.ncbi.nlm.nih.gov/30808014/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08 nov. 2025.</w:t>
      </w:r>
    </w:p>
    <w:p w:rsidR="00000000" w:rsidDel="00000000" w:rsidP="00000000" w:rsidRDefault="00000000" w:rsidRPr="00000000" w14:paraId="0000030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ELMASRI, R.; NAVATHE, S. B.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Fundamentals of Database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6. ed. Boston: Addison-Wesley, 2011. Disponível em: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https://www.uoitc.edu.iq/images/documents/informatics-institute/Competitive_exam/Database_Systems.pdf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A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ESTEVA, A.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guide to deep learning in healthcare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25, n. 1, p. 24-29, 2019. Disponível em: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https://pubmed.ncbi.nlm.nih.gov/30617335/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09 nov. 2025.</w:t>
      </w:r>
    </w:p>
    <w:p w:rsidR="00000000" w:rsidDel="00000000" w:rsidP="00000000" w:rsidRDefault="00000000" w:rsidRPr="00000000" w14:paraId="0000030B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FAUST, O.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 for healthcare applications based on physiological signals: A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Computer Methods and Programs in Biomedicine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161, p. 1-13, 2018. Disponível em: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https://www.sciencedirect.com/science/article/abs/pii/S0169260718301226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09 nov. 2025.</w:t>
      </w:r>
    </w:p>
    <w:p w:rsidR="00000000" w:rsidDel="00000000" w:rsidP="00000000" w:rsidRDefault="00000000" w:rsidRPr="00000000" w14:paraId="0000030C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FIELDING, R. T. Architectural Styles and the Design of Network-based Software Architectures. 2000. Tese (Doutorado em Ciência da Computação) - University of California, Irvine, 2000. Disponível em: https://roy.gbiv.com/pubs/dissertation/fielding_dissertation.pdf</w:t>
      </w:r>
    </w:p>
    <w:p w:rsidR="00000000" w:rsidDel="00000000" w:rsidP="00000000" w:rsidRDefault="00000000" w:rsidRPr="00000000" w14:paraId="0000030D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FOWLER,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Refactoring: Improving the Design of Existing Code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Boston: Addison-Wesley, 2018. Disponível em: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https://www.kufunda.net/publicdocs/Refatora%C3%A7%C3%A3o%20(Fowler,%20Martin).pdf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E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GOLDBERGER, A. L.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PhysioBank, PhysioToolkit, and PhysioNet: components of a new research resource for complex physiologic signals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Circulation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101, n. 23, p. e215-e220, 2000. Disponível em: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https://www.ahajournals.org/doi/10.1161/01.cir.101.23.e215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10 nov. 2025.</w:t>
      </w:r>
    </w:p>
    <w:p w:rsidR="00000000" w:rsidDel="00000000" w:rsidP="00000000" w:rsidRDefault="00000000" w:rsidRPr="00000000" w14:paraId="0000030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GRAMFORT, A. et al. MEG and EEG data analysis with MNE-Python. Frontiers in Neuroscience, v. 7, p. 267, 2013. Disponível em: https://www.frontiersin.org/journals/neuroscience/articles/10.3389/fnins.2013.00267/full. Acesso em: 10 nov. 2025.</w:t>
      </w:r>
    </w:p>
    <w:p w:rsidR="00000000" w:rsidDel="00000000" w:rsidP="00000000" w:rsidRDefault="00000000" w:rsidRPr="00000000" w14:paraId="0000031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GUNNING, D.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XAI—Explainable artificial intelligence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Science Robotics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4, n. 37, 2019. Disponível em: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https://www.researchgate.net/publication/338039379_XAI-Explainable_artificial_intelligence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11 nov. 2025.</w:t>
      </w:r>
    </w:p>
    <w:p w:rsidR="00000000" w:rsidDel="00000000" w:rsidP="00000000" w:rsidRDefault="00000000" w:rsidRPr="00000000" w14:paraId="00000312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HERZOG,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Digital Healthcare: The impact of digital transformation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Springer, 2016. Disponível em: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https://pubmed.ncbi.nlm.nih.gov/40517785/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3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HOCHREITER, S.; SCHMIDHUBER, J.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Long short-term memory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Neural Computation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9, n. 8, p. 1735-1780, 1997. Disponível em: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https://www.researchgate.net/publication/13853244_Long_Short-Term_Memory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11 nov. 2025.</w:t>
      </w:r>
    </w:p>
    <w:p w:rsidR="00000000" w:rsidDel="00000000" w:rsidP="00000000" w:rsidRDefault="00000000" w:rsidRPr="00000000" w14:paraId="00000314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KLEPPMANN,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Designing Data-Intensive Applications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Sebastopol: O'Reilly Media, 2017. Disponível em: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LECUN, Y.; BENGIO, Y.; HINTON, G.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521, p. 436-444, 2015. Disponível em: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https://www.nature.com/articles/nature14539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12 nov. 2025.</w:t>
      </w:r>
    </w:p>
    <w:p w:rsidR="00000000" w:rsidDel="00000000" w:rsidP="00000000" w:rsidRDefault="00000000" w:rsidRPr="00000000" w14:paraId="0000031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LUNDBERG, S. M.; LEE, S.-I.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unified approach to interpreting model predictions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In: ADVANCES IN NEURAL INFORMATION PROCESSING SYSTEMS, 30. Anais... Long Beach, CA: NeurIPS, 2017. Disponível em: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https://papers.nips.cc/paper_files/paper/2017/hash/8a20a8621978632d76c43dfd28b67767-Abstract.html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12 nov. 2025.</w:t>
      </w:r>
    </w:p>
    <w:p w:rsidR="00000000" w:rsidDel="00000000" w:rsidP="00000000" w:rsidRDefault="00000000" w:rsidRPr="00000000" w14:paraId="0000031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MCKINNEY, W.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Python for Data Analysis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Sebastopol: O'Reilly Media, 2012.</w:t>
      </w:r>
    </w:p>
    <w:p w:rsidR="00000000" w:rsidDel="00000000" w:rsidP="00000000" w:rsidRDefault="00000000" w:rsidRPr="00000000" w14:paraId="00000318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META PLATFORMS. React: the library for web and native user interfaces. Disponível em: https://react.dev/. Acesso em: 13 out. 2026.</w:t>
      </w:r>
    </w:p>
    <w:p w:rsidR="00000000" w:rsidDel="00000000" w:rsidP="00000000" w:rsidRDefault="00000000" w:rsidRPr="00000000" w14:paraId="0000031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MOREIRA, Karollyne Evangelista; MARQUES, Eduardo Henrique Guimarães; TORQUATO, Thiane Marques; SOUZA, Lynwood Livi de.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Identificação de Padrões Genéticos para Diagnóstico de Doenças Utilizando Inteligência Artificial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(Relatório Final de Iniciação em Desenvolvimento Tecnológico e Inovação - PIBITI). Uruaçu: Instituto Federal de Educação, Ciência e Tecnologia de Goiás (IFG), 2025.</w:t>
      </w:r>
    </w:p>
    <w:p w:rsidR="00000000" w:rsidDel="00000000" w:rsidP="00000000" w:rsidRDefault="00000000" w:rsidRPr="00000000" w14:paraId="0000031A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NEWMAN, S.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Building Microservices: Designing Fine-Grained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Sebastopol: O'Reilly Media, 2021. Disponível em: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https://github.com/iamindian/References_Books/blob/master/Building%20Microservices%20Designing%20Fine-Grained%20Systems%202nd%20By%20Sam%20Newman.pdf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B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NIEDERMEYER, E.; LOPES DA SILVA, F. H.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Electroencephalography: Basic Principles, Clinical Applications, and Related Fields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5. ed. Philadelphia: Lippincott Williams &amp; Wilkins, 2005. Disponível em: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https://books.google.com.br/books/about/Electroencephalography.html?id=tndqYGPHQdEC&amp;redir_esc=y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C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PRESSMAN, R. S.; MAXIM, B. R.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Engenharia de Software: Uma Abordagem Profissional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8. ed. Porto Alegre: AMGH, 2016.</w:t>
      </w:r>
    </w:p>
    <w:p w:rsidR="00000000" w:rsidDel="00000000" w:rsidP="00000000" w:rsidRDefault="00000000" w:rsidRPr="00000000" w14:paraId="0000031D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RAGHUPATHI, W.; RAGHUPATHI, V.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Big data analytics in healthcare: promise and potential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Health Information Science and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2, n. 3, 2014. Disponível em: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https://pubmed.ncbi.nlm.nih.gov/25825667/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13 nov. 2025.</w:t>
      </w:r>
    </w:p>
    <w:p w:rsidR="00000000" w:rsidDel="00000000" w:rsidP="00000000" w:rsidRDefault="00000000" w:rsidRPr="00000000" w14:paraId="0000031E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RAMÍREZ, S.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FastAPI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Disponível em: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18 nov. 2025.</w:t>
      </w:r>
    </w:p>
    <w:p w:rsidR="00000000" w:rsidDel="00000000" w:rsidP="00000000" w:rsidRDefault="00000000" w:rsidRPr="00000000" w14:paraId="0000031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REISMAN, M. EHRs: the challenge of making electronic data usable and interoperable. Pharmacy and Therapeutics, v. 42, n. 9, p. 572-575, 2017. Disponível em: https://pmc.ncbi.nlm.nih.gov/articles/PMC5565131/. Acesso em: 13 out. 2026.</w:t>
      </w:r>
    </w:p>
    <w:p w:rsidR="00000000" w:rsidDel="00000000" w:rsidP="00000000" w:rsidRDefault="00000000" w:rsidRPr="00000000" w14:paraId="00000320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RICHARDS,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Software Architecture Patterns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Sebastopol: O'Reilly Media, 2015.</w:t>
      </w:r>
    </w:p>
    <w:p w:rsidR="00000000" w:rsidDel="00000000" w:rsidP="00000000" w:rsidRDefault="00000000" w:rsidRPr="00000000" w14:paraId="0000032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ROY, Y.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learning-based electroencephalography analysis: a comprehensive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Neural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16, n. 5, 2019. Disponível em: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https://iopscience.iop.org/article/10.1088/1741-2552/ab260c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14 nov. 2025.</w:t>
      </w:r>
    </w:p>
    <w:p w:rsidR="00000000" w:rsidDel="00000000" w:rsidP="00000000" w:rsidRDefault="00000000" w:rsidRPr="00000000" w14:paraId="00000322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SHANNON, C. 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mathematical theory of communication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The Bell System Technical Journal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27, n. 3, p. 379–423, 1948. Disponível em: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https://people.math.harvard.edu/~ctm/home/text/others/shannon/entropy/entropy.pdf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14 nov. 2025.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SHOEB, A. H. Application of machine learning to epileptic seizure onset detection and treatment. 2009. Tese (Doutorado) - Massachusetts Institute of Technology, Cambridge, 2009.</w:t>
      </w:r>
    </w:p>
    <w:p w:rsidR="00000000" w:rsidDel="00000000" w:rsidP="00000000" w:rsidRDefault="00000000" w:rsidRPr="00000000" w14:paraId="00000323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SOMMERVILLE, I.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Software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9. ed. Boston: Addison-Wesley, 2011.</w:t>
      </w:r>
    </w:p>
    <w:p w:rsidR="00000000" w:rsidDel="00000000" w:rsidP="00000000" w:rsidRDefault="00000000" w:rsidRPr="00000000" w14:paraId="00000324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SUTTON, R. T. et al. An overview of clinical decision support systems: benefits, risks, and strategies for success. NPJ Digital Medicine, v. 3, n. 17, 2020. Disponível em: https://www.nature.com/articles/s41746-020-0221-y . Acesso em: 15 nov. 2025.</w:t>
      </w:r>
    </w:p>
    <w:p w:rsidR="00000000" w:rsidDel="00000000" w:rsidP="00000000" w:rsidRDefault="00000000" w:rsidRPr="00000000" w14:paraId="0000032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TATUM, W. O.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Harper's Hospital Handbook. Handbook of EEG Interpretation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2. ed. Demos Medical Publishing, 2018.</w:t>
      </w:r>
    </w:p>
    <w:p w:rsidR="00000000" w:rsidDel="00000000" w:rsidP="00000000" w:rsidRDefault="00000000" w:rsidRPr="00000000" w14:paraId="0000032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TOPOL, E. J.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High-performance medicine: the convergence of human and artificial intelligence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25, p. 44-56, 2019. Disponível em: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https://pubmed.ncbi.nlm.nih.gov/30617339/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15 nov. 2025.</w:t>
      </w:r>
    </w:p>
    <w:p w:rsidR="00000000" w:rsidDel="00000000" w:rsidP="00000000" w:rsidRDefault="00000000" w:rsidRPr="00000000" w14:paraId="0000032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VAN ROSSUM, G.; DRAKE, F. 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Python 3 Reference Manual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Scotts Valley, CA: CreateSpace, 2009.</w:t>
      </w:r>
    </w:p>
    <w:p w:rsidR="00000000" w:rsidDel="00000000" w:rsidP="00000000" w:rsidRDefault="00000000" w:rsidRPr="00000000" w14:paraId="00000328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WHO - WORLD HEALTH ORGANIZATION.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Epilepsy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2024. Disponível em: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https://www.who.int/news-room/fact-sheets/detail/epilepsy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17 nov. 2025.</w:t>
      </w:r>
    </w:p>
    <w:p w:rsidR="00000000" w:rsidDel="00000000" w:rsidP="00000000" w:rsidRDefault="00000000" w:rsidRPr="00000000" w14:paraId="0000032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YAMASHITA,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Convolutional neural networks: an overview and application in radiology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Insights into Imaging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9, n. 4, p. 611-629, 2018. Disponível em: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https://pubmed.ncbi.nlm.nih.gov/29934920/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16 nov. 2025.</w:t>
      </w:r>
    </w:p>
    <w:p w:rsidR="00000000" w:rsidDel="00000000" w:rsidP="00000000" w:rsidRDefault="00000000" w:rsidRPr="00000000" w14:paraId="0000026F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APÊNDICE A - RECURSOS E CRONOGRAMA</w:t>
      </w:r>
    </w:p>
    <w:p w:rsidR="00000000" w:rsidDel="00000000" w:rsidP="00000000" w:rsidRDefault="00000000" w:rsidRPr="00000000" w14:paraId="00000270">
      <w:pPr>
        <w:keepNext w:val="0"/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t>O desenvolvimento foi organizado conforme o cronograma do Quadro 10. Os recursos previstos são apresentados no Quadro 9, cujo total é R$ 3.650,00.</w:t>
      </w:r>
    </w:p>
    <w:p w:rsidR="00000000" w:rsidDel="00000000" w:rsidP="00000000" w:rsidRDefault="00000000" w:rsidRPr="00000000" w14:paraId="00000271">
      <w:pPr>
        <w:pStyle w:val="Heading2"/>
        <w:keepNext/>
        <w:spacing w:line="240" w:lineRule="auto" w:before="160" w:after="80"/>
        <w:ind w:firstLine="0" w:left="0"/>
        <w:jc w:val="left"/>
        <w:rPr/>
      </w:pPr>
      <w:r>
        <w:rPr>
          <w:rFonts w:ascii="Arial" w:hAnsi="Arial"/>
          <w:b/>
          <w:color w:val="000000"/>
          <w:sz w:val="24"/>
        </w:rPr>
        <w:t>A.1 Recursos</w:t>
      </w:r>
    </w:p>
    <w:p w:rsidR="00000000" w:rsidDel="00000000" w:rsidP="00000000" w:rsidRDefault="00000000" w:rsidRPr="00000000" w14:paraId="00000272">
      <w:pPr>
        <w:keepNext/>
        <w:spacing w:line="240" w:lineRule="auto" w:after="80" w:before="200"/>
        <w:ind w:firstLine="0" w:left="0"/>
        <w:jc w:val="center"/>
        <w:rPr>
          <w:sz w:val="24"/>
          <w:szCs w:val="24"/>
        </w:rPr>
      </w:pPr>
      <w:r>
        <w:t>Quadro 9 – Descrição Orçamentária.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0" w:type="dxa"/>
          <w:bottom w:w="45" w:type="dxa"/>
          <w:right w:w="60" w:type="dxa"/>
        </w:tblCellMar>
        <w:tblLook w:val="0000"/>
      </w:tblPr>
      <w:tblGrid>
        <w:gridCol w:w="700"/>
        <w:gridCol w:w="3170"/>
        <w:gridCol w:w="1000"/>
        <w:gridCol w:w="1600"/>
        <w:gridCol w:w="1300"/>
        <w:gridCol w:w="1300"/>
      </w:tblGrid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tcW w:w="317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W w:w="10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Quant.</w:t>
            </w:r>
          </w:p>
        </w:tc>
        <w:tc>
          <w:tcPr>
            <w:tcW w:w="16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Fonte financiadora</w:t>
            </w:r>
          </w:p>
        </w:tc>
        <w:tc>
          <w:tcPr>
            <w:tcW w:w="13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Valor Unitário</w:t>
            </w:r>
          </w:p>
        </w:tc>
        <w:tc>
          <w:tcPr>
            <w:tcW w:w="13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PC Desktop (i3, 16GB RAM, SSD)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R$ 3.500,00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R$ 3.500,00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2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Ferramentas de API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R$ 50,00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R$ 50,00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3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Domínio Web e Hospedagem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 ano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R$ 100,00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R$ 100,00</w:t>
            </w:r>
          </w:p>
        </w:tc>
      </w:tr>
      <w:tr>
        <w:trPr>
          <w:cantSplit/>
        </w:trPr>
        <w:tc>
          <w:tcPr>
            <w:tcW w:w="9070" w:type="dxa"/>
            <w:gridSpan w:val="6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TOTAL: R$ 3.650,00</w:t>
            </w:r>
          </w:p>
        </w:tc>
      </w:tr>
    </w:tbl>
    <w:p w:rsidR="00000000" w:rsidDel="00000000" w:rsidP="00000000" w:rsidRDefault="00000000" w:rsidRPr="00000000" w14:paraId="00000291">
      <w:pPr>
        <w:keepNext w:val="0"/>
        <w:spacing w:after="200" w:line="240" w:lineRule="auto" w:before="6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93">
      <w:pPr>
        <w:pStyle w:val="Heading2"/>
        <w:keepNext/>
        <w:spacing w:line="240" w:lineRule="auto" w:before="160" w:after="80"/>
        <w:ind w:firstLine="0" w:left="0"/>
        <w:jc w:val="left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A.2 Cronograma</w:t>
      </w:r>
    </w:p>
    <w:p w:rsidR="00000000" w:rsidDel="00000000" w:rsidP="00000000" w:rsidRDefault="00000000" w:rsidRPr="00000000" w14:paraId="00000294">
      <w:pPr>
        <w:keepNext/>
        <w:spacing w:after="80" w:line="240" w:lineRule="auto" w:before="200"/>
        <w:ind w:firstLine="0" w:left="0"/>
        <w:jc w:val="center"/>
        <w:rPr>
          <w:sz w:val="24"/>
          <w:szCs w:val="24"/>
        </w:rPr>
      </w:pPr>
      <w:r>
        <w:t>Quadro 10 – Cronograma de trabalho dividido em meses e atividades a serem realizadas.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000"/>
      </w:tblPr>
      <w:tblGrid>
        <w:gridCol w:w="283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rPr>
          <w:cantSplit/>
        </w:trPr>
        <w:tc>
          <w:tcPr>
            <w:tcW w:w="2830" w:type="dxa"/>
            <w:vMerge w:val="restart"/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Atividades</w:t>
            </w:r>
          </w:p>
        </w:tc>
        <w:tc>
          <w:tcPr>
            <w:tcW w:w="6240" w:type="dxa"/>
            <w:gridSpan w:val="12"/>
            <w:shd w:val="clear" w:color="auto" w:fill="E6E6E6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2026</w:t>
            </w:r>
          </w:p>
        </w:tc>
      </w:tr>
      <w:tr>
        <w:trPr>
          <w:cantSplit/>
        </w:trPr>
        <w:tc>
          <w:tcPr>
            <w:tcW w:w="2830" w:type="dxa"/>
            <w:vMerge/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/>
              <w:keepLines w:val="0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Jan.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Fev.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Mar.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Abr.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Mai.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Jun.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Jul.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Ago.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Set.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Out.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Nov.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Dez.</w:t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Levantamento do referencial teórico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Levantamento dos requisitos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Desenvolvimento do sistema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Testes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Apresentação TCC 1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Apresentação TCC 2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spacing w:after="200" w:line="240" w:lineRule="auto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sectPr>
      <w:headerReference r:id="rId81" w:type="default"/>
      <w:headerReference r:id="rId82" w:type="first"/>
      <w:type w:val="nextPage"/>
      <w:pgSz w:h="16838" w:w="11906" w:orient="portrait"/>
      <w:pgMar w:bottom="1134" w:top="1701" w:left="1701" w:right="1134" w:header="708" w:footer="708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jc w:val="right"/>
      <w:rPr/>
    </w:pPr>
    <w:r w:rsidDel="00000000" w:rsidR="00000000" w:rsidRPr="00000000">
      <w:rPr>
        <w:rFonts w:ascii="Arial" w:hAnsi="Arial"/>
        <w:b w:val="0"/>
        <w:color w:val="000000"/>
        <w:sz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hAnsi="Arial"/>
        <w:b w:val="0"/>
        <w:color w:val="000000"/>
        <w:sz w:val="20"/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jc w:val="right"/>
      <w:rPr/>
    </w:pPr>
    <w:r w:rsidDel="00000000" w:rsidR="00000000" w:rsidRPr="00000000">
      <w:rPr>
        <w:rFonts w:ascii="Arial" w:hAnsi="Arial"/>
        <w:b w:val="0"/>
        <w:color w:val="000000"/>
        <w:sz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hAnsi="Arial"/>
        <w:b w:val="0"/>
        <w:color w:val="000000"/>
        <w:sz w:val="20"/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60" w:lineRule="auto" w:before="0"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cienciaescrita.com/periodico-jornal-ou-revista/" TargetMode="External"/><Relationship Id="rId42" Type="http://schemas.openxmlformats.org/officeDocument/2006/relationships/hyperlink" Target="https://roy.gbiv.com/pubs/dissertation/fielding_dissertation.pdf" TargetMode="External"/><Relationship Id="rId41" Type="http://schemas.openxmlformats.org/officeDocument/2006/relationships/hyperlink" Target="https://www.sciencedirect.com/science/article/abs/pii/S0169260718301226" TargetMode="External"/><Relationship Id="rId44" Type="http://schemas.openxmlformats.org/officeDocument/2006/relationships/hyperlink" Target="https://www.kufunda.net/publicdocs/Refatora%C3%A7%C3%A3o%20(Fowler,%20Martin).pdf" TargetMode="External"/><Relationship Id="rId43" Type="http://schemas.openxmlformats.org/officeDocument/2006/relationships/hyperlink" Target="https://cienciaescrita.com/periodico-jornal-ou-revista/" TargetMode="External"/><Relationship Id="rId46" Type="http://schemas.openxmlformats.org/officeDocument/2006/relationships/hyperlink" Target="https://www.ahajournals.org/doi/10.1161/01.cir.101.23.e215" TargetMode="External"/><Relationship Id="rId45" Type="http://schemas.openxmlformats.org/officeDocument/2006/relationships/hyperlink" Target="https://cienciaescrita.com/periodico-jornal-ou-revista/" TargetMode="External"/><Relationship Id="rId80" Type="http://schemas.openxmlformats.org/officeDocument/2006/relationships/hyperlink" Target="https://pubmed.ncbi.nlm.nih.gov/29934920/" TargetMode="External"/><Relationship Id="rId82" Type="http://schemas.openxmlformats.org/officeDocument/2006/relationships/header" Target="header4.xml"/><Relationship Id="rId81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48" Type="http://schemas.openxmlformats.org/officeDocument/2006/relationships/hyperlink" Target="https://www.linguee.com/portuguese-english/translation/relat%C3%B3rio.html" TargetMode="External"/><Relationship Id="rId47" Type="http://schemas.openxmlformats.org/officeDocument/2006/relationships/hyperlink" Target="https://www.frontiersin.org/journals/neuroscience/articles/10.3389/fnins.2013.00267/full" TargetMode="External"/><Relationship Id="rId49" Type="http://schemas.openxmlformats.org/officeDocument/2006/relationships/hyperlink" Target="https://www.linguee.com/portuguese-english/translation/relat%C3%B3rio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73" Type="http://schemas.openxmlformats.org/officeDocument/2006/relationships/hyperlink" Target="https://people.math.harvard.edu/~ctm/home/text/others/shannon/entropy/entropy.pdf" TargetMode="External"/><Relationship Id="rId72" Type="http://schemas.openxmlformats.org/officeDocument/2006/relationships/hyperlink" Target="https://cienciaescrita.com/periodico-jornal-ou-revista/" TargetMode="External"/><Relationship Id="rId31" Type="http://schemas.openxmlformats.org/officeDocument/2006/relationships/hyperlink" Target="https://phanindra-reddy.github.io/portfolio/static/media/learningreact.da253db3.pdf" TargetMode="External"/><Relationship Id="rId75" Type="http://schemas.openxmlformats.org/officeDocument/2006/relationships/hyperlink" Target="https://cienciaescrita.com/periodico-jornal-ou-revista/" TargetMode="External"/><Relationship Id="rId30" Type="http://schemas.openxmlformats.org/officeDocument/2006/relationships/hyperlink" Target="http://agilemanifesto.org/" TargetMode="External"/><Relationship Id="rId74" Type="http://schemas.openxmlformats.org/officeDocument/2006/relationships/hyperlink" Target="https://www.nature.com/articles/s41746-020-0221-y" TargetMode="External"/><Relationship Id="rId33" Type="http://schemas.openxmlformats.org/officeDocument/2006/relationships/hyperlink" Target="http://agilemanifesto.org/" TargetMode="External"/><Relationship Id="rId77" Type="http://schemas.openxmlformats.org/officeDocument/2006/relationships/hyperlink" Target="https://www.who.int/news-room/fact-sheets/detail/epilepsy" TargetMode="External"/><Relationship Id="rId32" Type="http://schemas.openxmlformats.org/officeDocument/2006/relationships/hyperlink" Target="http://agilemanifesto.org/" TargetMode="External"/><Relationship Id="rId76" Type="http://schemas.openxmlformats.org/officeDocument/2006/relationships/hyperlink" Target="https://pubmed.ncbi.nlm.nih.gov/30617339/" TargetMode="External"/><Relationship Id="rId35" Type="http://schemas.openxmlformats.org/officeDocument/2006/relationships/hyperlink" Target="https://pubmed.ncbi.nlm.nih.gov/30808014/" TargetMode="External"/><Relationship Id="rId79" Type="http://schemas.openxmlformats.org/officeDocument/2006/relationships/hyperlink" Target="https://cienciaescrita.com/periodico-jornal-ou-revista/" TargetMode="External"/><Relationship Id="rId34" Type="http://schemas.openxmlformats.org/officeDocument/2006/relationships/hyperlink" Target="https://cienciaescrita.com/periodico-jornal-ou-revista/" TargetMode="External"/><Relationship Id="rId78" Type="http://schemas.openxmlformats.org/officeDocument/2006/relationships/hyperlink" Target="https://www.who.int/news-room/fact-sheets/detail/epilepsy" TargetMode="External"/><Relationship Id="rId71" Type="http://schemas.openxmlformats.org/officeDocument/2006/relationships/hyperlink" Target="https://iopscience.iop.org/article/10.1088/1741-2552/ab260c" TargetMode="External"/><Relationship Id="rId70" Type="http://schemas.openxmlformats.org/officeDocument/2006/relationships/hyperlink" Target="https://cienciaescrita.com/periodico-jornal-ou-revista/" TargetMode="External"/><Relationship Id="rId37" Type="http://schemas.openxmlformats.org/officeDocument/2006/relationships/hyperlink" Target="https://www.uoitc.edu.iq/images/documents/informatics-institute/Competitive_exam/Database_Systems.pdf" TargetMode="External"/><Relationship Id="rId36" Type="http://schemas.openxmlformats.org/officeDocument/2006/relationships/hyperlink" Target="https://cienciaescrita.com/periodico-jornal-ou-revista/" TargetMode="External"/><Relationship Id="rId39" Type="http://schemas.openxmlformats.org/officeDocument/2006/relationships/hyperlink" Target="https://pubmed.ncbi.nlm.nih.gov/30617335/" TargetMode="External"/><Relationship Id="rId38" Type="http://schemas.openxmlformats.org/officeDocument/2006/relationships/hyperlink" Target="https://cienciaescrita.com/periodico-jornal-ou-revista/" TargetMode="External"/><Relationship Id="rId62" Type="http://schemas.openxmlformats.org/officeDocument/2006/relationships/hyperlink" Target="https://github.com/iamindian/References_Books/blob/master/Building%20Microservices%20Designing%20Fine-Grained%20Systems%202nd%20By%20Sam%20Newman.pdf" TargetMode="External"/><Relationship Id="rId61" Type="http://schemas.openxmlformats.org/officeDocument/2006/relationships/hyperlink" Target="https://react.dev/" TargetMode="External"/><Relationship Id="rId20" Type="http://schemas.openxmlformats.org/officeDocument/2006/relationships/hyperlink" Target="https://cienciaescrita.com/periodico-jornal-ou-revista/" TargetMode="External"/><Relationship Id="rId64" Type="http://schemas.openxmlformats.org/officeDocument/2006/relationships/hyperlink" Target="https://cienciaescrita.com/periodico-jornal-ou-revista/" TargetMode="External"/><Relationship Id="rId63" Type="http://schemas.openxmlformats.org/officeDocument/2006/relationships/hyperlink" Target="https://books.google.com.br/books/about/Electroencephalography.html?id=tndqYGPHQdEC&amp;redir_esc=y" TargetMode="External"/><Relationship Id="rId22" Type="http://schemas.openxmlformats.org/officeDocument/2006/relationships/hyperlink" Target="https://cienciaescrita.com/periodico-jornal-ou-revista/" TargetMode="External"/><Relationship Id="rId66" Type="http://schemas.openxmlformats.org/officeDocument/2006/relationships/hyperlink" Target="https://fastapi.tiangolo.com/" TargetMode="External"/><Relationship Id="rId21" Type="http://schemas.openxmlformats.org/officeDocument/2006/relationships/hyperlink" Target="https://www.sciencedirect.com/science/article/abs/pii/S2452414X19300135" TargetMode="External"/><Relationship Id="rId65" Type="http://schemas.openxmlformats.org/officeDocument/2006/relationships/hyperlink" Target="https://pubmed.ncbi.nlm.nih.gov/25825667/" TargetMode="External"/><Relationship Id="rId24" Type="http://schemas.openxmlformats.org/officeDocument/2006/relationships/hyperlink" Target="https://www.researchgate.net/publication/327709435_Peeking_Inside_the_Black-Box_A_Survey_on_Explainable_Artificial_Intelligence_XAI" TargetMode="External"/><Relationship Id="rId68" Type="http://schemas.openxmlformats.org/officeDocument/2006/relationships/hyperlink" Target="https://cienciaescrita.com/periodico-jornal-ou-revista/" TargetMode="External"/><Relationship Id="rId23" Type="http://schemas.openxmlformats.org/officeDocument/2006/relationships/hyperlink" Target="https://www.sciencedirect.com/science/article/abs/pii/S0010482517303153" TargetMode="External"/><Relationship Id="rId67" Type="http://schemas.openxmlformats.org/officeDocument/2006/relationships/hyperlink" Target="https://fastapi.tiangolo.com/" TargetMode="External"/><Relationship Id="rId60" Type="http://schemas.openxmlformats.org/officeDocument/2006/relationships/hyperlink" Target="https://react.dev/" TargetMode="External"/><Relationship Id="rId26" Type="http://schemas.openxmlformats.org/officeDocument/2006/relationships/hyperlink" Target="https://cienciaescrita.com/periodico-jornal-ou-revista/" TargetMode="External"/><Relationship Id="rId25" Type="http://schemas.openxmlformats.org/officeDocument/2006/relationships/hyperlink" Target="https://www.researchgate.net/publication/220079558_The_Digital_Transformation_of_Healthcare_Current_Status_and_the_Road_Ahead" TargetMode="External"/><Relationship Id="rId69" Type="http://schemas.openxmlformats.org/officeDocument/2006/relationships/hyperlink" Target="https://pmc.ncbi.nlm.nih.gov/articles/PMC5565131/" TargetMode="External"/><Relationship Id="rId28" Type="http://schemas.openxmlformats.org/officeDocument/2006/relationships/hyperlink" Target="https://cienciaescrita.com/periodico-jornal-ou-revista/" TargetMode="External"/><Relationship Id="rId27" Type="http://schemas.openxmlformats.org/officeDocument/2006/relationships/hyperlink" Target="https://www.researchgate.net/publication/346542270_Explainability_for_artificial_intelligence_in_healthcare_a_multidisciplinary_perspective" TargetMode="External"/><Relationship Id="rId29" Type="http://schemas.openxmlformats.org/officeDocument/2006/relationships/hyperlink" Target="https://www.sciencedirect.com/science/article/abs/pii/S1566253519308103" TargetMode="External"/><Relationship Id="rId51" Type="http://schemas.openxmlformats.org/officeDocument/2006/relationships/hyperlink" Target="https://www.researchgate.net/publication/338039379_XAI-Explainable_artificial_intelligence" TargetMode="External"/><Relationship Id="rId50" Type="http://schemas.openxmlformats.org/officeDocument/2006/relationships/hyperlink" Target="https://cienciaescrita.com/periodico-jornal-ou-revista/" TargetMode="External"/><Relationship Id="rId53" Type="http://schemas.openxmlformats.org/officeDocument/2006/relationships/hyperlink" Target="https://cienciaescrita.com/periodico-jornal-ou-revista/" TargetMode="External"/><Relationship Id="rId52" Type="http://schemas.openxmlformats.org/officeDocument/2006/relationships/hyperlink" Target="https://pubmed.ncbi.nlm.nih.gov/40517785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www.oreilly.com/library/view/designing-data-intensive-applications/9781491903063/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www.researchgate.net/publication/13853244_Long_Short-Term_Memory" TargetMode="External"/><Relationship Id="rId13" Type="http://schemas.openxmlformats.org/officeDocument/2006/relationships/image" Target="media/image1.png"/><Relationship Id="rId57" Type="http://schemas.openxmlformats.org/officeDocument/2006/relationships/hyperlink" Target="https://www.nature.com/articles/nature14539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cienciaescrita.com/periodico-jornal-ou-revista/" TargetMode="External"/><Relationship Id="rId15" Type="http://schemas.openxmlformats.org/officeDocument/2006/relationships/image" Target="media/image4.png"/><Relationship Id="rId59" Type="http://schemas.openxmlformats.org/officeDocument/2006/relationships/hyperlink" Target="https://papers.nips.cc/paper_files/paper/2017/hash/8a20a8621978632d76c43dfd28b67767-Abstract.html" TargetMode="External"/><Relationship Id="rId14" Type="http://schemas.openxmlformats.org/officeDocument/2006/relationships/image" Target="media/image3.png"/><Relationship Id="rId58" Type="http://schemas.openxmlformats.org/officeDocument/2006/relationships/hyperlink" Target="https://eventtodo.com/contact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hyperlink" Target="https://catalog.nlm.nih.gov/discovery/fulldisplay?docid=alma9916189513406676&amp;context=L&amp;vid=01NLM_INST:01NLM_INST&amp;lang=en" TargetMode="External"/><Relationship Id="rId18" Type="http://schemas.openxmlformats.org/officeDocument/2006/relationships/image" Target="media/image6.png"/><Relationship Id="rId83" Type="http://schemas.openxmlformats.org/officeDocument/2006/relationships/image" Target="media/image11.png"/><Relationship Id="rId84" Type="http://schemas.openxmlformats.org/officeDocument/2006/relationships/image" Target="media/image12.png"/><Relationship Id="rId85" Type="http://schemas.openxmlformats.org/officeDocument/2006/relationships/image" Target="media/image13.png"/><Relationship Id="rId86" Type="http://schemas.openxmlformats.org/officeDocument/2006/relationships/image" Target="media/image14.png"/><Relationship Id="rId87" Type="http://schemas.openxmlformats.org/officeDocument/2006/relationships/image" Target="media/image15.png"/><Relationship Id="rId88" Type="http://schemas.openxmlformats.org/officeDocument/2006/relationships/image" Target="media/image16.png"/><Relationship Id="rId89" Type="http://schemas.openxmlformats.org/officeDocument/2006/relationships/image" Target="media/image17.png"/><Relationship Id="rId90" Type="http://schemas.openxmlformats.org/officeDocument/2006/relationships/image" Target="media/image18.png"/><Relationship Id="rId9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Plataforma Web para Analise de EEG com Inteligencia Artificial Explicavel</dc:title>
  <cp:lastModifiedBy>python-docx</cp:lastModifiedBy>
  <cp:revision>1</cp:revision>
  <dcterms:modified xsi:type="dcterms:W3CDTF">2026-10-13T12:52:18Z</dcterms:modified>
  <dc:subject>TCC II - versao final do prototipo e resultados experimentais</dc:subject>
</cp:coreProperties>
</file>