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 w:before="0"/>
        <w:ind w:firstLine="0" w:lef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b/>
          <w:color w:val="000000"/>
          <w:sz w:val="24"/>
          <w:szCs w:val="24"/>
          <w:rtl w:val="0"/>
        </w:rPr>
        <w:t xml:space="preserve">INSTITUTO FEDERAL DE EDUCAÇÃO, CIÊNCIA E TECNOLOGIA DE GOIÁS – </w:t>
      </w:r>
      <w:r w:rsidDel="00000000" w:rsidR="00000000" w:rsidRPr="00000000">
        <w:rPr>
          <w:rFonts w:ascii="Arial" w:hAnsi="Arial"/>
          <w:b/>
          <w:i w:val="1"/>
          <w:iCs w:val="1"/>
          <w:color w:val="000000"/>
          <w:sz w:val="24"/>
          <w:szCs w:val="24"/>
          <w:rtl w:val="0"/>
        </w:rPr>
        <w:t xml:space="preserve">CÂMPUS </w:t>
      </w:r>
      <w:r w:rsidDel="00000000" w:rsidR="00000000" w:rsidRPr="00000000">
        <w:rPr>
          <w:rFonts w:ascii="Arial" w:hAnsi="Arial"/>
          <w:b/>
          <w:color w:val="000000"/>
          <w:sz w:val="24"/>
          <w:szCs w:val="24"/>
          <w:rtl w:val="0"/>
        </w:rPr>
        <w:t xml:space="preserve">URUAÇU</w:t>
      </w:r>
    </w:p>
    <w:p w:rsidR="00000000" w:rsidDel="00000000" w:rsidP="00000000" w:rsidRDefault="00000000" w:rsidRPr="00000000" w14:paraId="00000002">
      <w:pPr>
        <w:spacing w:after="0" w:line="276" w:lineRule="auto" w:before="0"/>
        <w:ind w:firstLine="0" w:lef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b/>
          <w:color w:val="000000"/>
          <w:sz w:val="24"/>
          <w:szCs w:val="24"/>
          <w:rtl w:val="0"/>
        </w:rPr>
        <w:t xml:space="preserve">DEPARTAMENTO DE ÁREAS ACADÊMICAS</w:t>
      </w:r>
    </w:p>
    <w:p w:rsidR="00000000" w:rsidDel="00000000" w:rsidP="00000000" w:rsidRDefault="00000000" w:rsidRPr="00000000" w14:paraId="00000003">
      <w:pPr>
        <w:spacing w:after="2200" w:line="276" w:lineRule="auto" w:before="0"/>
        <w:ind w:firstLine="0" w:lef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b/>
          <w:color w:val="000000"/>
          <w:sz w:val="24"/>
          <w:szCs w:val="24"/>
          <w:rtl w:val="0"/>
        </w:rPr>
        <w:t xml:space="preserve">CURSO DE TECNOLOGIA EM ANÁLISE E DESENVOLVIMENTO DE SISTEMAS</w:t>
      </w:r>
    </w:p>
    <w:p w:rsidR="00000000" w:rsidDel="00000000" w:rsidP="00000000" w:rsidRDefault="00000000" w:rsidRPr="00000000" w14:paraId="0000000B">
      <w:pPr>
        <w:spacing w:line="276" w:lineRule="auto" w:before="0" w:after="2600"/>
        <w:ind w:firstLine="0" w:lef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EDUARDO HENRIQUE GUIMARÃES MARQUES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14">
      <w:pPr>
        <w:spacing w:line="276" w:lineRule="auto" w:before="0" w:after="4200"/>
        <w:ind w:firstLine="0" w:left="0"/>
        <w:jc w:val="center"/>
        <w:rPr>
          <w:b w:val="1"/>
          <w:bCs w:val="1"/>
          <w:sz w:val="24"/>
          <w:szCs w:val="24"/>
        </w:rPr>
      </w:pPr>
      <w:r>
        <w:rPr>
          <w:rFonts w:ascii="Arial" w:hAnsi="Arial"/>
          <w:b/>
          <w:color w:val="000000"/>
          <w:sz w:val="24"/>
        </w:rPr>
        <w:t>DESENVOLVIMENTO DE PLATAFORMA WEB PARA APOIO À ANÁLISE DE EEG COM INTELIGÊNCIA ARTIFICIAL EXPLICÁVEL</w:t>
      </w:r>
    </w:p>
    <w:p w:rsidR="00000000" w:rsidDel="00000000" w:rsidP="00000000" w:rsidRDefault="00000000" w:rsidRPr="00000000" w14:paraId="0000001F">
      <w:pPr>
        <w:spacing w:after="0" w:line="276" w:lineRule="auto" w:before="0"/>
        <w:ind w:firstLine="0" w:left="0"/>
        <w:jc w:val="center"/>
        <w:rPr>
          <w:sz w:val="24"/>
          <w:szCs w:val="24"/>
        </w:rPr>
      </w:pPr>
      <w:r>
        <w:rPr>
          <w:rFonts w:ascii="Arial" w:hAnsi="Arial"/>
          <w:b/>
          <w:color w:val="000000"/>
          <w:sz w:val="24"/>
          <w:szCs w:val="24"/>
          <w:rtl w:val="0"/>
        </w:rPr>
        <w:t>URUAÇU/GO</w:t>
      </w:r>
    </w:p>
    <w:p w:rsidR="00000000" w:rsidDel="00000000" w:rsidP="00000000" w:rsidRDefault="00000000" w:rsidRPr="00000000" w14:paraId="00000020">
      <w:pPr>
        <w:spacing w:after="0" w:line="276" w:lineRule="auto" w:before="0"/>
        <w:ind w:firstLine="0" w:lef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b/>
          <w:color w:val="000000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1">
      <w:pPr>
        <w:pageBreakBefore/>
        <w:spacing w:line="276" w:lineRule="auto" w:before="0" w:after="2400"/>
        <w:ind w:firstLine="0" w:lef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EDUARDO HENRIQUE GUIMARÃES MARQUES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29">
      <w:pPr>
        <w:spacing w:line="276" w:lineRule="auto" w:before="0" w:after="1800"/>
        <w:ind w:firstLine="0" w:left="0"/>
        <w:jc w:val="center"/>
        <w:rPr>
          <w:b w:val="1"/>
          <w:bCs w:val="1"/>
          <w:sz w:val="24"/>
          <w:szCs w:val="24"/>
        </w:rPr>
      </w:pPr>
      <w:r>
        <w:rPr>
          <w:rFonts w:ascii="Arial" w:hAnsi="Arial"/>
          <w:b/>
          <w:color w:val="000000"/>
          <w:sz w:val="24"/>
        </w:rPr>
        <w:t>DESENVOLVIMENTO DE PLATAFORMA WEB PARA APOIO À ANÁLISE DE EEG COM INTELIGÊNCIA ARTIFICIAL EXPLICÁVEL</w:t>
      </w:r>
    </w:p>
    <w:p w:rsidR="00000000" w:rsidDel="00000000" w:rsidP="00000000" w:rsidRDefault="00000000" w:rsidRPr="00000000" w14:paraId="00000033">
      <w:pPr>
        <w:spacing w:after="160" w:line="240" w:lineRule="auto" w:before="0"/>
        <w:ind w:left="4535" w:firstLine="0"/>
        <w:jc w:val="both"/>
        <w:rPr>
          <w:sz w:val="20"/>
          <w:szCs w:val="20"/>
        </w:rPr>
      </w:pPr>
      <w:r>
        <w:rPr>
          <w:rFonts w:ascii="Arial" w:hAnsi="Arial"/>
          <w:b w:val="0"/>
          <w:color w:val="000000"/>
          <w:sz w:val="20"/>
        </w:rPr>
        <w:t>Trabalho de Conclusão de Curso apresentado ao curso de Tecnologia em Análise e Desenvolvimento de Sistemas do Departamento de Áreas Acadêmicas do Instituto Federal de Educação, Ciência e Tecnologia de Goiás - Câmpus Uruaçu como requisito parcial para conclusão do curso.</w:t>
      </w:r>
    </w:p>
    <w:p w:rsidR="00000000" w:rsidDel="00000000" w:rsidP="00000000" w:rsidRDefault="00000000" w:rsidRPr="00000000" w14:paraId="00000034">
      <w:pPr>
        <w:spacing w:after="2900" w:line="240" w:lineRule="auto" w:before="0"/>
        <w:ind w:left="4535" w:firstLine="0"/>
        <w:jc w:val="both"/>
        <w:rPr>
          <w:sz w:val="20"/>
          <w:szCs w:val="20"/>
        </w:rPr>
      </w:pPr>
      <w:r w:rsidDel="00000000" w:rsidR="00000000" w:rsidRPr="00000000">
        <w:rPr>
          <w:rFonts w:ascii="Arial" w:hAnsi="Arial"/>
          <w:b w:val="0"/>
          <w:color w:val="000000"/>
          <w:sz w:val="20"/>
          <w:szCs w:val="20"/>
          <w:rtl w:val="0"/>
        </w:rPr>
        <w:t xml:space="preserve">Orientador: Dr. Lynwood Livi de Souza</w:t>
      </w:r>
    </w:p>
    <w:p w:rsidR="00000000" w:rsidDel="00000000" w:rsidP="00000000" w:rsidRDefault="00000000" w:rsidRPr="00000000" w14:paraId="0000003D">
      <w:pPr>
        <w:spacing w:after="0" w:line="276" w:lineRule="auto" w:before="0"/>
        <w:ind w:firstLine="0" w:left="0"/>
        <w:jc w:val="center"/>
        <w:rPr>
          <w:sz w:val="24"/>
          <w:szCs w:val="24"/>
        </w:rPr>
      </w:pPr>
      <w:r>
        <w:rPr>
          <w:rFonts w:ascii="Arial" w:hAnsi="Arial"/>
          <w:b/>
          <w:color w:val="000000"/>
          <w:sz w:val="24"/>
          <w:szCs w:val="24"/>
          <w:rtl w:val="0"/>
        </w:rPr>
        <w:t>URUAÇU/GO</w:t>
      </w:r>
    </w:p>
    <w:p w:rsidR="00000000" w:rsidDel="00000000" w:rsidP="00000000" w:rsidRDefault="00000000" w:rsidRPr="00000000" w14:paraId="0000003E">
      <w:pPr>
        <w:spacing w:after="0" w:line="276" w:lineRule="auto" w:before="0"/>
        <w:ind w:firstLine="0" w:left="0"/>
        <w:jc w:val="center"/>
        <w:rPr/>
      </w:pPr>
      <w:r w:rsidDel="00000000" w:rsidR="00000000" w:rsidRPr="00000000">
        <w:rPr>
          <w:rFonts w:ascii="Arial" w:hAnsi="Arial"/>
          <w:b/>
          <w:color w:val="000000"/>
          <w:sz w:val="24"/>
          <w:szCs w:val="24"/>
          <w:rtl w:val="0"/>
        </w:rPr>
        <w:t xml:space="preserve">2026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3F">
      <w:pPr>
        <w:pStyle w:val="Title"/>
        <w:pageBreakBefore/>
        <w:spacing w:line="276" w:lineRule="auto" w:before="0" w:after="200"/>
        <w:ind w:firstLine="0" w:left="0"/>
        <w:jc w:val="center"/>
        <w:rPr>
          <w:b w:val="1"/>
          <w:bCs w:val="1"/>
        </w:rPr>
      </w:pPr>
      <w:r>
        <w:rPr>
          <w:rFonts w:ascii="Arial" w:hAnsi="Arial"/>
          <w:b/>
          <w:color w:val="000000"/>
          <w:sz w:val="24"/>
        </w:rPr>
        <w:t>SUMÁRIO</w:t>
      </w:r>
    </w:p>
    <w:tbl>
      <w:tblPr>
        <w:tblW w:w="90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2" w:type="dxa"/>
          <w:left w:w="20" w:type="dxa"/>
          <w:bottom w:w="12" w:type="dxa"/>
          <w:right w:w="20" w:type="dxa"/>
        </w:tblCellMar>
        <w:tblLook w:val="0000"/>
      </w:tblPr>
      <w:tblGrid>
        <w:gridCol w:w="8070"/>
        <w:gridCol w:w="1000"/>
      </w:tblGrid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1 INTRODUÇÃO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5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1.1 OBJETIVOS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5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1.1.1 Objetivo Geral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6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1.1.2 Objetivos Específicos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6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1.2 Justificativa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6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2 REFERENCIAL TEÓRICO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8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2.1 Contexto Neurofisiológico e Desafios da Análise Computacional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8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2.2 Desenvolvimento Ágil e Arquitetura Orientada a Serviços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9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2.3 Tecnologias Full-Stack e Persistência de Dados Biomédicos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9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2.4 Inteligência Artificial Híbrida e Explicabilidade (XAI)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9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2.5 Transformação Digital no Diagnóstico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10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3 METODOLOGIA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12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3.1 Levantamento de Requisitos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12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3.2 Desenvolvimento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12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3.3 Tecnologias e ferramentas utilizadas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13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3.4 Desenvolvimento incremental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13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3.5 Testes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14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3.6 Implementação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14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4 SOFTWARE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15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4.1 Descrição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15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4.2 Levantamento de Requisitos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15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4.3 Requisitos Funcionais e Não Funcionais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15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4.4 Casos de uso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17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4.5 Arquitetura do Sistema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23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4.6 Fluxograma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23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4.7 Modelo Entidade Relacionamento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25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4.8 Protótipos de baixa fidelidade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26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5 RESULTADOS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32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5.1 Interface implementada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32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5.2 Protocolo experimental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33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5.3 Desempenho do modelo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34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5.4 Evolução experimental e estabilidade entre seeds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35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5.5 Análise dos erros e generalização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36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5.6 Verificação do software e dos artefatos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36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6 DISCUSSÃO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38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6.1 Limitações e ameaças à validade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38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7 CONCLUSÃO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39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REFERÊNCIAS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40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APÊNDICE A - RECURSOS E CRONOGRAMA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44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A.1 Recursos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44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A.2 Cronograma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44</w:t>
            </w:r>
          </w:p>
        </w:tc>
      </w:tr>
    </w:tbl>
    <w:p w:rsidR="00000000" w:rsidDel="00000000" w:rsidP="00000000" w:rsidRDefault="00000000" w:rsidRPr="00000000" w14:paraId="00000060">
      <w:pPr>
        <w:pStyle w:val="Title"/>
        <w:spacing w:after="0" w:line="240" w:lineRule="auto" w:before="0"/>
        <w:jc w:val="both"/>
        <w:rPr/>
        <w:sectPr>
          <w:headerReference r:id="rId6" w:type="default"/>
          <w:headerReference r:id="rId7" w:type="first"/>
          <w:footerReference r:id="rId8" w:type="first"/>
          <w:pgSz w:h="16838" w:w="11906" w:orient="portrait"/>
          <w:pgMar w:bottom="1134" w:top="1701" w:left="1701" w:right="1134" w:header="708" w:footer="708"/>
          <w:pgNumType w:start="1"/>
        </w:sectPr>
      </w:pPr>
      <w:bookmarkStart w:colFirst="0" w:colLast="0" w:name="_1f8ned6zrhix" w:id="2"/>
      <w:bookmarkEnd w:id="2"/>
      <w:r w:rsidDel="00000000" w:rsidR="00000000" w:rsidRPr="00000000">
        <w:rPr>
          <w:sz w:val="2"/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/>
        <w:pageBreakBefore w:val="0"/>
        <w:spacing w:line="240" w:lineRule="auto" w:before="0" w:after="80"/>
        <w:ind w:firstLine="0" w:left="0"/>
        <w:jc w:val="left"/>
        <w:rPr>
          <w:sz w:val="24"/>
          <w:szCs w:val="24"/>
        </w:rPr>
      </w:pPr>
      <w:bookmarkStart w:colFirst="0" w:colLast="0" w:name="_l3mlfcex4d0x" w:id="3"/>
      <w:bookmarkEnd w:id="3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1 INTRODUÇÃO 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62">
      <w:pPr>
        <w:keepNext w:val="0"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O Eletroencefalograma (EEG) constitui uma ferramenta fundamental para o diagnóstico e o monitoramento da epilepsia, pois registra com elevada resolução temporal a atividade elétrica cerebral. A análise de registros extensos, contudo, permanece predominantemente visual, demanda tempo especializado e está sujeita à fadiga e à variabilidade entre avaliadores (TATUM et al., 2018; ROY et al., 2019). Esse cenário reforça a necessidade de ferramentas computacionais capazes de apoiar a triagem sem substituir a decisão médica.</w:t>
      </w:r>
    </w:p>
    <w:p w:rsidR="00000000" w:rsidDel="00000000" w:rsidP="00000000" w:rsidRDefault="00000000" w:rsidRPr="00000000" w14:paraId="00000063">
      <w:pPr>
        <w:keepNext w:val="0"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Embora técnicas de Deep Learning apresentem potencial para reconhecer padrões complexos em EEG, sua incorporação ao fluxo clínico enfrenta barreiras técnicas e operacionais. Entre elas estão a fragmentação entre ferramentas de armazenamento e visualização, a dependência de soluções proprietárias, a dificuldade de processar exames multicanais extensos e a opacidade das redes neurais profundas. Um classificador isolado não resolve integralmente o problema: o especialista também precisa importar o exame, navegar pelos canais, localizar os eventos suspeitos, avaliar a explicação do modelo e registrar seu próprio parecer.</w:t>
      </w:r>
    </w:p>
    <w:p w:rsidR="00000000" w:rsidDel="00000000" w:rsidP="00000000" w:rsidRDefault="00000000" w:rsidRPr="00000000" w14:paraId="00000064">
      <w:pPr>
        <w:keepNext w:val="0"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</w:rPr>
        <w:t>Diante dessa lacuna, o presente trabalho desenvolveu um protótipo funcional de plataforma web para apoio à triagem e à análise de EEG. A solução centraliza a ingestão de arquivos EDF, a visualização multicanal, a inferência temporal por uma rede CNN-BiLSTM e a apresentação de trechos suspeitos. A arquitetura cliente-servidor mediada por API REST separa a interface do núcleo de processamento e permite evoluir cada componente de forma independente.</w:t>
      </w:r>
    </w:p>
    <w:p w:rsidR="00000000" w:rsidDel="00000000" w:rsidP="00000000" w:rsidRDefault="00000000" w:rsidRPr="00000000" w14:paraId="00000065">
      <w:pPr>
        <w:keepNext w:val="0"/>
        <w:spacing w:after="0" w:before="0" w:line="360" w:lineRule="auto"/>
        <w:ind w:firstLine="709" w:left="0"/>
        <w:jc w:val="both"/>
        <w:rPr>
          <w:sz w:val="24"/>
          <w:szCs w:val="24"/>
        </w:rPr>
      </w:pPr>
      <w:r>
        <w:rPr>
          <w:rFonts w:ascii="Arial" w:hAnsi="Arial"/>
          <w:color w:val="000000"/>
          <w:sz w:val="24"/>
          <w:rtl w:val="0"/>
        </w:rPr>
        <w:t>A explicabilidade é incorporada por meio do método SHAP, que relaciona a decisão da rede às características, aos canais e aos intervalos temporais analisados. O sistema deve ser compreendido como ferramenta experimental de segunda opinião, com potencial para apoiar a produtividade e direcionar a revisão do especialista, e não como substituto do diagnóstico clínico. Por lidar com informações de saúde, sua evolução também deve considerar acessibilidade, privacidade, segurança e o enquadramento regulatório aplicável a Software como Dispositivo Médico.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Arial" w:hAnsi="Arial"/>
          <w:color w:val="000000"/>
          <w:sz w:val="24"/>
        </w:rPr>
        <w:t>No Brasil, a eventual disponibilização de software com finalidade médica deve considerar a regulamentação aplicável a Software como Dispositivo Médico, incluindo a RDC nº 657, de 24 de março de 2022, da Agência Nacional de Vigilância Sanitária. O protótipo desenvolvido neste trabalho não foi submetido à regularização sanitária. No âmbito da interface, as recomendações do eMAG e das WCAG constituem referências para evolução da acessibilidade, sem que se alegue conformidade formal antes de uma auditoria específica.</w:t>
      </w:r>
    </w:p>
    <w:p w:rsidR="00000000" w:rsidDel="00000000" w:rsidP="00000000" w:rsidRDefault="00000000" w:rsidRPr="00000000" w14:paraId="00000066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q00vb749n9x" w:id="4"/>
      <w:bookmarkEnd w:id="4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1.1 OBJETIVOS</w:t>
      </w:r>
    </w:p>
    <w:p w:rsidR="00000000" w:rsidDel="00000000" w:rsidP="00000000" w:rsidRDefault="00000000" w:rsidRPr="00000000" w14:paraId="00000067">
      <w:pPr>
        <w:pStyle w:val="Heading3"/>
        <w:keepNext/>
        <w:spacing w:line="240" w:lineRule="auto" w:before="160" w:after="80"/>
        <w:ind w:firstLine="0" w:left="0"/>
        <w:jc w:val="left"/>
        <w:rPr>
          <w:b w:val="1"/>
          <w:bCs w:val="1"/>
          <w:sz w:val="24"/>
          <w:szCs w:val="24"/>
        </w:rPr>
      </w:pPr>
      <w:bookmarkStart w:colFirst="0" w:colLast="0" w:name="_m78squaotloc" w:id="5"/>
      <w:bookmarkEnd w:id="5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1.1.1 Objetivo Geral 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68">
      <w:pPr>
        <w:keepNext w:val="0"/>
        <w:spacing w:after="0" w:before="0" w:line="360" w:lineRule="auto"/>
        <w:ind w:firstLine="709" w:left="0"/>
        <w:jc w:val="both"/>
        <w:rPr>
          <w:b w:val="1"/>
          <w:bCs w:val="1"/>
          <w:sz w:val="24"/>
          <w:szCs w:val="24"/>
        </w:rPr>
      </w:pPr>
      <w:r>
        <w:rPr>
          <w:rFonts w:ascii="Arial" w:hAnsi="Arial"/>
          <w:color w:val="000000"/>
          <w:sz w:val="24"/>
          <w:rtl w:val="0"/>
        </w:rPr>
        <w:t>Desenvolver e avaliar um protótipo funcional de plataforma web para apoio à triagem e à análise de exames de Eletroencefalograma (EEG), integrando uma arquitetura híbrida CNN-BiLSTM e técnicas de Inteligência Artificial Explicável (XAI) para localizar temporalmente eventos suspeitos e fornecer informações de apoio à revisão do especialista.</w:t>
      </w:r>
    </w:p>
    <w:p w:rsidR="00000000" w:rsidDel="00000000" w:rsidP="00000000" w:rsidRDefault="00000000" w:rsidRPr="00000000" w14:paraId="00000069">
      <w:pPr>
        <w:pStyle w:val="Heading3"/>
        <w:keepNext/>
        <w:spacing w:line="240" w:lineRule="auto" w:before="160" w:after="80"/>
        <w:ind w:firstLine="0" w:left="0"/>
        <w:jc w:val="left"/>
        <w:rPr>
          <w:b w:val="1"/>
          <w:bCs w:val="1"/>
          <w:sz w:val="24"/>
          <w:szCs w:val="24"/>
        </w:rPr>
      </w:pPr>
      <w:bookmarkStart w:colFirst="0" w:colLast="0" w:name="_5buap6hfv1yf" w:id="6"/>
      <w:bookmarkEnd w:id="6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1.1.2 Objetivos Específicos 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6A">
      <w:pPr>
        <w:keepNext w:val="0"/>
        <w:spacing w:after="0" w:before="0" w:line="360" w:lineRule="auto"/>
        <w:ind w:firstLine="709" w:lef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>Os objetivos específicos a seguir foram definidos para viabilizar o alcance do objetivo geral: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line="360" w:lineRule="auto"/>
        <w:ind w:left="709" w:hanging="283"/>
        <w:jc w:val="both"/>
        <w:rPr/>
      </w:pPr>
      <w:r>
        <w:rPr>
          <w:rFonts w:ascii="Arial" w:hAnsi="Arial"/>
          <w:b w:val="0"/>
          <w:color w:val="000000"/>
          <w:sz w:val="24"/>
        </w:rPr>
        <w:t>• Levantar e documentar requisitos funcionais e não funcionais relacionados à ingestão, ao processamento, à visualização, à segurança e à interpretabilidade de sinais de EEG.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="360" w:lineRule="auto"/>
        <w:ind w:left="709" w:hanging="283"/>
        <w:jc w:val="both"/>
        <w:rPr/>
      </w:pPr>
      <w:r>
        <w:rPr>
          <w:rFonts w:ascii="Arial" w:hAnsi="Arial"/>
          <w:b w:val="0"/>
          <w:color w:val="000000"/>
          <w:sz w:val="24"/>
        </w:rPr>
        <w:t>• Implementar uma interface web responsiva, desenvolvida em React, para importação de EDF, navegação temporal, zoom e seleção dinâmica de canais.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="360" w:lineRule="auto"/>
        <w:ind w:left="709" w:hanging="283"/>
        <w:jc w:val="both"/>
        <w:rPr/>
      </w:pPr>
      <w:r>
        <w:rPr>
          <w:rFonts w:ascii="Arial" w:hAnsi="Arial"/>
          <w:b w:val="0"/>
          <w:color w:val="000000"/>
          <w:sz w:val="24"/>
        </w:rPr>
        <w:t>• Desenvolver um módulo de ingestão capaz de validar arquivos EDF, extrair seus metadados e preservar a identidade dos canais durante a análise.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="360" w:lineRule="auto"/>
        <w:ind w:left="709" w:hanging="283"/>
        <w:jc w:val="both"/>
        <w:rPr/>
      </w:pPr>
      <w:r>
        <w:rPr>
          <w:rFonts w:ascii="Arial" w:hAnsi="Arial"/>
          <w:b w:val="0"/>
          <w:color w:val="000000"/>
          <w:sz w:val="24"/>
        </w:rPr>
        <w:t>• Estruturar o janelamento temporal depois da separação dos pacientes entre treino e calibração, ampliando a quantidade de exemplos sem provocar vazamento de dados.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="360" w:lineRule="auto"/>
        <w:ind w:left="709" w:hanging="283"/>
        <w:jc w:val="both"/>
        <w:rPr/>
      </w:pPr>
      <w:r>
        <w:t>• Investigar Entropia de Shannon e Dinâmica Simbólica como características candidatas e selecionar, por avaliação experimental, a representação de entrada da CNN-BiLSTM temporal.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="360" w:lineRule="auto"/>
        <w:ind w:left="709" w:hanging="283"/>
        <w:jc w:val="both"/>
        <w:rPr/>
      </w:pPr>
      <w:r>
        <w:rPr>
          <w:rFonts w:ascii="Arial" w:hAnsi="Arial"/>
          <w:b w:val="0"/>
          <w:color w:val="000000"/>
          <w:sz w:val="24"/>
        </w:rPr>
        <w:t>• Integrar o método SHAP para representar a relevância das características por canal e por intervalo temporal sobre o traçado do EEG.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before="0" w:beforeAutospacing="0" w:line="360" w:lineRule="auto"/>
        <w:ind w:left="709" w:hanging="283"/>
        <w:jc w:val="both"/>
        <w:rPr/>
      </w:pPr>
      <w:r>
        <w:rPr>
          <w:rFonts w:ascii="Arial" w:hAnsi="Arial"/>
          <w:b w:val="0"/>
          <w:color w:val="000000"/>
          <w:sz w:val="24"/>
        </w:rPr>
        <w:t>• Avaliar o modelo em registros públicos da CHB-MIT por EDF, evento e localização temporal, utilizando precisão, sensibilidade, F1, IoU e falsos alarmes por hora.</w:t>
      </w:r>
    </w:p>
    <w:p w:rsidR="00000000" w:rsidDel="00000000" w:rsidP="00000000" w:rsidRDefault="00000000" w:rsidRPr="00000000" w14:paraId="00000072">
      <w:pPr>
        <w:pStyle w:val="Heading2"/>
        <w:keepNext/>
        <w:spacing w:line="240" w:lineRule="auto" w:before="160" w:after="80"/>
        <w:ind w:firstLine="0" w:left="0"/>
        <w:jc w:val="left"/>
        <w:rPr>
          <w:b w:val="1"/>
          <w:bCs w:val="1"/>
          <w:sz w:val="24"/>
          <w:szCs w:val="24"/>
        </w:rPr>
      </w:pPr>
      <w:bookmarkStart w:colFirst="0" w:colLast="0" w:name="_1clf1nar1xaz" w:id="7"/>
      <w:bookmarkEnd w:id="7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1.2 Justificativa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73">
      <w:pPr>
        <w:keepNext w:val="0"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leitura manual de EEG é extensa e depende de conhecimento especializado, enquanto classificadores isolados não oferecem necessariamente o fluxo de ingestão, visualização, explicação e registro do parecer. O projeto busca enfrentar essa lacuna por meio de uma plataforma integrada, preservando a supervisão humana e apresentando a saída da IA como trecho suspeito, e não como diagnóstico final.</w:t>
      </w:r>
    </w:p>
    <w:p w:rsidR="00000000" w:rsidDel="00000000" w:rsidP="00000000" w:rsidRDefault="00000000" w:rsidRPr="00000000" w14:paraId="00000074">
      <w:pPr>
        <w:keepNext w:val="0"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proposta fundamenta-se na experiência adquirida no projeto de iniciação tecnológica Identificação de Padrões Genéticos para Diagnóstico de Doenças Utilizando Inteligência Artificial, posteriormente direcionado à análise de sinais bioelétricos (MOREIRA et al., 2025). O trabalho anterior demonstrou a viabilidade de extrair características matemáticas de séries temporais; o presente projeto amplia essa contribuição ao incorporar tais técnicas a um fluxo web completo.</w:t>
      </w:r>
    </w:p>
    <w:p w:rsidR="00000000" w:rsidDel="00000000" w:rsidP="00000000" w:rsidRDefault="00000000" w:rsidRPr="00000000" w14:paraId="00000075">
      <w:pPr>
        <w:keepNext w:val="0"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disponibilização por navegador reduz a dependência de instalações proprietárias em cada estação de trabalho e permite centralizar o processamento computacional no servidor. Essa estratégia não elimina custos de infraestrutura, mas favorece manutenção, atualização e acesso controlado. A integração entre visualização, modelo temporal e XAI também contribui para que a predição seja inspecionada no contexto do sinal original.</w:t>
      </w:r>
    </w:p>
    <w:p w:rsidR="00000000" w:rsidDel="00000000" w:rsidP="00000000" w:rsidRDefault="00000000" w:rsidRPr="00000000" w14:paraId="00000076">
      <w:pPr>
        <w:keepNext w:val="0"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relevância acadêmica decorre da aplicação conjunta de Engenharia de Software, processamento de sinais, aprendizado profundo e interpretabilidade. O resultado esperado é um protótipo verificável, acompanhado de métricas e limitações explícitas, que possa servir de base para estudos posteriores de generalização interpaciente, usabilidade e validação com especialistas.</w:t>
      </w:r>
    </w:p>
    <w:p w:rsidR="00000000" w:rsidDel="00000000" w:rsidP="00000000" w:rsidRDefault="00000000" w:rsidRPr="00000000" w14:paraId="00000079">
      <w:pPr>
        <w:pStyle w:val="Heading1"/>
        <w:keepNext/>
        <w:pageBreakBefore/>
        <w:spacing w:line="240" w:lineRule="auto" w:before="0" w:after="80"/>
        <w:ind w:firstLine="0" w:left="0"/>
        <w:jc w:val="left"/>
        <w:rPr>
          <w:sz w:val="24"/>
          <w:szCs w:val="24"/>
        </w:rPr>
      </w:pPr>
      <w:bookmarkStart w:colFirst="0" w:colLast="0" w:name="_x1957ionkqr3" w:id="8"/>
      <w:bookmarkEnd w:id="8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2 REFERENCIAL TEÓRICO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mrnm7u5khih5" w:id="9"/>
      <w:bookmarkEnd w:id="9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2.1 Contexto Neurofisiológico e Desafios da Análise Computacional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7B">
      <w:pPr>
        <w:keepNext w:val="0"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O Eletroencefalograma (EEG) é reconhecido como recurso fundamental para o diagnóstico e o monitoramento de epilepsia e outras desordens cerebrais, caracterizando-se como exame não invasivo, de baixo custo e elevada resolução temporal (NIEDERMEYER; LOPES DA SILVA, 2005; CRAIK et al., 2019). A duração dos registros e a quantidade de canais produzem grande volume de dados, o que aumenta a carga de revisão dos especialistas.</w:t>
      </w:r>
    </w:p>
    <w:p w:rsidR="00000000" w:rsidDel="00000000" w:rsidP="00000000" w:rsidRDefault="00000000" w:rsidRPr="00000000" w14:paraId="0000007C">
      <w:pPr>
        <w:keepNext w:val="0"/>
        <w:spacing w:after="0" w:before="0" w:line="360" w:lineRule="auto"/>
        <w:ind w:firstLine="709" w:lef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>Apesar da importância crítica do exame, a interpretação do EEG ainda é predominantemente manual e visual. Relatórios e estudos da área indicam que a análise de longas séries temporais (exames que podem durar de 20 minutos a dias) é um processo exaustivo, sujeito à fadiga e à subjetividade do especialista (TATUM et al., 2018; ROY et al., 2019). Essa dependência da análise humana exclusiva constitui uma vulnerabilidade diagnóstica crítica. A leitura visual convencional é criticada por ser lenta, apresentar baixa concordância entre diferentes avaliadores (variabilidade interobservador) e ser propensa a erros na detecção de eventos sutis ou raros em meio a artefatos de ruído (ABOALAYON et al., 2016).</w:t>
      </w:r>
    </w:p>
    <w:p w:rsidR="00000000" w:rsidDel="00000000" w:rsidP="00000000" w:rsidRDefault="00000000" w:rsidRPr="00000000" w14:paraId="0000007D">
      <w:pPr>
        <w:keepNext w:val="0"/>
        <w:spacing w:after="0" w:before="0" w:line="360" w:lineRule="auto"/>
        <w:ind w:firstLine="709" w:lef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>Diante da complexidade não-linear dos sinais biológicos, a aplicação de Inteligência Artificial deixou de ser apenas uma promessa acadêmica e tornou-se uma necessidade para o suporte à decisão clínica (TOPOL, 2019). O estado da arte exige modernização e eficiência, tornando sistemas de auxílio ao diagnóstico (CDSS - Clinical Decision Support Systems) indispensáveis para triagem em larga escala (SUTTON et al., 2020). A adoção de algoritmos de Deep Learning tem como principal objetivo sanar as limitações humanas, pois: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line="360" w:lineRule="auto"/>
        <w:ind w:left="709" w:hanging="283"/>
        <w:jc w:val="both"/>
        <w:rPr>
          <w:u w:val="none"/>
        </w:rPr>
      </w:pPr>
      <w:r/>
      <w:r>
        <w:rPr>
          <w:rFonts w:ascii="Arial" w:hAnsi="Arial"/>
          <w:b/>
          <w:color w:val="000000"/>
          <w:sz w:val="24"/>
        </w:rPr>
        <w:t>• Aumenta a Sensibilidade:</w:t>
      </w:r>
      <w:r>
        <w:rPr>
          <w:rFonts w:ascii="Arial" w:hAnsi="Arial"/>
          <w:b w:val="0"/>
          <w:color w:val="000000"/>
          <w:sz w:val="24"/>
        </w:rPr>
        <w:t xml:space="preserve"> redes profundas podem identificar relações não lineares e padrões distribuídos no sinal que são difíceis de representar por regras fixas; o desempenho, contudo, depende da base, do protocolo de validação e da população avaliada (ACHARYA et al., 2018; ROY et al., 2019).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="360" w:lineRule="auto"/>
        <w:ind w:left="709" w:hanging="283"/>
        <w:jc w:val="both"/>
        <w:rPr>
          <w:u w:val="none"/>
        </w:rPr>
      </w:pPr>
      <w:r/>
      <w:r>
        <w:rPr>
          <w:rFonts w:ascii="Arial" w:hAnsi="Arial"/>
          <w:b/>
          <w:color w:val="000000"/>
          <w:sz w:val="24"/>
        </w:rPr>
        <w:t>• Automatiza a Triagem:</w:t>
      </w:r>
      <w:r>
        <w:rPr>
          <w:rFonts w:ascii="Arial" w:hAnsi="Arial"/>
          <w:b w:val="0"/>
          <w:color w:val="000000"/>
          <w:sz w:val="24"/>
        </w:rPr>
        <w:t xml:space="preserve"> Soluções tecnológicas processam arquivos pesados em segundos, permitindo que o médico foque sua atenção apenas nos segmentos apontados como patológicos pelo sistema, otimizando o fluxo clínico (ESTEVA et al., 2019).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before="0" w:beforeAutospacing="0" w:line="360" w:lineRule="auto"/>
        <w:ind w:left="709" w:hanging="283"/>
        <w:jc w:val="both"/>
        <w:rPr>
          <w:u w:val="none"/>
        </w:rPr>
      </w:pPr>
      <w:r/>
      <w:r>
        <w:rPr>
          <w:rFonts w:ascii="Arial" w:hAnsi="Arial"/>
          <w:b/>
          <w:color w:val="000000"/>
          <w:sz w:val="24"/>
        </w:rPr>
        <w:t>• Padroniza a Análise:</w:t>
      </w:r>
      <w:r>
        <w:rPr>
          <w:rFonts w:ascii="Arial" w:hAnsi="Arial"/>
          <w:b w:val="0"/>
          <w:color w:val="000000"/>
          <w:sz w:val="24"/>
        </w:rPr>
        <w:t xml:space="preserve"> Ao utilizar critérios matemáticos consistentes, a tecnologia reduz a variabilidade diagnóstica, proporcionando uma "segunda opinião" isenta de fatores como cansaço ou viés cognitivo (FAUST et al., 2018).</w:t>
      </w:r>
    </w:p>
    <w:p w:rsidR="00000000" w:rsidDel="00000000" w:rsidP="00000000" w:rsidRDefault="00000000" w:rsidRPr="00000000" w14:paraId="00000081">
      <w:pPr>
        <w:keepNext w:val="0"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Portanto, uma plataforma web de apoio não busca substituir o médico, mas organizar o fluxo de triagem e apresentar evidências computacionais para revisão. A utilidade clínica efetiva depende de validação externa, avaliação com especialistas e controle dos falsos alarmes.</w:t>
      </w:r>
    </w:p>
    <w:p w:rsidR="00000000" w:rsidDel="00000000" w:rsidP="00000000" w:rsidRDefault="00000000" w:rsidRPr="00000000" w14:paraId="00000082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eimas9j4voya" w:id="10"/>
      <w:bookmarkEnd w:id="10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2.2 Desenvolvimento Ágil e Arquitetura Orientada a Serviços</w:t>
      </w:r>
    </w:p>
    <w:p w:rsidR="00000000" w:rsidDel="00000000" w:rsidP="00000000" w:rsidRDefault="00000000" w:rsidRPr="00000000" w14:paraId="00000083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szCs w:val="24"/>
          <w:rtl w:val="0"/>
        </w:rPr>
        <w:t>O desenvolvimento adotou uma abordagem incremental adaptada a um projeto individual de Pesquisa e Desenvolvimento. Em vez de reproduzir integralmente papéis coletivos de Scrum ou XP, o trabalho foi organizado em ciclos de implementação, experimento, avaliação e revisão com a orientação acadêmica. O Git foi utilizado para versionar o código e manter a rastreabilidade das alterações.</w:t>
      </w:r>
    </w:p>
    <w:p w:rsidR="00000000" w:rsidDel="00000000" w:rsidP="00000000" w:rsidRDefault="00000000" w:rsidRPr="00000000" w14:paraId="00000084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Os ciclos curtos permitiram comparar arquiteturas, estratégias de amostragem e regras temporais antes da integração ao produto. Cada alteração relevante foi confrontada com uma referência controlada, reduzindo o risco de promover um modelo apenas por melhora pontual em uma única métrica.</w:t>
      </w:r>
    </w:p>
    <w:p w:rsidR="00000000" w:rsidDel="00000000" w:rsidP="00000000" w:rsidRDefault="00000000" w:rsidRPr="00000000" w14:paraId="00000085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arquitetura segue o modelo cliente-servidor mediado por API REST. O frontend React envia requisições ao backend FastAPI, responsável pela persistência, pelo processamento dos arquivos EDF e pela execução da IA. Esse desacoplamento permite manter a interface responsiva enquanto as tarefas computacionalmente intensivas são executadas no servidor.</w:t>
      </w:r>
    </w:p>
    <w:p w:rsidR="00000000" w:rsidDel="00000000" w:rsidP="00000000" w:rsidRDefault="00000000" w:rsidRPr="00000000" w14:paraId="00000087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mf5yy08agam" w:id="11"/>
      <w:bookmarkEnd w:id="11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2.3 Tecnologias Full-Stack e Persistência de Dados Biomédicos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88">
      <w:pPr>
        <w:keepNext w:val="0"/>
        <w:spacing w:after="0" w:line="360" w:lineRule="auto" w:before="0"/>
        <w:ind w:firstLine="709" w:lef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>A arquitetura Full-Stack moderna é essencial para o desenvolvimento de soluções que exigem alta performance e interatividade, como a proposta. Na camada de desenvolvimento da API e Inteligência Artificial, a escolha pela linguagem Python é crucial, pois ela constitui o padrão da indústria para Ciência de Dados, oferecendo bibliotecas robustas (como TensorFlow e MNE) para manipulação de sinais (VAN ROSSUM; DRAKE, 2009; MCKINNEY, 2012). Para a interface web, sistemas modernos de visualização médica exigem gráficos dinâmicos e interativos (necessários para o zoom e seleção de canais no EEG), sendo o React.js a biblioteca mais indicada para a construção de uma Single Page Application (SPA) fluida e reativa (META PLATFORMS, 2024; BANKS; PORCELLO, 2020).</w:t>
      </w:r>
    </w:p>
    <w:p w:rsidR="00000000" w:rsidDel="00000000" w:rsidP="00000000" w:rsidRDefault="00000000" w:rsidRPr="00000000" w14:paraId="00000089">
      <w:pPr>
        <w:keepNext w:val="0"/>
        <w:spacing w:after="0" w:line="360" w:lineRule="auto" w:before="0"/>
        <w:ind w:firstLine="709" w:left="0"/>
        <w:jc w:val="both"/>
        <w:rPr/>
      </w:pPr>
      <w:r>
        <w:t>Na versão final, o PostgreSQL armazena os dados cadastrais e metadados dos exames, enquanto os arquivos EDF e os artefatos de IA permanecem no sistema de arquivos, com seus caminhos referenciados pela aplicação. A conexão e a leitura dos registros foram verificadas no fluxo local da API. Não foram utilizados pgvector nem banco vetorial.</w:t>
      </w:r>
    </w:p>
    <w:p w:rsidR="00000000" w:rsidDel="00000000" w:rsidP="00000000" w:rsidRDefault="00000000" w:rsidRPr="00000000" w14:paraId="0000008A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z8ee6qpdqh5v" w:id="12"/>
      <w:bookmarkEnd w:id="12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2.4 Inteligência Artificial Híbrida e Explicabilidade (XAI)</w:t>
      </w:r>
    </w:p>
    <w:p w:rsidR="00000000" w:rsidDel="00000000" w:rsidP="00000000" w:rsidRDefault="00000000" w:rsidRPr="00000000" w14:paraId="0000008B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aplicação de IA na saúde enfrenta o problema da opacidade algorítmica. Em sistemas de apoio, uma métrica elevada não é suficiente para justificar confiança: também é necessário conhecer a origem dos dados, o protocolo de validação, as limitações do modelo e os elementos que influenciaram cada predição (AMANN et al., 2020; ADADI; BERRADA, 2018).</w:t>
      </w:r>
    </w:p>
    <w:p w:rsidR="00000000" w:rsidDel="00000000" w:rsidP="00000000" w:rsidRDefault="00000000" w:rsidRPr="00000000" w14:paraId="0000008C">
      <w:pPr>
        <w:keepNext w:val="0"/>
        <w:spacing w:after="0" w:line="360" w:lineRule="auto" w:before="0"/>
        <w:ind w:firstLine="709" w:left="0"/>
        <w:jc w:val="both"/>
        <w:rPr/>
      </w:pPr>
      <w:r>
        <w:t>No TCC I, a proposta de CNN-LSTM partia da análise temporal do EEG e previa Entropia de Shannon e Dinâmica Simbólica como entradas possíveis. Durante a implementação, diferentes representações foram avaliadas. A versão final utiliza uma CNN-BiLSTM sobre sequências de características tempo-frequência extraídas por canal, e não sobre todas as amostras brutas da onda. A parte convolucional aprende padrões nessa representação; a parte recorrente modela sua evolução temporal. Assim, a arquitetura implementada mantém o objetivo de detectar intervalos suspeitos, mas não corresponde literalmente à entrada bruta descrita na proposta inicial (HOCHREITER; SCHMIDHUBER, 1997; YAMASHITA et al., 2018).</w:t>
      </w:r>
    </w:p>
    <w:p>
      <w:pPr>
        <w:keepNext w:val="0"/>
        <w:spacing w:line="360" w:lineRule="auto" w:before="0" w:after="0"/>
        <w:ind w:firstLine="709" w:left="0"/>
        <w:jc w:val="both"/>
      </w:pPr>
      <w:r>
        <w:t>O trabalho anterior de Moreira et al. (2025) integra o contexto acadêmico que motivou a investigação de características matemáticas e modelos de IA. Seus resultados numéricos não são utilizados aqui como evidência de desempenho em EEG, pois não foi possível conferir no relatório original o protocolo e os valores atribuídos a essa comparação. A escolha da CNN-BiLSTM e de sua representação de entrada fundamenta-se nos experimentos controlados descritos neste trabalho, sem transferir acurácias de outro estudo para a avaliação da CHB-MIT.</w:t>
      </w:r>
    </w:p>
    <w:p w:rsidR="00000000" w:rsidDel="00000000" w:rsidP="00000000" w:rsidRDefault="00000000" w:rsidRPr="00000000" w14:paraId="0000008D">
      <w:pPr>
        <w:keepNext w:val="0"/>
        <w:spacing w:after="0" w:line="360" w:lineRule="auto" w:before="0"/>
        <w:ind w:firstLine="709" w:lef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>Para que essa análise seja confiável, a integração do método SHAP (Shapley Additive exPlanations) é fundamental. Proposto por Lundberg e Lee (2017), o SHAP baseia-se na teoria dos jogos para atribuir valores de importância a cada feature de entrada. O uso de XAI neste contexto: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line="360" w:lineRule="auto" w:before="0"/>
        <w:ind w:left="709" w:hanging="283"/>
        <w:jc w:val="both"/>
        <w:rPr>
          <w:u w:val="none"/>
        </w:rPr>
      </w:pPr>
      <w:r/>
      <w:r>
        <w:rPr>
          <w:rFonts w:ascii="Arial" w:hAnsi="Arial"/>
          <w:b/>
          <w:color w:val="000000"/>
          <w:sz w:val="24"/>
        </w:rPr>
        <w:t>• Favorece a Interpretabilidade:</w:t>
      </w:r>
      <w:r>
        <w:rPr>
          <w:rFonts w:ascii="Arial" w:hAnsi="Arial"/>
          <w:b w:val="0"/>
          <w:color w:val="000000"/>
          <w:sz w:val="24"/>
        </w:rPr>
        <w:t xml:space="preserve"> o sistema associa os valores de relevância às features, aos canais e aos intervalos temporais da sequência analisada, permitindo confrontar a saída do modelo com o traçado exibido.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line="360" w:lineRule="auto" w:before="0"/>
        <w:ind w:left="709" w:hanging="283"/>
        <w:jc w:val="both"/>
        <w:rPr>
          <w:u w:val="none"/>
        </w:rPr>
      </w:pPr>
      <w:r/>
      <w:r>
        <w:rPr>
          <w:rFonts w:ascii="Arial" w:hAnsi="Arial"/>
          <w:b/>
          <w:color w:val="000000"/>
          <w:sz w:val="24"/>
        </w:rPr>
        <w:t>• Apoia a Revisão Clínica:</w:t>
      </w:r>
      <w:r>
        <w:rPr>
          <w:rFonts w:ascii="Arial" w:hAnsi="Arial"/>
          <w:b w:val="0"/>
          <w:color w:val="000000"/>
          <w:sz w:val="24"/>
        </w:rPr>
        <w:t xml:space="preserve"> a explicação não comprova uma justificativa fisiológica nem valida automaticamente a predição. Ela oferece uma indicação adicional para que o especialista examine se a região destacada é compatível com evento ictal, padrão interictal ou artefato.</w:t>
      </w:r>
    </w:p>
    <w:p w:rsidR="00000000" w:rsidDel="00000000" w:rsidP="00000000" w:rsidRDefault="00000000" w:rsidRPr="00000000" w14:paraId="00000090">
      <w:pPr>
        <w:keepNext w:val="0"/>
        <w:spacing w:after="0" w:line="360" w:lineRule="auto" w:before="0"/>
        <w:ind w:firstLine="709" w:left="0"/>
        <w:jc w:val="both"/>
        <w:rPr>
          <w:sz w:val="24"/>
          <w:szCs w:val="24"/>
        </w:rPr>
      </w:pPr>
      <w:r>
        <w:rPr>
          <w:rFonts w:ascii="Arial" w:hAnsi="Arial"/>
          <w:color w:val="000000"/>
          <w:sz w:val="24"/>
          <w:rtl w:val="0"/>
        </w:rPr>
        <w:t>A combinação entre modelo temporal e XAI é, portanto, utilizada para tornar a saída computacional mais inspecionável, mantendo explícita a necessidade de supervisão humana e validação externa.</w:t>
      </w:r>
    </w:p>
    <w:p w:rsidR="00000000" w:rsidDel="00000000" w:rsidP="00000000" w:rsidRDefault="00000000" w:rsidRPr="00000000" w14:paraId="00000091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b7ssjv3hmnvy" w:id="13"/>
      <w:bookmarkEnd w:id="13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2.5 Transformação Digital no Diagnóstico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92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transformação digital em saúde depende de sistemas capazes de trocar e apresentar dados de forma consistente. Neste trabalho, a interoperabilidade foi delimitada ao suporte ao formato EDF e à comunicação por API REST. Integrações hospitalares baseadas em HL7 FHIR ou DICOM não foram implementadas e permanecem como possibilidade de evolução.</w:t>
      </w:r>
    </w:p>
    <w:p w:rsidR="00000000" w:rsidDel="00000000" w:rsidP="00000000" w:rsidRDefault="00000000" w:rsidRPr="00000000" w14:paraId="00000093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centralização web pode reduzir fragmentação operacional ao reunir cadastro, exame, visualização, análise e laudo em uma única interface. Entretanto, rapidez, segurança e benefício clínico não devem ser presumidos; essas propriedades precisam ser demonstradas por testes técnicos e estudos com usuários.</w:t>
      </w:r>
    </w:p>
    <w:p w:rsidR="00000000" w:rsidDel="00000000" w:rsidP="00000000" w:rsidRDefault="00000000" w:rsidRPr="00000000" w14:paraId="00000094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Nesse contexto, a plataforma proposta se alinha à digitalização do fluxo de análise, mantendo o especialista responsável pela interpretação e pelo laudo. A automação fornece trechos suspeitos e explicações, mas não garante eliminação de erros nem maior precisão clínica sem validação apropriada.</w:t>
      </w:r>
    </w:p>
    <w:p w:rsidR="00000000" w:rsidDel="00000000" w:rsidP="00000000" w:rsidRDefault="00000000" w:rsidRPr="00000000" w14:paraId="00000099">
      <w:pPr>
        <w:pStyle w:val="Heading1"/>
        <w:keepNext/>
        <w:pageBreakBefore/>
        <w:spacing w:line="240" w:lineRule="auto" w:before="0" w:after="80"/>
        <w:ind w:firstLine="0" w:left="0"/>
        <w:jc w:val="left"/>
        <w:rPr/>
      </w:pPr>
      <w:bookmarkStart w:colFirst="0" w:colLast="0" w:name="_s2zgn28frzm0" w:id="14"/>
      <w:bookmarkEnd w:id="14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3 METODOLOGIA</w:t>
      </w:r>
    </w:p>
    <w:p w:rsidR="00000000" w:rsidDel="00000000" w:rsidP="00000000" w:rsidRDefault="00000000" w:rsidRPr="00000000" w14:paraId="0000009A">
      <w:pPr>
        <w:keepNext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 w:before="0"/>
        <w:ind w:firstLine="709" w:left="0"/>
        <w:jc w:val="both"/>
        <w:rPr>
          <w:color w:val="1b1c1d"/>
        </w:rPr>
      </w:pPr>
      <w:r>
        <w:rPr>
          <w:rFonts w:ascii="Arial" w:hAnsi="Arial"/>
          <w:color w:val="000000"/>
          <w:sz w:val="24"/>
        </w:rPr>
        <w:t>O desenvolvimento foi organizado nas etapas apresentadas na Figura 1, desde o levantamento de requisitos até a integração e a verificação técnica do protótipo.</w:t>
      </w:r>
    </w:p>
    <w:p>
      <w:pPr>
        <w:keepNext/>
        <w:spacing w:line="240" w:lineRule="auto" w:after="80" w:before="20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1 – Etapas executadas no desenvolvimento e na avaliação do projeto.</w:t>
      </w:r>
    </w:p>
    <w:p>
      <w:pPr>
        <w:keepNext/>
        <w:spacing w:line="240" w:lineRule="auto" w:before="60" w:after="60"/>
        <w:ind w:firstLine="0" w:left="0"/>
        <w:jc w:val="center"/>
      </w:pPr>
      <w:r>
        <w:drawing>
          <wp:inline>
            <wp:extent cx="4896000" cy="11572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s_metodologicas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157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200" w:before="6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09B">
      <w:pPr>
        <w:pStyle w:val="Heading2"/>
        <w:keepNext/>
        <w:spacing w:line="240" w:lineRule="auto" w:before="160" w:after="80"/>
        <w:ind w:firstLine="0" w:left="0"/>
        <w:jc w:val="left"/>
        <w:rPr>
          <w:b w:val="1"/>
          <w:bCs w:val="1"/>
          <w:sz w:val="24"/>
          <w:szCs w:val="24"/>
        </w:rPr>
      </w:pPr>
      <w:bookmarkStart w:colFirst="0" w:colLast="0" w:name="_msztwk8da3yt" w:id="15"/>
      <w:bookmarkEnd w:id="15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3.1 Levantamento de Requisitos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9C">
      <w:pPr>
        <w:keepNext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 w:left="0"/>
        <w:jc w:val="both"/>
        <w:rPr>
          <w:sz w:val="24"/>
          <w:szCs w:val="24"/>
        </w:rPr>
      </w:pPr>
      <w:r>
        <w:rPr>
          <w:rFonts w:ascii="Arial" w:hAnsi="Arial"/>
          <w:color w:val="000000"/>
          <w:sz w:val="24"/>
          <w:rtl w:val="0"/>
        </w:rPr>
        <w:t>O levantamento de requisitos foi conduzido por revisão bibliográfica sobre análise computacional de EEG, análise documental do formato EDF, estudo do fluxo proposto no projeto anterior e refinamentos realizados durante a orientação acadêmica.</w:t>
      </w:r>
    </w:p>
    <w:p w:rsidR="00000000" w:rsidDel="00000000" w:rsidP="00000000" w:rsidRDefault="00000000" w:rsidRPr="00000000" w14:paraId="0000009D">
      <w:pPr>
        <w:keepNext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 w:left="0"/>
        <w:jc w:val="both"/>
        <w:rPr>
          <w:sz w:val="24"/>
          <w:szCs w:val="24"/>
        </w:rPr>
      </w:pPr>
      <w:r>
        <w:rPr>
          <w:rFonts w:ascii="Arial" w:hAnsi="Arial"/>
          <w:color w:val="000000"/>
          <w:sz w:val="24"/>
          <w:rtl w:val="0"/>
        </w:rPr>
        <w:t>Foram priorizados requisitos de ingestão, processamento de registros multicanais, visualização temporal, segurança, persistência e interpretabilidade. Não foram realizadas entrevistas estruturadas nem validação formal com neurologistas; por isso, os requisitos clínicos da versão atual são tratados como requisitos de um protótipo acadêmico.</w:t>
      </w:r>
    </w:p>
    <w:p w:rsidR="00000000" w:rsidDel="00000000" w:rsidP="00000000" w:rsidRDefault="00000000" w:rsidRPr="00000000" w14:paraId="0000009E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O benchmarking teve caráter bibliográfico e conceitual. Foram comparadas características descritas na literatura e em ferramentas de processamento de EEG, com atenção a visualização, seleção de canais, suporte a EDF e explicabilidade. Ferramentas que não tenham sido avaliadas de forma documentada não são apresentadas como objetos de comparação empírica.</w:t>
      </w:r>
    </w:p>
    <w:p w:rsidR="00000000" w:rsidDel="00000000" w:rsidP="00000000" w:rsidRDefault="00000000" w:rsidRPr="00000000" w14:paraId="0000009F">
      <w:pPr>
        <w:keepNext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Como resultado, foram definidos os módulos de autenticação, pacientes, ingestão de EDF, visualização multicanal, análise preditiva, explicabilidade, configurações e emissão de laudo. A validação desses requisitos com profissionais da neurologia permanece como trabalho futuro.</w:t>
      </w:r>
    </w:p>
    <w:p w:rsidR="00000000" w:rsidDel="00000000" w:rsidP="00000000" w:rsidRDefault="00000000" w:rsidRPr="00000000" w14:paraId="000000A0">
      <w:pPr>
        <w:pStyle w:val="Heading2"/>
        <w:keepNext/>
        <w:spacing w:line="240" w:lineRule="auto" w:before="160" w:after="80"/>
        <w:ind w:firstLine="0" w:left="0"/>
        <w:jc w:val="left"/>
        <w:rPr>
          <w:b w:val="1"/>
          <w:bCs w:val="1"/>
          <w:sz w:val="24"/>
          <w:szCs w:val="24"/>
        </w:rPr>
      </w:pPr>
      <w:bookmarkStart w:colFirst="0" w:colLast="0" w:name="_kk6jz3b8unjj" w:id="16"/>
      <w:bookmarkEnd w:id="16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3.2 Desenvolvimento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A1">
      <w:pPr>
        <w:keepNext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 w:left="0"/>
        <w:jc w:val="both"/>
        <w:rPr>
          <w:color w:val="1b1c1d"/>
        </w:rPr>
      </w:pPr>
      <w:r>
        <w:rPr>
          <w:rFonts w:ascii="Arial" w:hAnsi="Arial"/>
          <w:color w:val="000000"/>
          <w:sz w:val="24"/>
          <w:rtl w:val="0"/>
        </w:rPr>
        <w:t>O desenvolvimento foi conduzido em ciclos incrementais individuais de implementação, teste e revisão. A orientação acadêmica apoiou a avaliação das entregas e o Git registrou a evolução do código. Nos ciclos de IA, hiperparâmetros e arquiteturas foram comparados por experimentos controlados antes da integração.</w:t>
      </w:r>
    </w:p>
    <w:p w:rsidR="00000000" w:rsidDel="00000000" w:rsidP="00000000" w:rsidRDefault="00000000" w:rsidRPr="00000000" w14:paraId="000000A2">
      <w:pPr>
        <w:keepNext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 w:left="0"/>
        <w:jc w:val="both"/>
        <w:rPr>
          <w:color w:val="1b1c1d"/>
        </w:rPr>
      </w:pPr>
      <w:r>
        <w:rPr>
          <w:rFonts w:ascii="Arial" w:hAnsi="Arial"/>
          <w:color w:val="000000"/>
          <w:sz w:val="24"/>
          <w:rtl w:val="0"/>
        </w:rPr>
        <w:t>O sistema utiliza arquitetura full-stack orientada a serviços, separando o cliente React do servidor FastAPI. Essa separação mantém responsabilidades claras e permite que o processamento matemático ocorra no backend sem transferir os arquivos brutos ou o modelo para o navegador.</w:t>
      </w:r>
    </w:p>
    <w:p w:rsidR="00000000" w:rsidDel="00000000" w:rsidP="00000000" w:rsidRDefault="00000000" w:rsidRPr="00000000" w14:paraId="000000A3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m7bv0180de" w:id="17"/>
      <w:bookmarkEnd w:id="17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3.3 Tecnologias e ferramentas utilizadas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A4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implementação utilizou ferramentas com versões registradas para favorecer a reprodutibilidade do ambiente.</w:t>
      </w:r>
    </w:p>
    <w:p w:rsidR="00000000" w:rsidDel="00000000" w:rsidP="00000000" w:rsidRDefault="00000000" w:rsidRPr="00000000" w14:paraId="000000A5">
      <w:pPr>
        <w:keepNext w:val="0"/>
        <w:spacing w:after="0" w:line="360" w:lineRule="auto" w:before="0"/>
        <w:ind w:firstLine="709" w:left="0"/>
        <w:jc w:val="both"/>
        <w:rPr/>
      </w:pPr>
      <w:r>
        <w:t>O backend foi desenvolvido com Python 3.11.9, FastAPI 0.115.6 e SQLAlchemy 2.0.36. Na configuração final, o PostgreSQL realiza a persistência relacional; EDFs, modelos e mapas permanecem no sistema de arquivos. A conexão com a API e a leitura dos registros foram verificadas após a migração dos dados locais. O ambiente Python é isolado por venv.</w:t>
      </w:r>
    </w:p>
    <w:p w:rsidR="00000000" w:rsidDel="00000000" w:rsidP="00000000" w:rsidRDefault="00000000" w:rsidRPr="00000000" w14:paraId="000000A6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O frontend foi desenvolvido com React 19.2.7, TypeScript, Vite 6.3.5 e Recharts 3.9.0. O Recharts foi adotado por sua integração declarativa com React; D3.js não integra a versão final do protótipo.</w:t>
      </w:r>
    </w:p>
    <w:p w:rsidR="00000000" w:rsidDel="00000000" w:rsidP="00000000" w:rsidRDefault="00000000" w:rsidRPr="00000000" w14:paraId="000000A7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O pipeline utiliza TensorFlow 2.16.2, MNE-Python 1.8.0, NumPy 1.26.4 e SHAP 0.46.0. O Git registra as alterações e o arquivo de dependências do Python, juntamente com o package-lock do frontend, apoia a reprodução do ambiente. Docker não foi adotado nesta versão.</w:t>
      </w:r>
    </w:p>
    <w:p w:rsidR="00000000" w:rsidDel="00000000" w:rsidP="00000000" w:rsidRDefault="00000000" w:rsidRPr="00000000" w14:paraId="000000A9">
      <w:pPr>
        <w:pStyle w:val="Heading2"/>
        <w:keepNext/>
        <w:spacing w:line="240" w:lineRule="auto" w:before="160" w:after="80"/>
        <w:ind w:firstLine="0" w:left="0"/>
        <w:jc w:val="left"/>
        <w:rPr>
          <w:sz w:val="24"/>
          <w:szCs w:val="24"/>
        </w:rPr>
      </w:pPr>
      <w:bookmarkStart w:colFirst="0" w:colLast="0" w:name="_89a2uvbem9fd" w:id="18"/>
      <w:bookmarkEnd w:id="18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3.4 Desenvolvimento incremental </w:t>
      </w:r>
      <w:r w:rsidDel="00000000" w:rsidR="00000000" w:rsidRPr="00000000">
        <w:rPr>
          <w:rFonts w:ascii="Arial" w:hAnsi="Arial"/>
          <w:b/>
          <w:color w:val="000000"/>
          <w:sz w:val="24"/>
          <w:szCs w:val="24"/>
          <w:rtl w:val="0"/>
        </w:rPr>
      </w:r>
    </w:p>
    <w:p w:rsidR="00000000" w:rsidDel="00000000" w:rsidP="00000000" w:rsidRDefault="00000000" w:rsidRPr="00000000" w14:paraId="000000AB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implementação foi dividida em incrementos dependentes, mas com atividades parcialmente paralelas. Cada incremento recebeu critérios objetivos de aceite: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line="360" w:lineRule="auto" w:before="0"/>
        <w:ind w:left="709" w:hanging="283"/>
        <w:jc w:val="both"/>
        <w:rPr>
          <w:u w:val="none"/>
        </w:rPr>
      </w:pPr>
      <w:r/>
      <w:r>
        <w:rPr>
          <w:rFonts w:ascii="Arial" w:hAnsi="Arial"/>
          <w:b/>
          <w:color w:val="000000"/>
          <w:sz w:val="24"/>
        </w:rPr>
        <w:t>• Incremento I (Infraestrutura e Ingestão):</w:t>
      </w:r>
      <w:r>
        <w:rPr>
          <w:rFonts w:ascii="Arial" w:hAnsi="Arial"/>
          <w:b w:val="0"/>
          <w:color w:val="000000"/>
          <w:sz w:val="24"/>
        </w:rPr>
        <w:t xml:space="preserve"> concluído quando a API passou a autenticar usuários, cadastrar pacientes, receber, validar, armazenar e ler arquivos EDF, extraindo canais e taxa de amostragem.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line="360" w:lineRule="auto" w:before="0"/>
        <w:ind w:left="709" w:hanging="283"/>
        <w:jc w:val="both"/>
        <w:rPr>
          <w:u w:val="none"/>
        </w:rPr>
      </w:pPr>
      <w:r>
        <w:t>• Incremento II (Núcleo de Inteligência): o extrator histórico implementou Entropia de Shannon e medidas de Dinâmica Simbólica, que foram investigadas como alternativas de representação. Após os experimentos, a CNN-BiLSTM final passou a receber 15 características tempo-frequência por canal, incluindo entropia espectral, mas não aquelas características históricas. A rede produz probabilidades ictais por passo temporal. A separação dos grupos ocorreu antes do janelamento e da amostragem.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line="360" w:lineRule="auto" w:before="0"/>
        <w:ind w:left="709" w:hanging="283"/>
        <w:jc w:val="both"/>
        <w:rPr>
          <w:u w:val="none"/>
        </w:rPr>
      </w:pPr>
      <w:r/>
      <w:r>
        <w:rPr>
          <w:rFonts w:ascii="Arial" w:hAnsi="Arial"/>
          <w:b/>
          <w:color w:val="000000"/>
          <w:sz w:val="24"/>
        </w:rPr>
        <w:t>• Incremento III (Interface e Explicabilidade):</w:t>
      </w:r>
      <w:r>
        <w:rPr>
          <w:rFonts w:ascii="Arial" w:hAnsi="Arial"/>
          <w:b w:val="0"/>
          <w:color w:val="000000"/>
          <w:sz w:val="24"/>
        </w:rPr>
        <w:t xml:space="preserve"> concluído com a integração entre backend e frontend, incluindo visualização multicanal, seleção de canais, trechos suspeitos, sobreposição SHAP, configurações médicas e emissão de laudo.</w:t>
      </w:r>
    </w:p>
    <w:p w:rsidR="00000000" w:rsidDel="00000000" w:rsidP="00000000" w:rsidRDefault="00000000" w:rsidRPr="00000000" w14:paraId="000000AF">
      <w:pPr>
        <w:keepNext w:val="0"/>
        <w:spacing w:after="0" w:line="360" w:lineRule="auto" w:before="0"/>
        <w:ind w:firstLine="709" w:left="0"/>
        <w:jc w:val="both"/>
        <w:rPr>
          <w:color w:val="ff0000"/>
        </w:rPr>
      </w:pPr>
      <w:r>
        <w:rPr>
          <w:rFonts w:ascii="Arial" w:hAnsi="Arial"/>
          <w:color w:val="000000"/>
          <w:sz w:val="24"/>
          <w:rtl w:val="0"/>
        </w:rPr>
        <w:t>A cada ciclo foram executados testes automatizados e verificações sobre arquivos EDF reais. Alterações experimentais na IA somente foram promovidas quando apresentaram benefício no protocolo controlado de calibração.</w:t>
      </w:r>
    </w:p>
    <w:p w:rsidR="00000000" w:rsidDel="00000000" w:rsidP="00000000" w:rsidRDefault="00000000" w:rsidRPr="00000000" w14:paraId="000000B2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sgbc2pxseryx" w:id="19"/>
      <w:bookmarkEnd w:id="19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3.5 Testes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B3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verificação contemplou o comportamento do software e a avaliação científica do modelo, mantendo métricas de janela, EDF, evento e localização temporal em níveis distintos.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line="360" w:lineRule="auto" w:before="0"/>
        <w:ind w:left="709" w:hanging="283"/>
        <w:jc w:val="both"/>
        <w:rPr>
          <w:sz w:val="24"/>
          <w:szCs w:val="24"/>
        </w:rPr>
      </w:pPr>
      <w:r>
        <w:t>• Dados e métricas de IA: a base final foi a CHB-MIT (SHOEB, 2009), com registros contínuos multicanais em EDF e anotações temporais das crises. Foram destinados ao treino 77 EDFs de 17 grupos de pacientes e à calibração 13 EDFs de chb16, chb19, chb20 e chb24. A separação ocorreu por paciente antes do janelamento. Foram avaliados precisão, sensibilidade e F1 por EDF e por evento, F1 localizado, IoU temporal e falsos alarmes por hora.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line="360" w:lineRule="auto" w:before="0"/>
        <w:ind w:left="709" w:hanging="283"/>
        <w:jc w:val="both"/>
        <w:rPr>
          <w:sz w:val="24"/>
          <w:szCs w:val="24"/>
        </w:rPr>
      </w:pPr>
      <w:r/>
      <w:r>
        <w:rPr>
          <w:rFonts w:ascii="Arial" w:hAnsi="Arial"/>
          <w:b/>
          <w:color w:val="000000"/>
          <w:sz w:val="24"/>
        </w:rPr>
        <w:t>• Desempenho e carga:</w:t>
      </w:r>
      <w:r>
        <w:rPr>
          <w:rFonts w:ascii="Arial" w:hAnsi="Arial"/>
          <w:b w:val="0"/>
          <w:color w:val="000000"/>
          <w:sz w:val="24"/>
        </w:rPr>
        <w:t xml:space="preserve"> o processamento ponta a ponta foi verificado em EDF real de longa duração. O tempo aceitável para uso clínico não foi definido por profissionais da área; portanto, o trabalho não adota um limite arbitrário. Uma avaliação formal deve registrar hardware, duração do exame, tempo total, uso de memória e concorrência.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line="360" w:lineRule="auto" w:before="0"/>
        <w:ind w:left="709" w:hanging="283"/>
        <w:jc w:val="both"/>
        <w:rPr>
          <w:sz w:val="24"/>
          <w:szCs w:val="24"/>
        </w:rPr>
      </w:pPr>
      <w:r/>
      <w:r>
        <w:rPr>
          <w:rFonts w:ascii="Arial" w:hAnsi="Arial"/>
          <w:b/>
          <w:color w:val="000000"/>
          <w:sz w:val="24"/>
        </w:rPr>
        <w:t>• Usabilidade e interpretabilidade:</w:t>
      </w:r>
      <w:r>
        <w:rPr>
          <w:rFonts w:ascii="Arial" w:hAnsi="Arial"/>
          <w:b w:val="0"/>
          <w:color w:val="000000"/>
          <w:sz w:val="24"/>
        </w:rPr>
        <w:t xml:space="preserve"> foram realizados testes técnicos da interface, do alinhamento temporal e da projeção do SHAP. Não foi conduzido estudo formal com médicos ou técnicos; essa ausência é apresentada como limitação e trabalho futuro.</w:t>
      </w:r>
    </w:p>
    <w:p w:rsidR="00000000" w:rsidDel="00000000" w:rsidP="00000000" w:rsidRDefault="00000000" w:rsidRPr="00000000" w14:paraId="000000B8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rmst7ujtxjvb" w:id="20"/>
      <w:bookmarkEnd w:id="20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3.6 Implementação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B9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versão avaliada foi implantada localmente como protótipo de pesquisa, com frontend, API, banco de dados e artefatos de IA executados no ambiente de desenvolvimento.</w:t>
      </w:r>
    </w:p>
    <w:p w:rsidR="00000000" w:rsidDel="00000000" w:rsidP="00000000" w:rsidRDefault="00000000" w:rsidRPr="00000000" w14:paraId="000000BA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implantação em nuvem não foi validada. Embora a arquitetura permita execução em servidor, acesso remoto, escalabilidade, criptografia de transporte e operação multiusuário exigem configuração e avaliação próprias antes de qualquer uso externo.</w:t>
      </w:r>
    </w:p>
    <w:p w:rsidR="00000000" w:rsidDel="00000000" w:rsidP="00000000" w:rsidRDefault="00000000" w:rsidRPr="00000000" w14:paraId="000000BB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API disponibiliza documentação Swagger/OpenAPI gerada pelo FastAPI. O repositório também registra variáveis de configuração, comandos de treinamento, calibração, avaliação e verificação dos artefatos.</w:t>
      </w:r>
    </w:p>
    <w:p w:rsidR="00000000" w:rsidDel="00000000" w:rsidP="00000000" w:rsidRDefault="00000000" w:rsidRPr="00000000" w14:paraId="000000BC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avaliação utilizou registros públicos reais e desidentificados da CHB-MIT. Não foram coletados exames de hospital local nem recrutados participantes. Eventual estudo com dados identificáveis ou interação com pacientes e profissionais deverá ser submetido às instâncias éticas e institucionais aplicáveis.</w:t>
      </w:r>
    </w:p>
    <w:p w:rsidR="00000000" w:rsidDel="00000000" w:rsidP="00000000" w:rsidRDefault="00000000" w:rsidRPr="00000000" w14:paraId="000000D4">
      <w:pPr>
        <w:pStyle w:val="Heading1"/>
        <w:keepNext/>
        <w:pageBreakBefore/>
        <w:spacing w:line="240" w:lineRule="auto" w:before="0" w:after="80"/>
        <w:ind w:firstLine="0" w:left="0"/>
        <w:jc w:val="left"/>
        <w:rPr>
          <w:sz w:val="24"/>
          <w:szCs w:val="24"/>
        </w:rPr>
      </w:pPr>
      <w:bookmarkStart w:colFirst="0" w:colLast="0" w:name="_47u54iw0uzje" w:id="21"/>
      <w:bookmarkEnd w:id="21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4 SOFTWARE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a19ezh8mjkhj" w:id="22"/>
      <w:bookmarkEnd w:id="22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4.1 Descrição</w:t>
      </w:r>
    </w:p>
    <w:p w:rsidR="00000000" w:rsidDel="00000000" w:rsidP="00000000" w:rsidRDefault="00000000" w:rsidRPr="00000000" w14:paraId="000000D6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O software configura-se como um protótipo funcional de plataforma web de apoio à análise de EEG. Seu público-alvo potencial inclui neurologistas, neurofisiologistas e pesquisadores, mas a versão atual não foi validada clinicamente nem regularizada para uso assistencial. A proposta responde ao esforço envolvido na revisão de registros extensos e à necessidade de reunir visualização, análise computacional, explicabilidade e laudo em um fluxo único.</w:t>
      </w:r>
    </w:p>
    <w:p w:rsidR="00000000" w:rsidDel="00000000" w:rsidP="00000000" w:rsidRDefault="00000000" w:rsidRPr="00000000" w14:paraId="000000D7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plataforma recebe arquivos EDF vinculados ao paciente, extrai metadados e apresenta os canais em uma linha temporal interativa. O pipeline CNN-BiLSTM produz probabilidades ictais por passo e agrega sequências sobrepostas em trechos suspeitos. O Gradient SHAP explica as features da sequência de pico e a interface projeta relevâncias positivas por canal e intervalo de segundos. Essa explicação não corresponde a uma atribuição por amostra bruta e deve ser interpretada como apoio à inspeção, não como justificativa fisiológica conclusiva.</w:t>
      </w:r>
    </w:p>
    <w:p w:rsidR="00000000" w:rsidDel="00000000" w:rsidP="00000000" w:rsidRDefault="00000000" w:rsidRPr="00000000" w14:paraId="000000D8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iizqfdido844" w:id="23"/>
      <w:bookmarkEnd w:id="23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4.2 Levantamento de Requisitos</w:t>
      </w:r>
    </w:p>
    <w:p w:rsidR="00000000" w:rsidDel="00000000" w:rsidP="00000000" w:rsidRDefault="00000000" w:rsidRPr="00000000" w14:paraId="000000D9">
      <w:pPr>
        <w:keepNext w:val="0"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engenharia de requisitos baseou-se em revisão bibliográfica, análise documental do EDF, experiência do projeto anterior e refinamento com a orientação acadêmica. Não houve entrevista estruturada nem validação formal com neurologistas. Assim, os requisitos clínicos representam hipóteses de projeto para um protótipo e deverão ser avaliados com profissionais antes de uma eventual evolução assistencial.</w:t>
      </w:r>
    </w:p>
    <w:p w:rsidR="00000000" w:rsidDel="00000000" w:rsidP="00000000" w:rsidRDefault="00000000" w:rsidRPr="00000000" w14:paraId="000000DA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vl388rmj0d54" w:id="24"/>
      <w:bookmarkEnd w:id="24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4.3 Requisitos Funcionais e Não Funcionais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DB">
      <w:pPr>
        <w:keepNext w:val="0"/>
        <w:spacing w:after="0" w:line="360" w:lineRule="auto" w:before="0"/>
        <w:ind w:firstLine="709" w:lef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>Conforme abordado por Sommerville (2011), a especificação de requisitos é um pilar fundamental da Engenharia de Software, definindo com clareza as expectativas dos usuários e as restrições operacionais sob as quais o sistema deve atuar. Os requisitos dividem-se tradicionalmente em funcionais, que estabelecem detalhadamente as ações declarativas, as reações a entradas específicas e os serviços explícitos que o software é obrigado a executar, e requisitos não funcionais, os quais não se ligam diretamente aos serviços individuais do sistema, mas sim às propriedades emergentes de qualidade, confiabilidade, desempenho, compatibilidade e segurança corporativa.</w:t>
      </w:r>
    </w:p>
    <w:p w:rsidR="00000000" w:rsidDel="00000000" w:rsidP="00000000" w:rsidRDefault="00000000" w:rsidRPr="00000000" w14:paraId="000000DC">
      <w:pPr>
        <w:keepNext w:val="0"/>
        <w:spacing w:after="0" w:line="360" w:lineRule="auto" w:before="0"/>
        <w:ind w:firstLine="709" w:lef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>A partir da análise estrutural da plataforma e do pipeline de triagem neurofisiológica estabelecido na metodologia, foram definidos os seguintes requisitos de engenharia para o sistema:</w:t>
      </w:r>
    </w:p>
    <w:p w:rsidR="00000000" w:rsidDel="00000000" w:rsidP="00000000" w:rsidRDefault="00000000" w:rsidRPr="00000000" w14:paraId="000000DD">
      <w:pPr>
        <w:keepNext/>
        <w:spacing w:line="360" w:lineRule="auto" w:before="160" w:after="80"/>
        <w:ind w:firstLine="0" w:left="0"/>
        <w:jc w:val="left"/>
        <w:rPr/>
      </w:pP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Requisitos Funcionais:</w:t>
      </w:r>
    </w:p>
    <w:p w:rsidR="00000000" w:rsidDel="00000000" w:rsidP="00000000" w:rsidRDefault="00000000" w:rsidRPr="00000000" w14:paraId="000000DE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1 – Autenticar Usuário:</w:t>
      </w:r>
      <w:r>
        <w:rPr>
          <w:rFonts w:ascii="Arial" w:hAnsi="Arial"/>
          <w:b w:val="0"/>
          <w:color w:val="000000"/>
          <w:sz w:val="24"/>
        </w:rPr>
        <w:t xml:space="preserve"> O sistema deve fornecer uma interface de login para que o médico neurologista insira suas credenciais e acesse a plataforma de forma restrita.</w:t>
      </w:r>
    </w:p>
    <w:p w:rsidR="00000000" w:rsidDel="00000000" w:rsidP="00000000" w:rsidRDefault="00000000" w:rsidRPr="00000000" w14:paraId="000000DF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2 – Gerenciar Pacientes:</w:t>
      </w:r>
      <w:r>
        <w:rPr>
          <w:rFonts w:ascii="Arial" w:hAnsi="Arial"/>
          <w:b w:val="0"/>
          <w:color w:val="000000"/>
          <w:sz w:val="24"/>
        </w:rPr>
        <w:t xml:space="preserve"> O sistema deve permitir a inclusão, alteração, consulta e exclusão de dados cadastrais básicos e prontuários clínicos dos pacientes.</w:t>
      </w:r>
    </w:p>
    <w:p w:rsidR="00000000" w:rsidDel="00000000" w:rsidP="00000000" w:rsidRDefault="00000000" w:rsidRPr="00000000" w14:paraId="000000E0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3 – Importar Exame (.EDF):</w:t>
      </w:r>
      <w:r>
        <w:rPr>
          <w:rFonts w:ascii="Arial" w:hAnsi="Arial"/>
          <w:b w:val="0"/>
          <w:color w:val="000000"/>
          <w:sz w:val="24"/>
        </w:rPr>
        <w:t xml:space="preserve"> O sistema deve fornecer mecanismos para o upload e a ingestão de arquivos de sinais biomédicos estruturados no formato padrão universal .EDF.</w:t>
      </w:r>
    </w:p>
    <w:p w:rsidR="00000000" w:rsidDel="00000000" w:rsidP="00000000" w:rsidRDefault="00000000" w:rsidRPr="00000000" w14:paraId="000000E1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4 – Extrair Metadados do Sinal:</w:t>
      </w:r>
      <w:r>
        <w:rPr>
          <w:rFonts w:ascii="Arial" w:hAnsi="Arial"/>
          <w:b w:val="0"/>
          <w:color w:val="000000"/>
          <w:sz w:val="24"/>
        </w:rPr>
        <w:t xml:space="preserve"> O sistema deve decodificar o cabeçalho (header) do arquivo binário carregado e extrair automaticamente informações como taxa de amostragem e os rótulos dos canais de eletrodos.</w:t>
      </w:r>
    </w:p>
    <w:p w:rsidR="00000000" w:rsidDel="00000000" w:rsidP="00000000" w:rsidRDefault="00000000" w:rsidRPr="00000000" w14:paraId="000000E2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5 – Visualizar Sinais de EEG:</w:t>
      </w:r>
      <w:r>
        <w:rPr>
          <w:rFonts w:ascii="Arial" w:hAnsi="Arial"/>
          <w:b w:val="0"/>
          <w:color w:val="000000"/>
          <w:sz w:val="24"/>
        </w:rPr>
        <w:t xml:space="preserve"> O sistema deve plotar graficamente na tela do usuário as séries temporais contínuas e multicanais correspondentes às ondas cerebrais captadas.</w:t>
      </w:r>
    </w:p>
    <w:p w:rsidR="00000000" w:rsidDel="00000000" w:rsidP="00000000" w:rsidRDefault="00000000" w:rsidRPr="00000000" w14:paraId="000000E3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6 – Manipulação Interativa de Ondas:</w:t>
      </w:r>
      <w:r>
        <w:rPr>
          <w:rFonts w:ascii="Arial" w:hAnsi="Arial"/>
          <w:b w:val="0"/>
          <w:color w:val="000000"/>
          <w:sz w:val="24"/>
        </w:rPr>
        <w:t xml:space="preserve"> O sistema deve permitir que o médico execute comandos responsivos de zoom horizontal e vertical e isole montagens de canais focais diretamente no dashboard.</w:t>
      </w:r>
    </w:p>
    <w:p w:rsidR="00000000" w:rsidDel="00000000" w:rsidP="00000000" w:rsidRDefault="00000000" w:rsidRPr="00000000" w14:paraId="000000E4">
      <w:pPr>
        <w:spacing w:after="0" w:line="360" w:lineRule="auto" w:before="0"/>
        <w:ind w:left="709" w:firstLine="0"/>
        <w:jc w:val="both"/>
        <w:rPr/>
      </w:pPr>
      <w:r>
        <w:t>7 – Solicitar Análise Preditiva: o sistema deve acionar o modelo CNN-BiLSTM sobre um exame EDF já importado para gerar probabilidades ictais por intervalo e destacar trechos suspeitos para revisão médica.</w:t>
      </w:r>
    </w:p>
    <w:p w:rsidR="00000000" w:rsidDel="00000000" w:rsidP="00000000" w:rsidRDefault="00000000" w:rsidRPr="00000000" w14:paraId="000000E5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8 – Exibir Justificativa Visual (XAI):</w:t>
      </w:r>
      <w:r>
        <w:rPr>
          <w:rFonts w:ascii="Arial" w:hAnsi="Arial"/>
          <w:b w:val="0"/>
          <w:color w:val="000000"/>
          <w:sz w:val="24"/>
        </w:rPr>
        <w:t xml:space="preserve"> O sistema deve sobrepor um mapa de calor gerado com os valores do algoritmo SHAP sobre o traçado original do EEG, destacando em vermelho os trechos de tempo determinantes para o diagnóstico da máquina.</w:t>
      </w:r>
    </w:p>
    <w:p w:rsidR="00000000" w:rsidDel="00000000" w:rsidP="00000000" w:rsidRDefault="00000000" w:rsidRPr="00000000" w14:paraId="000000E6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9 – Emitir Laudo Médico:</w:t>
      </w:r>
      <w:r>
        <w:rPr>
          <w:rFonts w:ascii="Arial" w:hAnsi="Arial"/>
          <w:b w:val="0"/>
          <w:color w:val="000000"/>
          <w:sz w:val="24"/>
        </w:rPr>
        <w:t xml:space="preserve"> O sistema deve disponibilizar um campo de texto descritivo para que o especialista redija e formalize o laudo definitivo do exame, integrando a triagem analítica.</w:t>
      </w:r>
    </w:p>
    <w:p w:rsidR="00000000" w:rsidDel="00000000" w:rsidP="00000000" w:rsidRDefault="00000000" w:rsidRPr="00000000" w14:paraId="000000E7">
      <w:pPr>
        <w:keepNext/>
        <w:spacing w:after="80" w:line="360" w:lineRule="auto" w:before="160"/>
        <w:ind w:firstLine="0" w:left="0"/>
        <w:jc w:val="left"/>
        <w:rPr/>
      </w:pP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Requisitos Não Funcionais:</w:t>
      </w:r>
    </w:p>
    <w:p w:rsidR="00000000" w:rsidDel="00000000" w:rsidP="00000000" w:rsidRDefault="00000000" w:rsidRPr="00000000" w14:paraId="000000E8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1 – Desempenho (Processamento Assíncrono):</w:t>
      </w:r>
      <w:r>
        <w:rPr>
          <w:rFonts w:ascii="Arial" w:hAnsi="Arial"/>
          <w:b w:val="0"/>
          <w:color w:val="000000"/>
          <w:sz w:val="24"/>
        </w:rPr>
        <w:t xml:space="preserve"> A execução do pipeline de engenharia de features matemáticas e inferência da rede neural profunda não deve bloquear ou congelar a interface de visualização do usuário (client-side).</w:t>
      </w:r>
    </w:p>
    <w:p w:rsidR="00000000" w:rsidDel="00000000" w:rsidP="00000000" w:rsidRDefault="00000000" w:rsidRPr="00000000" w14:paraId="000000E9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2 – Compatibilidade e Portabilidade:</w:t>
      </w:r>
      <w:r>
        <w:rPr>
          <w:rFonts w:ascii="Arial" w:hAnsi="Arial"/>
          <w:b w:val="0"/>
          <w:color w:val="000000"/>
          <w:sz w:val="24"/>
        </w:rPr>
        <w:t xml:space="preserve"> O software deve ser executado e renderizado com total fidelidade diretamente através de navegadores web modernos compatíveis com os padrões HTML5 e JavaScript.</w:t>
      </w:r>
    </w:p>
    <w:p w:rsidR="00000000" w:rsidDel="00000000" w:rsidP="00000000" w:rsidRDefault="00000000" w:rsidRPr="00000000" w14:paraId="000000EA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3 – Segurança e Privacidade:</w:t>
      </w:r>
      <w:r>
        <w:rPr>
          <w:rFonts w:ascii="Arial" w:hAnsi="Arial"/>
          <w:b w:val="0"/>
          <w:color w:val="000000"/>
          <w:sz w:val="24"/>
        </w:rPr>
        <w:t xml:space="preserve"> o sistema deve restringir rotas clínicas a usuários autenticados, armazenar senhas por hash e evitar exposição desnecessária de dados. A versão atual não implementa consentimento, política automatizada de retenção, criptografia específica dos EDF em repouso ou trilha completa de auditoria; esses controles são necessários antes do uso com dados identificáveis.</w:t>
      </w:r>
    </w:p>
    <w:p w:rsidR="00000000" w:rsidDel="00000000" w:rsidP="00000000" w:rsidRDefault="00000000" w:rsidRPr="00000000" w14:paraId="000000EB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4 – Usabilidade e Responsividade:</w:t>
      </w:r>
      <w:r>
        <w:rPr>
          <w:rFonts w:ascii="Arial" w:hAnsi="Arial"/>
          <w:b w:val="0"/>
          <w:color w:val="000000"/>
          <w:sz w:val="24"/>
        </w:rPr>
        <w:t xml:space="preserve"> A interface analítica deve ser projetada com foco em ergonomia e usabilidade médica, garantindo a exibição fluida e nítida das séries temporais de alta densidade em monitores de alta resolução.</w:t>
      </w:r>
    </w:p>
    <w:p w:rsidR="00000000" w:rsidDel="00000000" w:rsidP="00000000" w:rsidRDefault="00000000" w:rsidRPr="00000000" w14:paraId="000000EC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5 – Confiabilidade e Robustez de I/O:</w:t>
      </w:r>
      <w:r>
        <w:rPr>
          <w:rFonts w:ascii="Arial" w:hAnsi="Arial"/>
          <w:b w:val="0"/>
          <w:color w:val="000000"/>
          <w:sz w:val="24"/>
        </w:rPr>
        <w:t xml:space="preserve"> A arquitetura de persistência híbrida deve suportar o armazenamento íntegro e a rápida velocidade de entrada e saída (I/O) exigida por arquivos pesados de Big Data na saúde.</w:t>
      </w:r>
    </w:p>
    <w:p w:rsidR="00000000" w:rsidDel="00000000" w:rsidP="00000000" w:rsidRDefault="00000000" w:rsidRPr="00000000" w14:paraId="000000EE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t87tofhbiofd" w:id="25"/>
      <w:bookmarkEnd w:id="25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4.4 Casos de uso</w:t>
      </w:r>
    </w:p>
    <w:p w:rsidR="00000000" w:rsidDel="00000000" w:rsidP="00000000" w:rsidRDefault="00000000" w:rsidRPr="00000000" w14:paraId="000000EF">
      <w:pPr>
        <w:keepNext w:val="0"/>
        <w:spacing w:line="360" w:lineRule="auto" w:before="0" w:after="0"/>
        <w:ind w:firstLine="709" w:left="0"/>
        <w:jc w:val="both"/>
        <w:rPr/>
      </w:pPr>
      <w:r>
        <w:t>Segundo Pressman e Maxim (2016), os casos de uso descrevem as interações entre atores e funcionalidades do sistema. Neste protótipo, o médico é o ator principal; a extração de características e a inferência são operações internas acionadas após a solicitação de análise de um exame previamente importado.</w:t>
      </w:r>
    </w:p>
    <w:p w:rsidR="00000000" w:rsidDel="00000000" w:rsidP="00000000" w:rsidRDefault="00000000" w:rsidRPr="00000000" w14:paraId="000000F0">
      <w:pPr>
        <w:keepNext w:val="0"/>
        <w:spacing w:line="360" w:lineRule="auto" w:before="0" w:after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Ao solicitar a análise preditiva, o médico seleciona um exame previamente importado. A extração de métricas e a execução do modelo constituem operações internas obrigatórias do sistema, e não casos de uso iniciados diretamente pelo médico. A visualização da explicação permanece opcional durante a revisão do resultado.</w:t>
      </w:r>
    </w:p>
    <w:p w:rsidR="00000000" w:rsidDel="00000000" w:rsidP="00000000" w:rsidRDefault="00000000" w:rsidRPr="00000000" w14:paraId="000000F1">
      <w:pPr>
        <w:keepNext/>
        <w:spacing w:line="240" w:lineRule="auto" w:after="80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Figura 2 – Diagrama de Casos de Uso da Plataforma Web.</w:t>
      </w:r>
    </w:p>
    <w:p w:rsidR="00000000" w:rsidDel="00000000" w:rsidP="00000000" w:rsidRDefault="00000000" w:rsidRPr="00000000" w14:paraId="000000F2">
      <w:pPr>
        <w:keepNext/>
        <w:spacing w:line="240" w:lineRule="auto" w:after="60" w:before="60"/>
        <w:ind w:firstLine="0" w:left="0"/>
        <w:jc w:val="center"/>
        <w:rPr/>
      </w:pPr>
      <w:r w:rsidDel="00000000" w:rsidR="00000000" w:rsidRPr="00000000">
        <w:rPr>
          <w:rFonts w:ascii="Arial" w:hAnsi="Arial"/>
          <w:color w:val="ff0000"/>
          <w:sz w:val="20"/>
        </w:rPr>
        <w:drawing>
          <wp:inline distB="114300" distT="114300" distL="114300" distR="114300">
            <wp:extent cx="4896000" cy="3411353"/>
            <wp:effectExtent b="0" l="0" r="0" t="0"/>
            <wp:docPr id="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411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60" w:after="20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0F5">
      <w:pPr>
        <w:keepNext/>
        <w:spacing w:line="240" w:lineRule="auto" w:after="80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Quadro 1 – Documentação do caso de uso: Autenticar Usuário.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  <w:tblLook w:val="0000"/>
      </w:tblPr>
      <w:tblGrid>
        <w:gridCol w:w="2970"/>
        <w:gridCol w:w="6100"/>
      </w:tblGrid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szCs w:val="24"/>
                <w:rtl w:val="0"/>
              </w:rPr>
              <w:t xml:space="preserve">Autenticar Usuário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Este caso de uso descreve o processo de autenticação de segurança, permitindo que o médico insira suas credenciais para obter acesso seguro ao painel de controle da plataforma.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 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O médico deve estar previamente cadastrado no banco de dados do sistema.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O usuário é autenticado, um token de sessão seguro (JWT) é gerado e o dashboard principal é carregado no frontend.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Acessar a tela inicial da plataforma web e preencher os campos de e-mail e senha.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2 – Receber os dados de login através da API FastAPI de forma assíncrona. 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3 – Clicar no botão "Entrar".  </w:t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4 – Validar as credenciais comparando a senha informada com o hash criptográfico armazenado no PostgreSQL. Se válidas, liberar o acesso à área restrita. </w:t>
            </w:r>
          </w:p>
        </w:tc>
      </w:tr>
      <w:tr>
        <w:trPr>
          <w:cantSplit/>
        </w:trPr>
        <w:tc>
          <w:tcPr>
            <w:tcW w:w="2970" w:type="dxa"/>
            <w:vMerge w:val="restart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Restrições/Validações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Não permitir campos em branco no formulário de login.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vMerge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/>
              <w:spacing w:line="240" w:lineRule="auto" w:before="40" w:after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2 – Bloquear a autenticação caso a combinação de e-mail e senha seja inválida. </w:t>
            </w:r>
          </w:p>
        </w:tc>
      </w:tr>
    </w:tbl>
    <w:p w:rsidR="00000000" w:rsidDel="00000000" w:rsidP="00000000" w:rsidRDefault="00000000" w:rsidRPr="00000000" w14:paraId="00000113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11E">
      <w:pPr>
        <w:keepNext/>
        <w:spacing w:line="240" w:lineRule="auto" w:after="80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Quadro 2 – Documentação do caso de uso: Gerenciar Pacientes.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  <w:tblLook w:val="0000"/>
      </w:tblPr>
      <w:tblGrid>
        <w:gridCol w:w="2970"/>
        <w:gridCol w:w="6100"/>
      </w:tblGrid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szCs w:val="24"/>
                <w:rtl w:val="0"/>
              </w:rPr>
              <w:t xml:space="preserve">Gerenciar Pacientes 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Este caso de uso descreve o processo de inclusão, alteração ou consulta dos dados cadastrais e prontuários médicos dos pacientes na plataforma.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O médico deve estar devidamente autenticado no sistema.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Os registros do paciente são atualizados ou salvos de maneira consistente no banco de dados relacional.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Selecionar a opção de menu "Pacientes" e clicar em "Novo Cadastro".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2 – Exibir o formulário de cadastro de paciente na interface React.js. 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3 – Preencher as informações obrigatórias (Nome, Data de Nascimento, Gênero e CPF) e clicar em "Salvar".  </w:t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4 – Validar a integridade das informações e persistir os dados na tabela correspondente do PostgreSQL, exibindo mensagem de sucesso. </w:t>
            </w:r>
          </w:p>
        </w:tc>
      </w:tr>
      <w:tr>
        <w:trPr>
          <w:cantSplit/>
        </w:trPr>
        <w:tc>
          <w:tcPr>
            <w:tcW w:w="2970" w:type="dxa"/>
            <w:vMerge w:val="restart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Restrições/Validações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/>
              <w:spacing w:line="240" w:lineRule="auto" w:after="40" w:before="40"/>
              <w:ind w:firstLine="0" w:left="0"/>
              <w:jc w:val="both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Impedir a gravação de dados caso o CPF informado seja inválido ou já conste no sistema.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vMerge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/>
              <w:spacing w:line="240" w:lineRule="auto" w:before="40" w:after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/>
              <w:spacing w:after="40" w:before="40" w:lineRule="auto" w:line="2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2 – Validar se os campos obrigatórios foram preenchidos corretamente. </w:t>
            </w:r>
          </w:p>
        </w:tc>
      </w:tr>
    </w:tbl>
    <w:p w:rsidR="00000000" w:rsidDel="00000000" w:rsidP="00000000" w:rsidRDefault="00000000" w:rsidRPr="00000000" w14:paraId="0000013C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146">
      <w:pPr>
        <w:keepNext/>
        <w:spacing w:line="240" w:lineRule="auto" w:after="80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Quadro 3 – Documentação do caso de uso: Importar Exame (.EDF).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  <w:tblLook w:val="0000"/>
      </w:tblPr>
      <w:tblGrid>
        <w:gridCol w:w="2970"/>
        <w:gridCol w:w="6100"/>
      </w:tblGrid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szCs w:val="24"/>
                <w:rtl w:val="0"/>
              </w:rPr>
              <w:t xml:space="preserve">Importar Exame (.EDF) 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Este caso de uso descreve a ingestão de arquivos biomédicos padronizados no formato .EDF para o servidor, vinculando o exame ao prontuário do paciente selecionado.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O médico deve estar autenticado e o paciente correspondente selecionado em tela.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O arquivo binário do exame é armazenado no sistema de arquivos estruturado e seus metadados são indexados no banco de dados.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Clicar na opção "Importar Novo Exame" dentro do perfil do paciente.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2 – Abrir a caixa de seleção de arquivos locais do sistema operacional. 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3 – Selecionar o arquivo com extensão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.edf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 desejado e confirmar o envio. </w:t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4 – Transferir o arquivo via requisição Multipart e executar o processamento assíncrono do cabeçalho (</w:t>
            </w:r>
            <w:r w:rsidDel="00000000" w:rsidR="00000000" w:rsidRPr="00000000">
              <w:rPr>
                <w:rFonts w:ascii="Arial" w:hAnsi="Arial"/>
                <w:b w:val="0"/>
                <w:i w:val="1"/>
                <w:iCs w:val="1"/>
                <w:color w:val="000000"/>
                <w:sz w:val="20"/>
                <w:szCs w:val="24"/>
                <w:rtl w:val="0"/>
              </w:rPr>
              <w:t xml:space="preserve">header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) do arquivo via biblioteca MNE-Python, extraindo canais e taxa de amostragem. </w:t>
            </w:r>
          </w:p>
        </w:tc>
      </w:tr>
      <w:tr>
        <w:trPr>
          <w:cantSplit/>
        </w:trPr>
        <w:tc>
          <w:tcPr>
            <w:tcW w:w="2970" w:type="dxa"/>
            <w:vMerge w:val="restart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Restrições/Validações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Recusar arquivos que não possuam estritamente a extensão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.edf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vMerge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/>
              <w:spacing w:after="40" w:before="40" w:line="240" w:lineRule="auto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2 – Verificar a integridade do cabeçalho binário do arquivo para atestar que o sinal não está corrompido antes do salvamento. </w:t>
            </w:r>
          </w:p>
        </w:tc>
      </w:tr>
    </w:tbl>
    <w:p w:rsidR="00000000" w:rsidDel="00000000" w:rsidP="00000000" w:rsidRDefault="00000000" w:rsidRPr="00000000" w14:paraId="00000164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16B">
      <w:pPr>
        <w:keepNext/>
        <w:spacing w:line="240" w:lineRule="auto" w:after="80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Quadro 4 – Documentação do caso de uso: Visualizar Sinais de EEG.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  <w:tblLook w:val="0000"/>
      </w:tblPr>
      <w:tblGrid>
        <w:gridCol w:w="2970"/>
        <w:gridCol w:w="6100"/>
      </w:tblGrid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szCs w:val="24"/>
                <w:rtl w:val="0"/>
              </w:rPr>
              <w:t xml:space="preserve">Visualizar Sinais de EEG 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Este caso de uso descreve a plotagem gráfica e interativa das séries temporais multicanais das ondas cerebrais de EEG na interface web do usuário.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O arquivo do exame já deve ter sido importado com sucesso na plataforma.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Os traçados de sinais elétricos são exibidos de forma reativa e fluida em tela, permitindo manipulações visuais pelo usuário.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Selecionar o exame de EEG correspondente na linha do tempo do paciente.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2 – Buscar os blocos de vetores temporais do arquivo de sinais e renderizar os canais na tela usando componentes gráficos de alta performance. 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3 – Executar interações na tela, como comandos de zoom horizontal/vertical e seleção dinâmica de montagens de canais específicos.</w:t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4 – Atualizar as escalas dos eixos, recalculando a renderização visual das ondas cerebrais em tempo real conforme os filtros acionados. 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Restrições/Validações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/>
              <w:spacing w:line="240" w:lineRule="auto" w:after="40" w:before="40"/>
              <w:ind w:firstLine="0" w:left="0"/>
              <w:jc w:val="both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O sistema deve limitar a quantidade de pontos simultâneos renderizados na tela para evitar gargalos de memória e travamentos na interface React.js.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191">
      <w:pPr>
        <w:keepNext/>
        <w:spacing w:line="240" w:lineRule="auto" w:after="80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Quadro 5 – Documentação do caso de uso: Solicitar Análise Preditiva.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  <w:tblLook w:val="0000"/>
      </w:tblPr>
      <w:tblGrid>
        <w:gridCol w:w="2970"/>
        <w:gridCol w:w="6100"/>
      </w:tblGrid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szCs w:val="24"/>
                <w:rtl w:val="0"/>
              </w:rPr>
              <w:t xml:space="preserve">Solicitar Análise Preditiva 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Este caso de uso detalha o acionamento do pipeline de inteligência artificial para realizar a triagem e a predição automática de descargas epileptiformes e crises no sinal.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keepNext/>
              <w:spacing w:line="240" w:lineRule="auto" w:after="40" w:before="40"/>
              <w:ind w:firstLine="0" w:left="0"/>
              <w:jc w:val="both"/>
            </w:pPr>
            <w:r>
              <w:rPr>
                <w:rFonts w:ascii="Arial" w:hAnsi="Arial"/>
                <w:b w:val="0"/>
                <w:color w:val="000000"/>
                <w:sz w:val="20"/>
              </w:rPr>
              <w:t>O arquivo EDF correspondente deve estar previamente importado e carregado no backend.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keepNext/>
              <w:spacing w:line="240" w:lineRule="auto" w:after="40" w:before="40"/>
              <w:ind w:firstLine="0" w:left="0"/>
              <w:jc w:val="both"/>
            </w:pPr>
            <w:r>
              <w:rPr>
                <w:rFonts w:ascii="Arial" w:hAnsi="Arial"/>
                <w:b w:val="0"/>
                <w:color w:val="000000"/>
                <w:sz w:val="20"/>
              </w:rPr>
              <w:t>As probabilidades temporais, os trechos suspeitos e os metadados da análise são persistidos e disponibilizados na interface.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Clicar no comando "Solicitar Análise da IA" localizado no painel de visualização do exame.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 </w:t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r>
              <w:t>2 – Extrair 15 características tempo-frequência por canal e por janela, incluindo entropia espectral, para formar sequências temporais.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r>
              <w:t>3 – Alimentar a rede CNN-BiLSTM com as sequências de características para estimar a probabilidade ictal em cada passo temporal.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4 – Persistir o score probabilístico resultante e sinalizar graficamente no dashboard quais trechos de tempo apresentam indícios patológicos. 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Restrições/Validações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/>
              <w:spacing w:line="240" w:lineRule="auto" w:after="40" w:before="40"/>
              <w:ind w:firstLine="0" w:left="0"/>
              <w:jc w:val="both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Garantir processamento estritamente assíncrono no backend via FastAPI para que a requisição de classificação em segundo plano não interrompa o uso do sistema médico.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1B5">
      <w:pPr>
        <w:keepNext/>
        <w:spacing w:line="240" w:lineRule="auto" w:after="80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Quadro 6 – Documentação do caso de uso: Visualizar Explicação (XAI).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  <w:tblLook w:val="0000"/>
      </w:tblPr>
      <w:tblGrid>
        <w:gridCol w:w="2970"/>
        <w:gridCol w:w="6100"/>
      </w:tblGrid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szCs w:val="24"/>
                <w:rtl w:val="0"/>
              </w:rPr>
              <w:t xml:space="preserve">Visualizar Explicação (XAI) 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Médico Neurologista 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Este caso de uso descreve a exibição das justificativas fisiológicas tomadas pela rede neural profunda através da plotagem de mapas de relevância gerados pelo algoritmo SHAP.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keepNext/>
              <w:spacing w:line="240" w:lineRule="auto" w:after="40" w:before="40"/>
              <w:ind w:firstLine="0" w:left="0"/>
              <w:jc w:val="both"/>
            </w:pPr>
            <w:r>
              <w:rPr>
                <w:rFonts w:ascii="Arial" w:hAnsi="Arial"/>
                <w:b w:val="0"/>
                <w:color w:val="000000"/>
                <w:sz w:val="20"/>
              </w:rPr>
              <w:t>A análise preditiva descrita no Quadro 5 deve estar concluída e possuir uma sequência de pico válida.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Gráficos explicativos com mapas de calor coloridos são sobrepostos às ondas de EEG para inspeção do médico.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Acionar a opção "Exibir Justificativa / Mapa SHAP" no painel de resultados preditivos.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  </w:t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keepNext/>
              <w:spacing w:line="240" w:lineRule="auto" w:after="40" w:before="40"/>
              <w:ind w:firstLine="0" w:left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2 - Associar os valores positivos de Gradient SHAP às features, aos canais e aos intervalos temporais da sequência de pico.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keepNext/>
              <w:spacing w:line="240" w:lineRule="auto" w:after="40" w:before="40"/>
              <w:ind w:firstLine="0" w:left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3 - Projetar as relevâncias por canal e intervalo de segundos sobre o traçado exibido, mantendo explícito que a explicação não é calculada por amostra bruta.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Restrições/Validações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keepNext/>
              <w:spacing w:line="240" w:lineRule="auto" w:after="40" w:before="40"/>
              <w:ind w:firstLine="0" w:left="0"/>
              <w:jc w:val="both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Validar que o mapa gerado corresponda exatamente à janela de tempo selecionada para evitar desalinhamento visual entre o sinal original e a marcação de explicabilidade.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keepNext w:val="0"/>
        <w:spacing w:line="240" w:lineRule="auto" w:after="200" w:before="60"/>
        <w:ind w:firstLine="0" w:left="0"/>
        <w:jc w:val="center"/>
        <w:rPr>
          <w:color w:val="ff0000"/>
        </w:rPr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1DB">
      <w:pPr>
        <w:keepNext/>
        <w:spacing w:line="240" w:lineRule="auto" w:after="80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Quadro 7 – Documentação do caso de uso: Emitir Laudo Médico.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  <w:tblLook w:val="0000"/>
      </w:tblPr>
      <w:tblGrid>
        <w:gridCol w:w="2970"/>
        <w:gridCol w:w="6100"/>
      </w:tblGrid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szCs w:val="24"/>
                <w:rtl w:val="0"/>
              </w:rPr>
              <w:t xml:space="preserve">Emitir Laudo Médico 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Médico Neurologista 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Este caso de uso descreve o processo de conclusão do exame, permitindo que o especialista insira seu parecer final baseando-se em suas conclusões e na segunda opinião fornecida pela IA.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O médico deve ter revisado as análises visuais e preditivas geradas no prontuário do paciente.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O laudo clínico final é salvo em formato definitivo e o status do exame é modificado para "Concluído".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Acessar o campo de digitação textual para o laudo médico final.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   </w:t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2 – Digitar as impressões clínicas e decidir se confirma ou desconsidera os alertas emitidos pela triagem do algoritmo inteligente. </w:t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3 – Clicar na ação "Emitir Laudo Finalizado". </w:t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keepNext/>
              <w:spacing w:line="240" w:lineRule="auto" w:after="40" w:before="40"/>
              <w:ind w:firstLine="0" w:left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4 - Salvar o texto associado ao exame, alterar o status para Concluído e impedir novas edições.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Restrições/Validações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keepNext/>
              <w:spacing w:line="240" w:lineRule="auto" w:after="40" w:before="40"/>
              <w:ind w:firstLine="0" w:left="0"/>
              <w:jc w:val="both"/>
            </w:pPr>
            <w:r>
              <w:rPr>
                <w:rFonts w:ascii="Arial" w:hAnsi="Arial"/>
                <w:b w:val="0"/>
                <w:color w:val="000000"/>
                <w:sz w:val="20"/>
              </w:rPr>
              <w:t>1 - Impedir a emissão se o texto estiver vazio. 2 - Informar que não há rascunho persistente, campos estruturados ou assinatura digital nesta versão.</w:t>
            </w:r>
          </w:p>
        </w:tc>
      </w:tr>
    </w:tbl>
    <w:p w:rsidR="00000000" w:rsidDel="00000000" w:rsidP="00000000" w:rsidRDefault="00000000" w:rsidRPr="00000000" w14:paraId="000001F7">
      <w:pPr>
        <w:keepNext w:val="0"/>
        <w:spacing w:line="240" w:lineRule="auto" w:after="200" w:before="60"/>
        <w:ind w:firstLine="0" w:left="0"/>
        <w:jc w:val="center"/>
        <w:rPr>
          <w:color w:val="ff0000"/>
        </w:rPr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1F9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lkx4cwbg0vu5" w:id="26"/>
      <w:bookmarkEnd w:id="26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4.5 Arquitetura do Sistema 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1FA">
      <w:pPr>
        <w:keepNext w:val="0"/>
        <w:spacing w:after="0" w:line="360" w:lineRule="auto" w:before="0"/>
        <w:ind w:firstLine="709" w:left="0"/>
        <w:jc w:val="both"/>
        <w:rPr/>
      </w:pPr>
      <w:r>
        <w:t>A aplicação adota uma organização cliente-servidor: a interface React se comunica com a API FastAPI por HTTP, enquanto o servidor mantém as regras de negócio, a persistência e o processamento de EEG. Essa separação facilita a manutenção dos componentes (RICHARDS, 2015). A análise de IA é solicitada separadamente após a importação do EDF e executada em segundo plano.</w:t>
      </w:r>
    </w:p>
    <w:p w:rsidR="00000000" w:rsidDel="00000000" w:rsidP="00000000" w:rsidRDefault="00000000" w:rsidRPr="00000000" w14:paraId="000001FB">
      <w:pPr>
        <w:keepNext w:val="0"/>
        <w:spacing w:after="0" w:line="360" w:lineRule="auto" w:before="0"/>
        <w:ind w:firstLine="709" w:left="0"/>
        <w:jc w:val="both"/>
        <w:rPr/>
      </w:pPr>
      <w:r>
        <w:t>O frontend é uma aplicação React e TypeScript. O traçado multicanal utiliza Recharts e oferece navegação temporal, seleção de canais e sobreposição de trechos suspeitos. O backend, em Python e FastAPI, utiliza MNE-Python na leitura do EDF e TensorFlow/Keras na inferência da CNN-BiLSTM. Os metadados são persistidos no PostgreSQL configurado para a versão final.</w:t>
      </w:r>
    </w:p>
    <w:p w:rsidR="00000000" w:rsidDel="00000000" w:rsidP="00000000" w:rsidRDefault="00000000" w:rsidRPr="00000000" w14:paraId="000001FC">
      <w:pPr>
        <w:keepNext w:val="0"/>
        <w:spacing w:after="0" w:line="360" w:lineRule="auto" w:before="0"/>
        <w:ind w:firstLine="709" w:left="0"/>
        <w:jc w:val="both"/>
        <w:rPr/>
      </w:pPr>
      <w:r>
        <w:t>Após o envio do EDF, a API valida e armazena o arquivo e registra o exame. Quando o médico solicita a análise, o pipeline extrai 15 características por canal em janelas temporais e forma sequências para a CNN-BiLSTM, que produz probabilidades ictais ao longo do tempo. A explicação Gradient SHAP é calculada para a sequência de pico e projetada por canal e intervalo de segundos na interface. Essa projeção não atribui relevância a cada amostra bruta do sinal e não substitui a interpretação médica.</w:t>
      </w:r>
    </w:p>
    <w:p w:rsidR="00000000" w:rsidDel="00000000" w:rsidP="00000000" w:rsidRDefault="00000000" w:rsidRPr="00000000" w14:paraId="000001FD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m7tqzvtrdag3" w:id="27"/>
      <w:bookmarkEnd w:id="27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4.6 Fluxograma</w:t>
      </w:r>
    </w:p>
    <w:p w:rsidR="00000000" w:rsidDel="00000000" w:rsidP="00000000" w:rsidRDefault="00000000" w:rsidRPr="00000000" w14:paraId="000001FE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Para mapear de maneira lógica a dinâmica operacional e a rastreabilidade dos dados na plataforma web proposta, desenvolveu-se o fluxograma detalhado na Figura 3. Conforme preconizado pelas boas práticas de Engenharia de Software, o fluxo foi segmentado visualmente em três macrocamadas interdependentes e síncronas/assíncronas, diferenciadas por meio de uma paleta de cores funcional para facilitar a compreensão da arquitetura lógica do sistema:</w:t>
      </w:r>
    </w:p>
    <w:p w:rsidR="00000000" w:rsidDel="00000000" w:rsidP="00000000" w:rsidRDefault="00000000" w:rsidRPr="00000000" w14:paraId="000001FF">
      <w:pPr>
        <w:spacing w:after="0" w:afterAutospacing="0" w:line="360" w:lineRule="auto" w:before="0"/>
        <w:ind w:left="709" w:hanging="283"/>
        <w:jc w:val="both"/>
        <w:rPr>
          <w:u w:val="none"/>
        </w:rPr>
      </w:pPr>
      <w:r/>
      <w:r>
        <w:rPr>
          <w:rFonts w:ascii="Arial" w:hAnsi="Arial"/>
          <w:b/>
          <w:color w:val="000000"/>
          <w:sz w:val="24"/>
        </w:rPr>
        <w:t>• Camada de Interface (Em Azul):</w:t>
      </w:r>
      <w:r>
        <w:rPr>
          <w:rFonts w:ascii="Arial" w:hAnsi="Arial"/>
          <w:b w:val="0"/>
          <w:color w:val="000000"/>
          <w:sz w:val="24"/>
        </w:rPr>
        <w:t xml:space="preserve"> Representa o frontend em React.js, sendo a camada de interação direta do médico neurologista com o sistema.</w:t>
      </w:r>
    </w:p>
    <w:p w:rsidR="00000000" w:rsidDel="00000000" w:rsidP="00000000" w:rsidRDefault="00000000" w:rsidRPr="00000000" w14:paraId="00000200">
      <w:pPr>
        <w:spacing w:after="0" w:afterAutospacing="0" w:line="360" w:lineRule="auto" w:before="0"/>
        <w:ind w:left="709" w:hanging="283"/>
        <w:jc w:val="both"/>
        <w:rPr>
          <w:u w:val="none"/>
        </w:rPr>
      </w:pPr>
      <w:r>
        <w:t>• Camada de Servidor (em verde): representa o backend FastAPI, responsável pela lógica de negócio, validação dos arquivos e persistência dos metadados no PostgreSQL.</w:t>
      </w:r>
    </w:p>
    <w:p w:rsidR="00000000" w:rsidDel="00000000" w:rsidP="00000000" w:rsidRDefault="00000000" w:rsidRPr="00000000" w14:paraId="00000201">
      <w:pPr>
        <w:spacing w:after="0" w:line="360" w:lineRule="auto" w:before="0"/>
        <w:ind w:left="709" w:hanging="283"/>
        <w:jc w:val="both"/>
        <w:rPr>
          <w:u w:val="none"/>
        </w:rPr>
      </w:pPr>
      <w:r/>
      <w:r>
        <w:rPr>
          <w:rFonts w:ascii="Arial" w:hAnsi="Arial"/>
          <w:b/>
          <w:color w:val="000000"/>
          <w:sz w:val="24"/>
        </w:rPr>
        <w:t>• Camada de Pipeline de IA (Em Roxo):</w:t>
      </w:r>
      <w:r>
        <w:rPr>
          <w:rFonts w:ascii="Arial" w:hAnsi="Arial"/>
          <w:b w:val="0"/>
          <w:color w:val="000000"/>
          <w:sz w:val="24"/>
        </w:rPr>
        <w:t xml:space="preserve"> Representa o motor de processamento matemático e inferência de redes neurais profundas em Python.</w:t>
      </w:r>
    </w:p>
    <w:p w:rsidR="00000000" w:rsidDel="00000000" w:rsidP="00000000" w:rsidRDefault="00000000" w:rsidRPr="00000000" w14:paraId="00000202">
      <w:pPr>
        <w:keepNext w:val="0"/>
        <w:spacing w:after="0" w:before="0" w:line="360" w:lineRule="auto"/>
        <w:ind w:firstLine="709" w:lef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>A lógica de processamento mapeada no diagrama cumpre rigorosamente quatro fases sequenciais estruturadas:</w:t>
      </w:r>
    </w:p>
    <w:p w:rsidR="00000000" w:rsidDel="00000000" w:rsidP="00000000" w:rsidRDefault="00000000" w:rsidRPr="00000000" w14:paraId="00000203">
      <w:pPr>
        <w:spacing w:after="0" w:before="0" w:line="360" w:lineRule="auto"/>
        <w:ind w:left="709" w:firstLine="0"/>
        <w:jc w:val="both"/>
        <w:rPr/>
      </w:pPr>
      <w:r>
        <w:t>1. Autenticação e Gestão Cadastral: O fluxo inicia-se com a validação das credenciais do usuário na tela de login. Na busca pelo prontuário, caso o paciente pesquisado via CPF não conste na base, a interface força o redirecionamento para um formulário de cadastro simplificado, assegurando as restrições de integridade referencial antes da abertura do exame.</w:t>
      </w:r>
    </w:p>
    <w:p w:rsidR="00000000" w:rsidDel="00000000" w:rsidP="00000000" w:rsidRDefault="00000000" w:rsidRPr="00000000" w14:paraId="00000204">
      <w:pPr>
        <w:spacing w:after="0" w:before="0" w:line="360" w:lineRule="auto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2. Ingestão e Validação de Arquivo:</w:t>
      </w:r>
      <w:r>
        <w:rPr>
          <w:rFonts w:ascii="Arial" w:hAnsi="Arial"/>
          <w:b w:val="0"/>
          <w:color w:val="000000"/>
          <w:sz w:val="24"/>
        </w:rPr>
        <w:t xml:space="preserve"> O arquivo biomédico com extensão .EDF é submetido pela interface via requisição HTTP POST Multipart. O servidor FastAPI intercepta o arquivo e valida a integridade do seu cabeçalho (header); caso haja inconformidade ou erro de formato, o fluxo é interrompido com uma notificação de erro ao cliente, impedindo a persistência de dados corrompidos.</w:t>
      </w:r>
    </w:p>
    <w:p w:rsidR="00000000" w:rsidDel="00000000" w:rsidP="00000000" w:rsidRDefault="00000000" w:rsidRPr="00000000" w14:paraId="00000205">
      <w:pPr>
        <w:spacing w:after="0" w:before="0" w:line="360" w:lineRule="auto"/>
        <w:ind w:left="709" w:firstLine="0"/>
        <w:jc w:val="both"/>
        <w:rPr/>
      </w:pPr>
      <w:r>
        <w:t>3. Processamento Inteligente Assíncrono: após a importação, o médico solicita a análise do exame. O servidor executa em segundo plano a extração das 15 características por canal e a inferência CNN-BiLSTM. As probabilidades são agregadas em trechos temporais suspeitos; o SHAP explica a sequência de pico. Os metadados e resultados são registrados no banco relacional configurado, enquanto EDF e imagens permanecem em disco.</w:t>
      </w:r>
    </w:p>
    <w:p w:rsidR="00000000" w:rsidDel="00000000" w:rsidP="00000000" w:rsidRDefault="00000000" w:rsidRPr="00000000" w14:paraId="00000206">
      <w:pPr>
        <w:spacing w:after="0" w:before="0" w:line="360" w:lineRule="auto"/>
        <w:ind w:left="709" w:firstLine="0"/>
        <w:jc w:val="both"/>
        <w:rPr/>
      </w:pPr>
      <w:r>
        <w:t>4. Conclusão Clínico-Administrativa: a interface apresenta o EEG, os trechos suspeitos e, quando disponível, a relevância SHAP por canal e intervalo. O médico pode registrar seu parecer no laudo. A saída da IA é apoio à revisão, não diagnóstico autônomo.</w:t>
      </w:r>
    </w:p>
    <w:p w:rsidR="00000000" w:rsidDel="00000000" w:rsidP="00000000" w:rsidRDefault="00000000" w:rsidRPr="00000000" w14:paraId="00000207">
      <w:pPr>
        <w:keepNext/>
        <w:spacing w:after="80" w:line="240" w:lineRule="auto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Figura 3 – Fluxograma de Execução e Ciclo de Vida dos Dados da Plataforma.</w:t>
      </w:r>
    </w:p>
    <w:p w:rsidR="00000000" w:rsidDel="00000000" w:rsidP="00000000" w:rsidRDefault="00000000" w:rsidRPr="00000000" w14:paraId="00000209">
      <w:pPr>
        <w:keepNext/>
        <w:spacing w:line="240" w:lineRule="auto" w:before="60" w:after="60"/>
        <w:ind w:firstLine="0" w:lef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49375" cy="51120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6622" l="0" r="0" t="5836"/>
                    <a:stretch>
                      <a:fillRect/>
                    </a:stretch>
                  </pic:blipFill>
                  <pic:spPr>
                    <a:xfrm>
                      <a:off x="0" y="0"/>
                      <a:ext cx="3049375" cy="51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20B">
      <w:pPr>
        <w:pStyle w:val="Heading2"/>
        <w:keepNext/>
        <w:spacing w:line="240" w:lineRule="auto" w:before="160" w:after="80"/>
        <w:ind w:firstLine="0" w:left="0"/>
        <w:jc w:val="left"/>
        <w:rPr>
          <w:color w:val="ff0000"/>
        </w:rPr>
      </w:pPr>
      <w:bookmarkStart w:colFirst="0" w:colLast="0" w:name="_lwl83x1htoss" w:id="28"/>
      <w:bookmarkEnd w:id="28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4.7 Modelo Entidade Relacionamento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20C">
      <w:pPr>
        <w:keepNext w:val="0"/>
        <w:spacing w:after="0" w:line="360" w:lineRule="auto" w:before="0"/>
        <w:ind w:firstLine="709" w:lef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Conforme abordado por Elmasri e Navathe (2011), o Modelo Entidade-Relacionamento (MER) consiste em uma técnica de modelagem conceitual de alto nível amplamente utilizada no design de bancos de dados, permitindo mapear de forma abstrata as estruturas de dados e os requisitos de informação de um ecossistema de software. Essa abordagem viabiliza a representação visual do domínio do sistema por meio da identificação de entidades abstratas ou objetos do mundo real, de seus respectivos atributos qualificadores e dos relacionamentos lógicos estabelecidos entre essas estruturas.</w:t>
      </w:r>
    </w:p>
    <w:p w:rsidR="00000000" w:rsidDel="00000000" w:rsidP="00000000" w:rsidRDefault="00000000" w:rsidRPr="00000000" w14:paraId="0000020D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Para representar a persistência implementada no protótipo, o modelo relaciona quatro entidades principais: Usuario, Paciente, Exame e Predicao_IA. O texto do laudo permanece associado ao Exame, enquanto as saídas do modelo e a referência do SHAP são armazenadas em Predicao_IA. Não existe entidade específica de auditoria na versão atual.</w:t>
      </w:r>
    </w:p>
    <w:p w:rsidR="00000000" w:rsidDel="00000000" w:rsidP="00000000" w:rsidRDefault="00000000" w:rsidRPr="00000000" w14:paraId="0000020E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entidade Usuario armazena dados profissionais e o hash da senha dos médicos autorizados. Paciente centraliza os dados cadastrais e se relaciona aos exames registrados. Embora o sistema possua autenticação, a implementação atual não equivale a conformidade integral com a LGPD.</w:t>
      </w:r>
    </w:p>
    <w:p w:rsidR="00000000" w:rsidDel="00000000" w:rsidP="00000000" w:rsidRDefault="00000000" w:rsidRPr="00000000" w14:paraId="0000020F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entidade Exame registra o arquivo EDF, os metadados extraídos, o estado do processamento e o texto livre do laudo. Depois da emissão, o laudo torna-se imutável. Não há rascunho persistente, campos clínicos estruturados ou assinatura digital nesta versão.</w:t>
      </w:r>
    </w:p>
    <w:p w:rsidR="00000000" w:rsidDel="00000000" w:rsidP="00000000" w:rsidRDefault="00000000" w:rsidRPr="00000000" w14:paraId="00000210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entidade Predicao_IA registra o resultado analítico, o score, os trechos suspeitos e a referência do mapa SHAP. Arquivos EDF, modelos e imagens permanecem no sistema de arquivos e são referenciados pelo banco.</w:t>
      </w:r>
    </w:p>
    <w:p w:rsidR="00000000" w:rsidDel="00000000" w:rsidP="00000000" w:rsidRDefault="00000000" w:rsidRPr="00000000" w14:paraId="00000216">
      <w:pPr>
        <w:keepNext/>
        <w:spacing w:after="80" w:line="240" w:lineRule="auto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Figura 4 – Modelo Entidade Relacionamento.</w:t>
      </w:r>
    </w:p>
    <w:p w:rsidR="00000000" w:rsidDel="00000000" w:rsidP="00000000" w:rsidRDefault="00000000" w:rsidRPr="00000000" w14:paraId="00000217">
      <w:pPr>
        <w:keepNext/>
        <w:spacing w:after="60" w:line="240" w:lineRule="auto" w:before="60"/>
        <w:ind w:firstLine="0" w:lef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6000" cy="1209059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209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21A">
      <w:pPr>
        <w:pStyle w:val="Heading2"/>
        <w:keepNext/>
        <w:spacing w:line="240" w:lineRule="auto" w:before="160" w:after="80"/>
        <w:ind w:firstLine="0" w:left="0"/>
        <w:jc w:val="left"/>
        <w:rPr>
          <w:color w:val="ff0000"/>
        </w:rPr>
      </w:pPr>
      <w:r>
        <w:rPr>
          <w:rFonts w:ascii="Arial" w:hAnsi="Arial"/>
          <w:b/>
          <w:color w:val="000000"/>
          <w:sz w:val="24"/>
        </w:rPr>
        <w:t>4.8 Protótipos de baixa fidelidade</w:t>
      </w:r>
    </w:p>
    <w:p w:rsidR="00000000" w:rsidDel="00000000" w:rsidP="00000000" w:rsidRDefault="00000000" w:rsidRPr="00000000" w14:paraId="0000021B">
      <w:pPr>
        <w:keepNext w:val="0"/>
        <w:spacing w:after="0" w:before="0" w:lineRule="auto" w:line="360"/>
        <w:ind w:firstLine="709" w:left="0"/>
        <w:jc w:val="both"/>
        <w:rPr/>
      </w:pPr>
      <w:r>
        <w:t>O desenvolvimento de Sistemas de Apoio à Decisão Clínica (SADC) exige uma atenção rigorosa à usabilidade e à interação, visto que a eficácia da ferramenta está diretamente ligada à capacidade do profissional de saúde em interpretar os dados de forma ágil, intuitiva e sem sobrecarga cognitiva. Antes de avançar para a implementação em código, a construção de interfaces de usuário (User Interfaces - UI) requer um planejamento visual rigoroso.</w:t>
      </w:r>
    </w:p>
    <w:p w:rsidR="00000000" w:rsidDel="00000000" w:rsidP="00000000" w:rsidRDefault="00000000" w:rsidRPr="00000000" w14:paraId="0000021C">
      <w:pPr>
        <w:keepNext w:val="0"/>
        <w:spacing w:after="0" w:before="0" w:lineRule="auto" w:line="360"/>
        <w:ind w:firstLine="709" w:left="0"/>
        <w:jc w:val="both"/>
        <w:rPr/>
      </w:pPr>
      <w:r>
        <w:t>Para esse efeito, a utilização de wireframes e protótipos constitui uma ferramenta metodológica essencial. Segundo Pressman e Maxim (2016), a prototipação de telas permite que os programadores e os futuros usuárioes visualizem a disposição das informações, o fluxo de navegação e as funcionalidades primárias do software antes da fase de codificação final, mitigando riscos, retrabalho e falhas de comunicação.</w:t>
      </w:r>
    </w:p>
    <w:p w:rsidR="00000000" w:rsidDel="00000000" w:rsidP="00000000" w:rsidRDefault="00000000" w:rsidRPr="00000000" w14:paraId="0000021D">
      <w:pPr>
        <w:keepNext w:val="0"/>
        <w:spacing w:after="0" w:before="0" w:lineRule="auto" w:line="360"/>
        <w:ind w:firstLine="709" w:left="0"/>
        <w:jc w:val="both"/>
        <w:rPr/>
      </w:pPr>
      <w:r>
        <w:t>Neste contexto, visando materializar a proposta da plataforma Web de apoio à análise neurológica desenvolvida neste projeto, foram elaborados wireframes que representam o fluxo de interação do especialista médico com o sistema. A conceção destas interfaces teve como premissa principal integrar a complexidade da visualização de sinais de Eletroencefalograma (EEG) e os resultados preditivos do modelo de Inteligência Artificial Explicável (XAI) num ambiente limpo e responsivo.</w:t>
      </w:r>
    </w:p>
    <w:p w:rsidR="00000000" w:rsidDel="00000000" w:rsidP="00000000" w:rsidRDefault="00000000" w:rsidRPr="00000000" w14:paraId="0000021E">
      <w:pPr>
        <w:keepNext w:val="0"/>
        <w:spacing w:after="0" w:before="0" w:lineRule="auto" w:line="360"/>
        <w:ind w:firstLine="709" w:left="0"/>
        <w:jc w:val="both"/>
        <w:rPr>
          <w:color w:val="ff0000"/>
        </w:rPr>
      </w:pPr>
      <w:r>
        <w:t>As figuras a seguir apresentam os principais telas projetados, detalhando a jornada do usuário desde a autenticação no sistema, passando pela gestão de prontuários, até à área central de análise visual e emissão de laudos com o suporte da rede neural.</w:t>
      </w:r>
    </w:p>
    <w:p w:rsidR="00000000" w:rsidDel="00000000" w:rsidP="00000000" w:rsidRDefault="00000000" w:rsidRPr="00000000" w14:paraId="0000021F">
      <w:pPr>
        <w:keepNext w:val="0"/>
        <w:pageBreakBefore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Figura 5 apresenta a tela de login do sistema, porta de entrada para a plataforma de suporte à decisão clínica. Centralizada e com design minimalista, a interface conta com campos para a inserção do e-mail e da senha de acesso, além do botão de ação principal "Entrar no Sistema". O layout foi projetado com tipografia limpa, priorizando a legibilidade imediata e destacando no rodapé que o acesso é restrito aos profissionais credenciados.</w:t>
      </w:r>
    </w:p>
    <w:p>
      <w:pPr>
        <w:keepNext/>
        <w:spacing w:line="240" w:lineRule="auto" w:before="200" w:after="8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5 – Tela de login do sistema.</w:t>
      </w:r>
    </w:p>
    <w:p w:rsidR="00000000" w:rsidDel="00000000" w:rsidP="00000000" w:rsidRDefault="00000000" w:rsidRPr="00000000" w14:paraId="00000220">
      <w:pPr>
        <w:keepNext/>
        <w:spacing w:after="60" w:before="60" w:line="240" w:lineRule="auto"/>
        <w:ind w:firstLine="0" w:left="0"/>
        <w:jc w:val="center"/>
        <w:rPr/>
      </w:pPr>
      <w:r w:rsidDel="00000000" w:rsidR="00000000" w:rsidRPr="00000000">
        <w:rPr>
          <w:rFonts w:ascii="Arial" w:hAnsi="Arial"/>
          <w:color w:val="ff0000"/>
          <w:sz w:val="20"/>
        </w:rPr>
        <w:drawing>
          <wp:inline distB="114300" distT="114300" distL="114300" distR="114300">
            <wp:extent cx="4896000" cy="215721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3099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157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21">
      <w:pPr>
        <w:keepNext w:val="0"/>
        <w:spacing w:after="200" w:line="240" w:lineRule="auto" w:before="60"/>
        <w:ind w:firstLine="0" w:left="0"/>
        <w:jc w:val="center"/>
        <w:rPr>
          <w:color w:val="ff0000"/>
        </w:rPr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22B">
      <w:pPr>
        <w:keepNext w:val="0"/>
        <w:spacing w:after="0" w:before="0" w:lineRule="auto" w:line="36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Figura 6 apresenta a interface de recuperação de senha. Na versão acadêmica, o fluxo é apenas simulado: a API devolve uma resposta neutra, mas não envia mensagem nem redefine credenciais. A recuperação operacional por e-mail permanece como trabalho futuro.</w:t>
      </w:r>
    </w:p>
    <w:p>
      <w:pPr>
        <w:keepNext/>
        <w:spacing w:line="240" w:lineRule="auto" w:before="200" w:after="8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6 – Janela modal de recuperação de senha do sistema.</w:t>
      </w:r>
    </w:p>
    <w:p w:rsidR="00000000" w:rsidDel="00000000" w:rsidP="00000000" w:rsidRDefault="00000000" w:rsidRPr="00000000" w14:paraId="0000022C">
      <w:pPr>
        <w:keepNext/>
        <w:spacing w:after="60" w:before="60" w:lineRule="auto" w:line="240"/>
        <w:ind w:firstLine="0" w:left="0"/>
        <w:jc w:val="center"/>
        <w:rPr/>
      </w:pPr>
      <w:r w:rsidDel="00000000" w:rsidR="00000000" w:rsidRPr="00000000">
        <w:rPr>
          <w:rFonts w:ascii="Arial" w:hAnsi="Arial"/>
          <w:sz w:val="20"/>
        </w:rPr>
        <w:drawing>
          <wp:inline distB="114300" distT="114300" distL="114300" distR="114300">
            <wp:extent cx="4896000" cy="2320504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320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2D">
      <w:pPr>
        <w:keepNext w:val="0"/>
        <w:spacing w:after="200" w:before="60" w:lineRule="auto" w:line="240"/>
        <w:ind w:firstLine="0" w:left="0"/>
        <w:jc w:val="center"/>
        <w:rPr>
          <w:color w:val="ff0000"/>
        </w:rPr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238">
      <w:pPr>
        <w:keepNext w:val="0"/>
        <w:spacing w:line="360" w:lineRule="auto" w:before="0" w:after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Figura 7 apresenta a tela inicial do sistema, também denominada Dashboard, que atua como o painel de controle principal para o especialista médico após a autenticação. A interface foi projetada para fornecer uma visão geral do ambiente clínico de forma clara e objetiva. O layout dispõe de um menu de navegação lateral e indicadores numéricos em destaque no topo, que resumem o volume de pacientes, exames em análise, laudos emitidos e a acurácia média do modelo preditivo. O centro da tela é ocupado por uma tabela de atividades recentes para o acompanhamento de status dos exames, finalizando com atalhos de acesso rápido na seção inferior para otimizar o fluxo de trabalho diário do profissional.</w:t>
      </w:r>
    </w:p>
    <w:p w:rsidR="00000000" w:rsidDel="00000000" w:rsidP="00000000" w:rsidRDefault="00000000" w:rsidRPr="00000000" w14:paraId="0000023A">
      <w:pPr>
        <w:keepNext/>
        <w:spacing w:line="240" w:lineRule="auto" w:after="80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Figura 7 – Tela inicial (Dashboard) e visão geral do sistema.</w:t>
      </w:r>
    </w:p>
    <w:p w:rsidR="00000000" w:rsidDel="00000000" w:rsidP="00000000" w:rsidRDefault="00000000" w:rsidRPr="00000000" w14:paraId="0000023B">
      <w:pPr>
        <w:keepNext/>
        <w:spacing w:line="240" w:lineRule="auto" w:before="60" w:after="60"/>
        <w:ind w:firstLine="0" w:lef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6000" cy="2264723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264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247">
      <w:pPr>
        <w:keepNext w:val="0"/>
        <w:spacing w:after="0" w:before="0" w:lineRule="auto" w:line="36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Figura 8 apresenta a interface de gestão de pacientes, dedicada ao registro e ao acompanhamento dos prontuários. A tela reúne pesquisa, cadastro, histórico de exames e situação do laudo, permitindo organizar o fluxo de trabalho do protótipo.</w:t>
      </w:r>
    </w:p>
    <w:p w:rsidR="00000000" w:rsidDel="00000000" w:rsidP="00000000" w:rsidRDefault="00000000" w:rsidRPr="00000000" w14:paraId="00000248">
      <w:pPr>
        <w:keepNext/>
        <w:spacing w:after="80" w:before="200" w:lineRule="auto" w:line="24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Figura 8 – Interface de gestão de pacientes e prontuários.</w:t>
      </w:r>
    </w:p>
    <w:p w:rsidR="00000000" w:rsidDel="00000000" w:rsidP="00000000" w:rsidRDefault="00000000" w:rsidRPr="00000000" w14:paraId="00000249">
      <w:pPr>
        <w:keepNext/>
        <w:spacing w:after="60" w:before="60" w:lineRule="auto" w:line="240"/>
        <w:ind w:firstLine="0" w:lef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6000" cy="2275879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275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251">
      <w:pPr>
        <w:keepNext w:val="0"/>
        <w:spacing w:after="0" w:before="0" w:lineRule="auto" w:line="360"/>
        <w:ind w:firstLine="709" w:left="0"/>
        <w:jc w:val="both"/>
        <w:rPr/>
      </w:pPr>
      <w:r>
        <w:t>A Figura 9 apresenta a interface de cadastro de um novo paciente, implementada no formato de janela sobreposta (modal). Acionada a partir da tela de gestão, a interface obscurece o plano de fundo para direcionar o foco do usuário ao formulário principal. O layout minimalista é composto por campos de entrada para os dados obrigatórios iniciais, como o nome completo e o CPF, além dos botões de confirmação ("Cadastrar Paciente") e cancelamento da ação. Esta abordagem de design permite a inserção ágil de informações no sistema sem a necessidade de redirecionamento de página, mantendo a fluidez do fluxo de trabalho clínico.</w:t>
      </w:r>
    </w:p>
    <w:p w:rsidR="00000000" w:rsidDel="00000000" w:rsidP="00000000" w:rsidRDefault="00000000" w:rsidRPr="00000000" w14:paraId="00000252">
      <w:pPr>
        <w:keepNext/>
        <w:spacing w:after="80" w:before="200" w:lineRule="auto" w:line="24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Figura 9 – Janela modal de cadastro de novo paciente.</w:t>
      </w:r>
    </w:p>
    <w:p w:rsidR="00000000" w:rsidDel="00000000" w:rsidP="00000000" w:rsidRDefault="00000000" w:rsidRPr="00000000" w14:paraId="00000253">
      <w:pPr>
        <w:keepNext/>
        <w:spacing w:line="240" w:lineRule="auto" w:before="60" w:after="60"/>
        <w:ind w:firstLine="0" w:lef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6000" cy="228703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287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25E">
      <w:pPr>
        <w:keepNext w:val="0"/>
        <w:spacing w:after="0" w:before="0" w:lineRule="auto" w:line="36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Figura 10 apresenta a interface central do sistema, dedicada à exploração visual dos sinais de Eletroencefalograma (EEG) e ao suporte à decisão clínica. O layout encontra-se estruturado em três colunas principais que refletem o fluxo de trabalho do neurologista. A secção lateral esquerda exibe os dados do paciente e possibilita a importação de novos exames no formato padrão EDF. A área central renderiza as séries temporais dos canais do EEG, oferecendo controles interativos de escala e amplitude, e prevê uma área de sobreposição gráfica onde atuará a Inteligência Artificial Explicável (mapas de calor gerados pelo método SHAP). Por fim, a coluna direita integra as ferramentas analíticas, disponibilizando a seleção dinâmica de elétrodos, o botão de acionamento do modelo preditivo (CNN-LSTM) e um editor de texto estruturado para a consolidação e emissão do laudo médico final.</w:t>
      </w:r>
    </w:p>
    <w:p w:rsidR="00000000" w:rsidDel="00000000" w:rsidP="00000000" w:rsidRDefault="00000000" w:rsidRPr="00000000" w14:paraId="0000025F">
      <w:pPr>
        <w:keepNext/>
        <w:spacing w:after="80" w:before="200" w:lineRule="auto" w:line="24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Figura 10 – Interface central de visualização de EEG, análise de IA e laudo.</w:t>
      </w:r>
    </w:p>
    <w:p w:rsidR="00000000" w:rsidDel="00000000" w:rsidP="00000000" w:rsidRDefault="00000000" w:rsidRPr="00000000" w14:paraId="00000260">
      <w:pPr>
        <w:keepNext/>
        <w:spacing w:after="60" w:before="60" w:lineRule="auto" w:line="240"/>
        <w:ind w:firstLine="0" w:lef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6000" cy="2309348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30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266">
      <w:pPr>
        <w:keepNext w:val="0"/>
        <w:spacing w:after="0" w:before="0" w:lineRule="auto" w:line="360"/>
        <w:ind w:firstLine="709" w:left="0"/>
        <w:jc w:val="both"/>
        <w:rPr/>
      </w:pPr>
      <w:r>
        <w:t>A Figura 11 apresenta a tela de configurações, com dados profissionais, montagem padrão de canais, limiar de confiança e controle de exibição do SHAP. Essas preferências de interface não substituem a calibração científica do modelo.</w:t>
      </w:r>
    </w:p>
    <w:p w:rsidR="00000000" w:rsidDel="00000000" w:rsidP="00000000" w:rsidRDefault="00000000" w:rsidRPr="00000000" w14:paraId="00000267">
      <w:pPr>
        <w:keepNext/>
        <w:spacing w:after="80" w:before="200" w:lineRule="auto" w:line="24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Figura 11 – Interface de configurações do sistema e preferências de análise.</w:t>
      </w:r>
    </w:p>
    <w:p w:rsidR="00000000" w:rsidDel="00000000" w:rsidP="00000000" w:rsidRDefault="00000000" w:rsidRPr="00000000" w14:paraId="00000268">
      <w:pPr>
        <w:keepNext/>
        <w:spacing w:after="60" w:before="60" w:lineRule="auto" w:line="240"/>
        <w:ind w:firstLine="0" w:left="0"/>
        <w:jc w:val="center"/>
        <w:rPr/>
      </w:pPr>
      <w:r w:rsidDel="00000000" w:rsidR="00000000" w:rsidRPr="00000000">
        <w:rPr>
          <w:rFonts w:ascii="Arial" w:hAnsi="Arial"/>
          <w:sz w:val="20"/>
        </w:rPr>
        <w:drawing>
          <wp:inline distB="114300" distT="114300" distL="114300" distR="114300">
            <wp:extent cx="4896000" cy="2320504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320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60" w:after="20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>
      <w:pPr>
        <w:pStyle w:val="Heading1"/>
        <w:keepNext/>
        <w:pageBreakBefore/>
        <w:spacing w:line="240" w:lineRule="auto" w:before="0" w:after="80"/>
        <w:ind w:firstLine="0" w:left="0"/>
        <w:jc w:val="left"/>
      </w:pPr>
      <w:r>
        <w:rPr>
          <w:rFonts w:ascii="Arial" w:hAnsi="Arial"/>
          <w:b/>
          <w:color w:val="000000"/>
          <w:sz w:val="24"/>
        </w:rPr>
        <w:t>5 RESULTADOS</w:t>
      </w:r>
    </w:p>
    <w:p>
      <w:pPr>
        <w:pStyle w:val="Heading2"/>
        <w:keepNext/>
        <w:spacing w:line="240" w:lineRule="auto" w:before="160" w:after="80"/>
        <w:ind w:firstLine="0" w:left="0"/>
        <w:jc w:val="left"/>
      </w:pPr>
      <w:r>
        <w:t>5.1 Interface implementada</w:t>
      </w:r>
    </w:p>
    <w:p>
      <w:pPr>
        <w:keepNext w:val="0"/>
        <w:spacing w:line="360" w:lineRule="auto" w:after="0" w:before="0"/>
        <w:ind w:firstLine="709" w:left="0"/>
        <w:jc w:val="both"/>
      </w:pPr>
      <w:r>
        <w:t>As Figuras 12 a 16 documentam a interface implementada no ambiente local: painel principal, gestão de pacientes, configurações, análise multicanal com sobreposição SHAP e redação do laudo médico.</w:t>
      </w:r>
    </w:p>
    <w:p>
      <w:pPr>
        <w:keepNext/>
        <w:spacing w:after="80" w:line="240" w:lineRule="auto" w:before="20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12 – Painel principal da versão implementada.</w:t>
      </w:r>
    </w:p>
    <w:p>
      <w:pPr>
        <w:keepNext/>
        <w:spacing w:line="240" w:lineRule="auto" w:before="60" w:after="60"/>
        <w:ind w:firstLine="0" w:left="0"/>
        <w:jc w:val="center"/>
      </w:pPr>
      <w:r>
        <w:drawing>
          <wp:inline>
            <wp:extent cx="4896000" cy="170021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final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700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240" w:lineRule="auto" w:before="6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>
      <w:pPr>
        <w:keepNext/>
        <w:spacing w:after="80" w:line="240" w:lineRule="auto" w:before="20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13 – Gestão de pacientes da versão implementada.</w:t>
      </w:r>
    </w:p>
    <w:p>
      <w:pPr>
        <w:keepNext/>
        <w:spacing w:line="240" w:lineRule="auto" w:before="60" w:after="60"/>
        <w:ind w:firstLine="0" w:left="0"/>
        <w:jc w:val="center"/>
      </w:pPr>
      <w:r>
        <w:drawing>
          <wp:inline>
            <wp:extent cx="4896000" cy="170021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ientes_final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700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240" w:lineRule="auto" w:before="6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>
      <w:pPr>
        <w:keepNext/>
        <w:spacing w:after="80" w:line="240" w:lineRule="auto" w:before="20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14 – Configurações do perfil, montagem, limiar e SHAP.</w:t>
      </w:r>
    </w:p>
    <w:p>
      <w:pPr>
        <w:keepNext/>
        <w:spacing w:line="240" w:lineRule="auto" w:before="60" w:after="60"/>
        <w:ind w:firstLine="0" w:left="0"/>
        <w:jc w:val="center"/>
      </w:pPr>
      <w:r>
        <w:drawing>
          <wp:inline>
            <wp:extent cx="4896000" cy="17002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uracoes_final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700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240" w:lineRule="auto" w:before="6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>
      <w:pPr>
        <w:keepNext/>
        <w:spacing w:after="80" w:line="240" w:lineRule="auto" w:before="20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15 – Visualização multicanal com trecho suspeito e SHAP sobreposto por canal e tempo.</w:t>
      </w:r>
    </w:p>
    <w:p>
      <w:pPr>
        <w:keepNext/>
        <w:spacing w:line="240" w:lineRule="auto" w:before="60" w:after="60"/>
        <w:ind w:firstLine="0" w:left="0"/>
        <w:jc w:val="center"/>
      </w:pPr>
      <w:r>
        <w:drawing>
          <wp:inline>
            <wp:extent cx="4896000" cy="170021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e_shap_final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700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240" w:lineRule="auto" w:before="6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Na Figura 15, a faixa laranja delimita o trecho suspeito e a intensidade vermelha representa contribuição positiva do Gradient SHAP. A projeção está associada às janelas de features da sequência de pico; portanto, não corresponde a uma atribuição para cada amostra bruta do sinal.</w:t>
      </w:r>
    </w:p>
    <w:p>
      <w:pPr>
        <w:keepNext/>
        <w:spacing w:after="80" w:line="240" w:lineRule="auto" w:before="20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16 – Área de emissão do parecer médico após a análise computacional.</w:t>
      </w:r>
    </w:p>
    <w:p>
      <w:pPr>
        <w:keepNext/>
        <w:spacing w:line="240" w:lineRule="auto" w:before="60" w:after="60"/>
        <w:ind w:firstLine="0" w:left="0"/>
        <w:jc w:val="center"/>
      </w:pPr>
      <w:r>
        <w:drawing>
          <wp:inline>
            <wp:extent cx="4896000" cy="170021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udo_final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700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240" w:lineRule="auto" w:before="6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>
      <w:pPr>
        <w:pStyle w:val="Heading2"/>
        <w:keepNext/>
        <w:spacing w:line="240" w:lineRule="auto" w:before="160" w:after="80"/>
        <w:ind w:firstLine="0" w:left="0"/>
        <w:jc w:val="left"/>
      </w:pPr>
      <w:r>
        <w:t>5.2 Protocolo experimental</w:t>
      </w:r>
    </w:p>
    <w:p>
      <w:pPr>
        <w:keepNext w:val="0"/>
        <w:spacing w:line="360" w:lineRule="auto" w:after="0" w:before="0"/>
        <w:ind w:firstLine="709" w:left="0"/>
        <w:jc w:val="both"/>
      </w:pPr>
      <w:r>
        <w:t>O modelo final selecionado foi a versão v43 com seed 42. A arquitetura CNN-BiLSTM utiliza fusão tardia de 23 canais e 15 características tempo-frequência por canal, entre elas entropia espectral. Não utiliza a feature histórica de Entropia de Shannon nem medidas de Dinâmica Simbólica. As janelas têm 4 segundos, passo de 2 segundos e sequências de 8 passos. O treinamento utilizou 77 EDFs de 17 grupos identificados na base; a calibração reuniu 13 EDFs de chb16, chb19, chb20 e chb24, separados antes do janelamento.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O ponto operacional foi definido exclusivamente na calibração, com limiar de 0,60, duração mínima de 18 segundos e fechamento de lacunas de 8 segundos. A seleção do checkpoint priorizou desempenho por evento sob limite de falsos alarmes por hora. O conjunto chb09, chb15 e chb18 foi mantido separado no experimento final, mas já havia sido consultado durante o desenvolvimento; por isso, seus resultados são classificados como avaliação histórica, e não como teste final intocado.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A base Bonn, prevista no planejamento do TCC I, não foi combinada à avaliação final. Seus segmentos curtos e previamente selecionados não preservam o mesmo protocolo de registros contínuos multicanais com início e término de crises do CHB-MIT. A mistura direta dificultaria interpretar métricas de localização temporal e falsos alarmes por hora. Assim, os resultados apresentados nesta pesquisa referem-se ao CHB-MIT; Bonn permanece como referência do planejamento.</w:t>
      </w:r>
    </w:p>
    <w:p>
      <w:pPr>
        <w:pStyle w:val="Heading2"/>
        <w:keepNext/>
        <w:spacing w:line="240" w:lineRule="auto" w:before="160" w:after="80"/>
        <w:ind w:firstLine="0" w:left="0"/>
        <w:jc w:val="left"/>
      </w:pPr>
      <w:r>
        <w:t>5.3 Desempenho do modelo</w:t>
      </w:r>
    </w:p>
    <w:p>
      <w:pPr>
        <w:keepNext/>
        <w:spacing w:line="240" w:lineRule="auto" w:after="80" w:before="200"/>
        <w:ind w:firstLine="0" w:left="0"/>
        <w:jc w:val="center"/>
      </w:pPr>
      <w:r>
        <w:t>Quadro 8 – Resultados da v43 na calibração e na avaliação histórica.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00"/>
      </w:tblPr>
      <w:tblGrid>
        <w:gridCol w:w="4470"/>
        <w:gridCol w:w="2300"/>
        <w:gridCol w:w="2300"/>
      </w:tblGrid>
      <w:tr>
        <w:trPr>
          <w:cantSplit/>
        </w:trPr>
        <w:tc>
          <w:tcPr>
            <w:tcW w:w="4470" w:type="dxa"/>
            <w:shd w:val="clear" w:color="auto" w:fill="E6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Métrica</w:t>
            </w:r>
          </w:p>
        </w:tc>
        <w:tc>
          <w:tcPr>
            <w:tcW w:w="2300" w:type="dxa"/>
            <w:shd w:val="clear" w:color="auto" w:fill="E6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Calibração</w:t>
            </w:r>
          </w:p>
        </w:tc>
        <w:tc>
          <w:tcPr>
            <w:tcW w:w="2300" w:type="dxa"/>
            <w:shd w:val="clear" w:color="auto" w:fill="E6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Histórico</w:t>
            </w:r>
          </w:p>
        </w:tc>
      </w:tr>
      <w:tr>
        <w:trPr>
          <w:cantSplit/>
        </w:trPr>
        <w:tc>
          <w:tcPr>
            <w:tcW w:w="447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Precisão por EDF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100,0%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87,5%</w:t>
            </w:r>
          </w:p>
        </w:tc>
      </w:tr>
      <w:tr>
        <w:trPr>
          <w:cantSplit/>
        </w:trPr>
        <w:tc>
          <w:tcPr>
            <w:tcW w:w="447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Sensibilidade por EDF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91,7%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77,8%</w:t>
            </w:r>
          </w:p>
        </w:tc>
      </w:tr>
      <w:tr>
        <w:trPr>
          <w:cantSplit/>
        </w:trPr>
        <w:tc>
          <w:tcPr>
            <w:tcW w:w="447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F1 por EDF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95,7%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82,4%</w:t>
            </w:r>
          </w:p>
        </w:tc>
      </w:tr>
      <w:tr>
        <w:trPr>
          <w:cantSplit/>
        </w:trPr>
        <w:tc>
          <w:tcPr>
            <w:tcW w:w="447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F1 localizado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90,9%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46,2%</w:t>
            </w:r>
          </w:p>
        </w:tc>
      </w:tr>
      <w:tr>
        <w:trPr>
          <w:cantSplit/>
        </w:trPr>
        <w:tc>
          <w:tcPr>
            <w:tcW w:w="447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Eventos detectados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15 de 20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 de 9</w:t>
            </w:r>
          </w:p>
        </w:tc>
      </w:tr>
      <w:tr>
        <w:trPr>
          <w:cantSplit/>
        </w:trPr>
        <w:tc>
          <w:tcPr>
            <w:tcW w:w="447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Recall por evento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75,0%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44,4%</w:t>
            </w:r>
          </w:p>
        </w:tc>
      </w:tr>
      <w:tr>
        <w:trPr>
          <w:cantSplit/>
        </w:trPr>
        <w:tc>
          <w:tcPr>
            <w:tcW w:w="447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F1 por evento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71,4%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17,8%</w:t>
            </w:r>
          </w:p>
        </w:tc>
      </w:tr>
      <w:tr>
        <w:trPr>
          <w:cantSplit/>
        </w:trPr>
        <w:tc>
          <w:tcPr>
            <w:tcW w:w="447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Falsos alarmes por hora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0,55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2,08</w:t>
            </w:r>
          </w:p>
        </w:tc>
      </w:tr>
    </w:tbl>
    <w:p>
      <w:pPr>
        <w:keepNext w:val="0"/>
        <w:spacing w:line="240" w:lineRule="auto" w:after="200" w:before="6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a partir dos artefatos v43 (2026).</w:t>
      </w:r>
    </w:p>
    <w:p>
      <w:pPr>
        <w:keepNext/>
        <w:spacing w:after="80" w:line="240" w:lineRule="auto" w:before="20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17 – Comparação das métricas da v43.</w:t>
      </w:r>
    </w:p>
    <w:p>
      <w:pPr>
        <w:keepNext/>
        <w:spacing w:line="240" w:lineRule="auto" w:before="60" w:after="60"/>
        <w:ind w:firstLine="0" w:left="0"/>
        <w:jc w:val="center"/>
      </w:pPr>
      <w:r>
        <w:drawing>
          <wp:inline>
            <wp:extent cx="4896000" cy="2828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as_v43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240" w:lineRule="auto" w:before="6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Na calibração, a v43 atingiu F1 por EDF de 95,7%, F1 localizado de 90,9% e detectou 15 de 20 eventos, com 0,55 falso alarme por hora. A avaliação histórica apresentou F1 por EDF de 82,4%, F1 localizado de 46,2% e detecção de 4 de 9 eventos, com 2,08 falsos alarmes por hora. A diferença indica perda de generalização entre pacientes e impede interpretar a calibração como estimativa de desempenho clínico externo.</w:t>
      </w:r>
    </w:p>
    <w:p>
      <w:pPr>
        <w:keepNext/>
        <w:spacing w:after="80" w:line="240" w:lineRule="auto" w:before="20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18 – Eventos localizados e falsos alarmes por hora.</w:t>
      </w:r>
    </w:p>
    <w:p>
      <w:pPr>
        <w:keepNext/>
        <w:spacing w:line="240" w:lineRule="auto" w:before="60" w:after="60"/>
        <w:ind w:firstLine="0" w:left="0"/>
        <w:jc w:val="center"/>
      </w:pPr>
      <w:r>
        <w:drawing>
          <wp:inline>
            <wp:extent cx="4896000" cy="2393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os_falsos_alarmes_v43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3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240" w:lineRule="auto" w:before="6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O ponto operacional da v43 foi escolhido na curva de compromisso entre sensibilidade por evento e falsos alarmes por hora (FROC), com teto de 0,75 falso alarme por hora na calibração. Os valores apresentados no quadro representam esse ponto selecionado; não constituem uma curva FROC de teste externo. A precisão por EDF e a localização são analisadas separadamente, pois uma classificação correta do arquivo pode coexistir com uma crise perdida.</w:t>
      </w:r>
    </w:p>
    <w:p>
      <w:pPr>
        <w:pStyle w:val="Heading2"/>
        <w:keepNext/>
        <w:spacing w:line="240" w:lineRule="auto" w:before="160" w:after="80"/>
        <w:ind w:firstLine="0" w:left="0"/>
        <w:jc w:val="left"/>
      </w:pPr>
      <w:r>
        <w:t>5.4 Evolução experimental e estabilidade entre seeds</w:t>
      </w:r>
    </w:p>
    <w:p>
      <w:pPr>
        <w:ind w:firstLine="709"/>
      </w:pPr>
      <w:r>
        <w:t>A proposta registrada no TCC I previa a combinação das bases Bonn e CHB-MIT, validação k-fold e uso de Entropia de Shannon e Dinâmica Simbólica em uma CNN-LSTM. Um ensaio inicial de k-fold por janelas foi exploratório e não constitui a validação do modelo final. A avaliação passou a separar grupos antes do janelamento para examinar generalização interpaciente e evitar compartilhamento de janelas do mesmo grupo entre etapas. A base Bonn foi retirada da avaliação temporal final pelas diferenças de estrutura e anotação em relação aos EDFs contínuos da CHB-MIT.</w:t>
      </w:r>
    </w:p>
    <w:p>
      <w:pPr>
        <w:ind w:firstLine="709"/>
      </w:pPr>
      <w:r>
        <w:t>A seleção das 15 características espectrais por canal decorreu das comparações de representação documentadas nos experimentos. A entropia espectral da v43 não equivale à feature histórica de Entropia de Shannon calculada diretamente do sinal, e a Dinâmica Simbólica não alimenta o modelo final. Também foi testada uma representação de sinal bruto, que não substituiu a escolhida. Essas alterações são decisões tomadas ao longo do desenvolvimento, não requisitos definidos dessa forma desde o início. Os resultados abaixo referem-se exclusivamente ao protocolo e aos artefatos da versão final.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A seleção da v43 não decorreu de uma única execução. Nas cinco seeds 42 a 46, a calibração apresentou média de 13,8 eventos detectados em 20, F1 por evento de 65,7%, F1 localizado de 81,9%, F1 por EDF de 96,4% e 0,64 falso alarme por hora. A seed 42 alcançou 15/20 eventos, F1 localizado de 90,9% e 0,55 falso alarme por hora. A variação entre seeds impede tratar esse melhor resultado isolado como desempenho esperado em novos pacientes.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Em comparação controlada com a CNN-BiLSTM anterior nas seeds 42 a 44, a fusão tardia da v43 elevou a média de eventos de 13,33 para 14,00 em 20, o F1 localizado de 75,0% para 83,4% e o F1 por EDF de 92,9% para 97,1%. Os falsos alarmes passaram de 0,58 para 0,63 por hora. Esses números são de calibração no mesmo protocolo e não demonstram generalização externa.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Experimentos posteriores avaliaram multirresolução, seleção de checkpoint e expansão dirigida dos dados. A v53, com 26 EDF no treino e três seeds, obteve média de 12,33/20 eventos, F1 localizado de 77,9%, F1 por EDF de 92,5% e 0,602 falso alarme por hora. Embora algumas crises tenham melhorado, o conjunto não superou a referência v43 no mesmo protocolo. Por isso, a v53 não substituiu o modelo integrado à aplicação.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A mineração de negativos difíceis foi examinada nas versões v55 e v56, usando somente pacientes de treino. A configuração forte v55 reduziu a média para 12,67/20 eventos e F1 localizado de 71,3%, sem redução relevante dos falsos alarmes. A configuração leve v56 manteve 15/20 eventos na seed 42, mas reduziu o F1 localizado de 90,9% para 85,7%, com os mesmos 0,55 falso alarme por hora. Ambas foram rejeitadas para implantação.</w:t>
      </w:r>
    </w:p>
    <w:p>
      <w:pPr>
        <w:pStyle w:val="Heading2"/>
        <w:keepNext/>
        <w:spacing w:line="240" w:lineRule="auto" w:before="160" w:after="80"/>
        <w:ind w:firstLine="0" w:left="0"/>
        <w:jc w:val="left"/>
      </w:pPr>
      <w:r>
        <w:t>5.5 Análise dos erros e generalização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A avaliação histórica em chb09, chb15 e chb18 localizou 4 de 9 eventos, com F1 localizado de 46,2% e 2,08 falsos alarmes por hora. Esses pacientes haviam sido consultados durante o desenvolvimento e, portanto, os resultados descrevem a dificuldade interpaciente observada, sem constituir teste externo intocado. Crises não localizadas podem refletir baixa evidência ictal, fragmentação temporal ou escolha de candidato principal incorreto. A interpretação por evento é necessária porque F1 por EDF não identifica qual desses erros ocorreu.</w:t>
      </w:r>
    </w:p>
    <w:p>
      <w:pPr>
        <w:pStyle w:val="Heading2"/>
        <w:keepNext/>
        <w:spacing w:line="240" w:lineRule="auto" w:before="160" w:after="80"/>
        <w:ind w:firstLine="0" w:left="0"/>
        <w:jc w:val="left"/>
      </w:pPr>
      <w:r>
        <w:t>5.6 Verificação do software e dos artefatos</w:t>
      </w:r>
    </w:p>
    <w:p>
      <w:pPr>
        <w:keepNext w:val="0"/>
        <w:spacing w:line="360" w:lineRule="auto" w:after="0" w:before="0"/>
        <w:ind w:firstLine="709" w:left="0"/>
        <w:jc w:val="both"/>
      </w:pPr>
      <w:r>
        <w:t>A integração foi verificada no fluxo local completo: autenticação, cadastro do paciente, leitura de EDF, visualização multicanal, recuperação de exame analisado, apresentação do score, intervalo suspeito, sobreposição SHAP e emissão de laudo. O frontend foi compilado com TypeScript e Vite. Os testes focados do backend totalizaram 22 casos aprovados; a suíte completa apresentou bloqueio na inicialização do TensorFlow no ambiente utilizado e permanece como pendência de fechamento. Na configuração final, a API iniciou com PostgreSQL e recuperou os registros migrados de usuários, pacientes, exames e predições. A comparação campo a campo com a origem confirmou a integridade dos registros.</w:t>
      </w:r>
    </w:p>
    <w:p>
      <w:pPr>
        <w:keepNext/>
        <w:spacing w:after="80" w:line="240" w:lineRule="auto" w:before="20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19 – Verificação de integridade dos artefatos da v43.</w:t>
      </w:r>
    </w:p>
    <w:p>
      <w:pPr>
        <w:keepNext/>
        <w:spacing w:line="240" w:lineRule="auto" w:before="60" w:after="60"/>
        <w:ind w:firstLine="0" w:left="0"/>
        <w:jc w:val="center"/>
      </w:pPr>
      <w:r>
        <w:drawing>
          <wp:inline>
            <wp:extent cx="4896000" cy="1774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verificacao_v43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77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240" w:lineRule="auto" w:before="6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>
      <w:pPr>
        <w:pStyle w:val="Heading1"/>
        <w:keepNext/>
        <w:pageBreakBefore/>
        <w:spacing w:line="240" w:lineRule="auto" w:before="0" w:after="80"/>
        <w:ind w:firstLine="0" w:left="0"/>
        <w:jc w:val="left"/>
      </w:pPr>
      <w:r>
        <w:rPr>
          <w:rFonts w:ascii="Arial" w:hAnsi="Arial"/>
          <w:b/>
          <w:color w:val="000000"/>
          <w:sz w:val="24"/>
        </w:rPr>
        <w:t>6 DISCUSSÃO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Os resultados demonstram que o protótipo executa a proposta de apoio à análise temporal de EEG e apresenta evidências interpretáveis no mesmo contexto visual do sinal. A avaliação por EDF, isoladamente, mostrou-se insuficiente: mesmo quando o arquivo foi classificado corretamente, o sistema pôde deixar de localizar eventos específicos ou produzir alarmes fora do intervalo ictal. Por esse motivo, o estudo passou a registrar métricas por evento, localização temporal e falsos alarmes por hora.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A fusão tardia preservou a identidade dos canais por mais etapas da rede e foi superior às tentativas que agregavam precocemente a dimensão espacial. Entretanto, crises com morfologia, duração ou topografia pouco representadas no treino continuaram recebendo score baixo. O pós-processamento temporal melhorou continuidade e reduziu fragmentação, mas não recuperou eventos que o primeiro estágio não representou.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O SHAP aumenta a inspecionabilidade ao destacar quais canais e janelas de features contribuíram para a sequência de pico. Essa explicação não comprova causalidade fisiológica, não substitui a interpretação do traçado e pode refletir correlações aprendidas pelo modelo. Sua utilidade deverá ser avaliada com especialistas em estudo posterior.</w:t>
      </w:r>
    </w:p>
    <w:p>
      <w:pPr>
        <w:pStyle w:val="Heading2"/>
        <w:keepNext/>
        <w:spacing w:line="240" w:lineRule="auto" w:before="160" w:after="80"/>
        <w:ind w:firstLine="0" w:left="0"/>
        <w:jc w:val="left"/>
      </w:pPr>
      <w:r>
        <w:rPr>
          <w:rFonts w:ascii="Arial" w:hAnsi="Arial"/>
          <w:b/>
          <w:color w:val="000000"/>
          <w:sz w:val="24"/>
        </w:rPr>
        <w:t>6.1 Limitações e ameaças à validade</w:t>
      </w:r>
    </w:p>
    <w:p>
      <w:pPr>
        <w:spacing w:line="360" w:lineRule="auto" w:after="0" w:before="0"/>
        <w:ind w:left="709" w:hanging="283"/>
        <w:jc w:val="both"/>
      </w:pPr>
      <w:r>
        <w:rPr>
          <w:rFonts w:ascii="Arial" w:hAnsi="Arial"/>
          <w:b w:val="0"/>
          <w:color w:val="000000"/>
          <w:sz w:val="24"/>
        </w:rPr>
        <w:t>• não existe conjunto CHB-MIT local completamente intocado, pois todos os grupos disponíveis foram utilizados em treino, calibração ou desenvolvimento histórico;</w:t>
      </w:r>
    </w:p>
    <w:p>
      <w:pPr>
        <w:spacing w:line="360" w:lineRule="auto" w:after="0" w:before="0"/>
        <w:ind w:left="709" w:hanging="283"/>
        <w:jc w:val="both"/>
      </w:pPr>
      <w:r>
        <w:rPr>
          <w:rFonts w:ascii="Arial" w:hAnsi="Arial"/>
          <w:b w:val="0"/>
          <w:color w:val="000000"/>
          <w:sz w:val="24"/>
        </w:rPr>
        <w:t>• a calibração contém apenas quatro grupos de pacientes e vinte eventos, quantidade insuficiente para estimar generalização clínica;</w:t>
      </w:r>
    </w:p>
    <w:p>
      <w:pPr>
        <w:spacing w:line="360" w:lineRule="auto" w:after="0" w:before="0"/>
        <w:ind w:left="709" w:hanging="283"/>
        <w:jc w:val="both"/>
      </w:pPr>
      <w:r>
        <w:rPr>
          <w:rFonts w:ascii="Arial" w:hAnsi="Arial"/>
          <w:b w:val="0"/>
          <w:color w:val="000000"/>
          <w:sz w:val="24"/>
        </w:rPr>
        <w:t>• não foi realizada validação externa em outra instituição ou base temporal multicanal equivalente;</w:t>
      </w:r>
    </w:p>
    <w:p>
      <w:pPr>
        <w:spacing w:line="360" w:lineRule="auto" w:after="0" w:before="0"/>
        <w:ind w:left="709" w:hanging="283"/>
        <w:jc w:val="both"/>
      </w:pPr>
      <w:r>
        <w:rPr>
          <w:rFonts w:ascii="Arial" w:hAnsi="Arial"/>
          <w:b w:val="0"/>
          <w:color w:val="000000"/>
          <w:sz w:val="24"/>
        </w:rPr>
        <w:t>• não houve estudo formal de usabilidade com neurologistas ou técnicos de EEG;</w:t>
      </w:r>
    </w:p>
    <w:p>
      <w:pPr>
        <w:spacing w:line="360" w:lineRule="auto" w:after="0" w:before="0"/>
        <w:ind w:left="709" w:hanging="283"/>
        <w:jc w:val="both"/>
      </w:pPr>
      <w:r>
        <w:rPr>
          <w:rFonts w:ascii="Arial" w:hAnsi="Arial"/>
          <w:b w:val="0"/>
          <w:color w:val="000000"/>
          <w:sz w:val="24"/>
        </w:rPr>
        <w:t>• o sistema é um protótipo local, sem validação de desempenho concorrente, conformidade integral com a LGPD ou regularização sanitária;</w:t>
      </w:r>
    </w:p>
    <w:p>
      <w:pPr>
        <w:spacing w:line="360" w:lineRule="auto" w:after="0" w:before="0"/>
        <w:ind w:left="709" w:hanging="283"/>
        <w:jc w:val="both"/>
      </w:pPr>
      <w:r>
        <w:rPr>
          <w:rFonts w:ascii="Arial" w:hAnsi="Arial"/>
          <w:b w:val="0"/>
          <w:color w:val="000000"/>
          <w:sz w:val="24"/>
        </w:rPr>
        <w:t>• a suíte completa de testes precisa ser reexecutada em ambiente isolado após resolver o bloqueio de inicialização do TensorFlow.</w:t>
      </w:r>
    </w:p>
    <w:p>
      <w:pPr>
        <w:pStyle w:val="Heading1"/>
        <w:keepNext/>
        <w:pageBreakBefore/>
        <w:spacing w:line="240" w:lineRule="auto" w:before="0" w:after="80"/>
        <w:ind w:firstLine="0" w:left="0"/>
        <w:jc w:val="left"/>
      </w:pPr>
      <w:r>
        <w:rPr>
          <w:rFonts w:ascii="Arial" w:hAnsi="Arial"/>
          <w:b/>
          <w:color w:val="000000"/>
          <w:sz w:val="24"/>
        </w:rPr>
        <w:t>7 CONCLUSÃO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Este trabalho desenvolveu um protótipo web de apoio à análise de EEG que integra autenticação, gestão de pacientes, ingestão de EDF, visualização multicanal, detecção temporal com CNN-BiLSTM, explicabilidade por Gradient SHAP e emissão de laudo. A implementação atende ao objetivo de reunir o fluxo técnico em uma única aplicação e mantém explícito que a saída da IA representa apoio à decisão, não diagnóstico autônomo.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A v43 apresentou desempenho elevado na calibração, mas a queda observada na avaliação histórica confirmou que a generalização interpaciente permanece o principal gargalo. Portanto, o protótipo pode ser apresentado como resultado de Engenharia de Software e experimento de IA explicável, mas não como sistema clinicamente validado.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Como trabalhos futuros, recomenda-se obter uma coorte externa mantida intocada, ampliar a diversidade de eventos ictais, avaliar arquiteturas espaciais e temporais em ablações controladas, calibrar o ponto operacional sem acesso ao teste, medir usabilidade com profissionais, completar controles de segurança e privacidade e avaliar requisitos regulatórios antes de qualquer uso assistencial.</w:t>
      </w:r>
    </w:p>
    <w:p w:rsidR="00000000" w:rsidDel="00000000" w:rsidP="00000000" w:rsidRDefault="00000000" w:rsidRPr="00000000" w14:paraId="000002FE">
      <w:pPr>
        <w:pStyle w:val="Heading1"/>
        <w:keepNext/>
        <w:pageBreakBefore/>
        <w:spacing w:line="240" w:lineRule="auto" w:before="0" w:after="80"/>
        <w:ind w:firstLine="0" w:left="0"/>
        <w:jc w:val="left"/>
        <w:rPr>
          <w:b w:val="1"/>
          <w:bCs w:val="1"/>
          <w:sz w:val="24"/>
          <w:szCs w:val="24"/>
        </w:rPr>
      </w:pPr>
      <w:r>
        <w:rPr>
          <w:rFonts w:ascii="Arial" w:hAnsi="Arial"/>
          <w:b/>
          <w:color w:val="000000"/>
          <w:sz w:val="24"/>
        </w:rPr>
        <w:t>REFERÊNCIAS</w:t>
      </w:r>
    </w:p>
    <w:p w:rsidR="00000000" w:rsidDel="00000000" w:rsidP="00000000" w:rsidRDefault="00000000" w:rsidRPr="00000000" w14:paraId="000002FF">
      <w:pPr>
        <w:keepNext w:val="0"/>
        <w:spacing w:after="120" w:before="0" w:lineRule="auto" w:line="240"/>
        <w:ind w:firstLine="0" w:left="0"/>
        <w:jc w:val="left"/>
        <w:rPr/>
      </w:pPr>
      <w:r>
        <w:rPr>
          <w:rFonts w:ascii="Arial" w:hAnsi="Arial"/>
          <w:color w:val="000000"/>
          <w:sz w:val="24"/>
        </w:rPr>
        <w:t>ABOALAYON, K. A. I. et al. Seizure detection using EEG signals: a review of different EEG recording modalities, signal analysis techniques, and seizure detection systems. Informatics in Medicine Unlocked, v. 6, p. 1-18, 2016. Disponível em: https://catalog.nlm.nih.gov/discovery/fulldisplay?docid=alma9916189513406676&amp;context=L&amp;vid=01NLM_INST:01NLM_INST&amp;lang=en. Acesso em: 05 nov. 2025.</w:t>
      </w:r>
    </w:p>
    <w:p w:rsidR="00000000" w:rsidDel="00000000" w:rsidP="00000000" w:rsidRDefault="00000000" w:rsidRPr="00000000" w14:paraId="00000300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ACETO, G.; PERSICO, V.; PESCO, A.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Industry 4.0 and Health: Internet of Things, Big Data, and Cloud Computing for Healthcare 4.0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Journal of Industrial Information Integration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18, p. 100129, 2020. Disponível em: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https://www.sciencedirect.com/science/article/abs/pii/S2452414X19300135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. Acesso em: 05 nov. 2025.</w:t>
      </w:r>
    </w:p>
    <w:p w:rsidR="00000000" w:rsidDel="00000000" w:rsidP="00000000" w:rsidRDefault="00000000" w:rsidRPr="00000000" w14:paraId="00000301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ACHARYA, U. R.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Deep convolutional neural network for the automated detection and diagnosis of seizure using EEG signals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Computers in Biology and Medicine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100, p. 270-278, 2018. Disponível em: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https://www.sciencedirect.com/science/article/abs/pii/S0010482517303153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. Acesso em: 06 nov. 2025.</w:t>
      </w:r>
    </w:p>
    <w:p w:rsidR="00000000" w:rsidDel="00000000" w:rsidP="00000000" w:rsidRDefault="00000000" w:rsidRPr="00000000" w14:paraId="00000302">
      <w:pPr>
        <w:keepNext w:val="0"/>
        <w:spacing w:after="120" w:before="0" w:lineRule="auto" w:line="240"/>
        <w:ind w:firstLine="0" w:left="0"/>
        <w:jc w:val="left"/>
        <w:rPr/>
      </w:pPr>
      <w:r>
        <w:rPr>
          <w:rFonts w:ascii="Arial" w:hAnsi="Arial"/>
          <w:color w:val="000000"/>
          <w:sz w:val="24"/>
        </w:rPr>
        <w:t>ADADI, A.; BERRADA, M. Peeking inside the black-box: a survey on explainable artificial intelligence (XAI). IEEE Access, v. 6, p. 52138-52160, 2018. Disponível em: https://www.researchgate.net/publication/327709435_Peeking_Inside_the_Black-Box_A_Survey_on_Explainable_Artificial_Intelligence_XAI. Acesso em: 06 nov. 2025.</w:t>
      </w:r>
    </w:p>
    <w:p w:rsidR="00000000" w:rsidDel="00000000" w:rsidP="00000000" w:rsidRDefault="00000000" w:rsidRPr="00000000" w14:paraId="00000303">
      <w:pPr>
        <w:keepNext w:val="0"/>
        <w:spacing w:after="120" w:before="0" w:lineRule="auto" w:line="240"/>
        <w:ind w:firstLine="0" w:left="0"/>
        <w:jc w:val="left"/>
        <w:rPr/>
      </w:pPr>
      <w:r>
        <w:rPr>
          <w:rFonts w:ascii="Arial" w:hAnsi="Arial"/>
          <w:color w:val="000000"/>
          <w:sz w:val="24"/>
        </w:rPr>
        <w:t>AGARWAL, R. et al. The digital transformation of healthcare: current status and the road ahead. Information Systems Research, v. 21, n. 4, p. 796-809, 2010. Disponível em: https://www.researchgate.net/publication/220079558_The_Digital_Transformation_of_Healthcare_Current_Status_and_the_Road_Ahead . Acesso em: 07 nov. 2025.</w:t>
      </w:r>
    </w:p>
    <w:p w:rsidR="00000000" w:rsidDel="00000000" w:rsidP="00000000" w:rsidRDefault="00000000" w:rsidRPr="00000000" w14:paraId="00000304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AMANN, J.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Explainability for artificial intelligence in healthcare: a multidisciplinary perspective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BMC Medical Informatics and Decision Making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20, n. 1, p. 310, 2020. Disponível em: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https://www.researchgate.net/publication/346542270_Explainability_for_artificial_intelligence_in_healthcare_a_multidisciplinary_perspective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. Acesso em: 07 nov. 2025.</w:t>
      </w:r>
    </w:p>
    <w:p w:rsidR="00000000" w:rsidDel="00000000" w:rsidP="00000000" w:rsidRDefault="00000000" w:rsidRPr="00000000" w14:paraId="00000305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ARRIETA, A. B.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Explainable Artificial Intelligence (XAI): Concepts, taxonomies, opportunities and challenges toward responsible AI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Information Fusion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58, p. 82-115, 2020. Disponível em: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https://www.sciencedirect.com/science/article/abs/pii/S1566253519308103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08 nov. 2025.</w:t>
      </w:r>
    </w:p>
    <w:p w:rsidR="00000000" w:rsidDel="00000000" w:rsidP="00000000" w:rsidRDefault="00000000" w:rsidRPr="00000000" w14:paraId="00000306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BANKS, A.; PORCELLO, E.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Learning React: Modern Patterns for Developing React Apps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2. ed. Sebastopol: O'Reilly Media, 2020.Disponível em: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https://phanindra-reddy.github.io/portfolio/static/media/learningreact.da253db3.pdf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307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BECK, K.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Manifesto for Agile Software Development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2001. Disponível em: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http://agilemanifesto.org/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16 nov. 2025.</w:t>
      </w:r>
    </w:p>
    <w:p>
      <w:pPr>
        <w:keepNext w:val="0"/>
        <w:spacing w:line="240" w:lineRule="auto" w:after="120" w:before="0"/>
        <w:ind w:firstLine="0" w:left="0"/>
        <w:jc w:val="left"/>
      </w:pPr>
      <w:r>
        <w:rPr>
          <w:rFonts w:ascii="Arial" w:hAnsi="Arial"/>
          <w:color w:val="000000"/>
          <w:sz w:val="24"/>
        </w:rPr>
        <w:t>BRASIL. Agência Nacional de Vigilância Sanitária. Resolução da Diretoria Colegiada - RDC nº 657, de 24 de março de 2022. Dispõe sobre a regularização de software como dispositivo médico. Brasília, DF: Anvisa, 2022. Disponível em: https://www.gov.br/anvisa/. Acesso em: 13 out. 2026.</w:t>
      </w:r>
    </w:p>
    <w:p>
      <w:pPr>
        <w:keepNext w:val="0"/>
        <w:spacing w:line="240" w:lineRule="auto" w:after="120" w:before="0"/>
        <w:ind w:firstLine="0" w:left="0"/>
        <w:jc w:val="left"/>
      </w:pPr>
      <w:r>
        <w:rPr>
          <w:rFonts w:ascii="Arial" w:hAnsi="Arial"/>
          <w:color w:val="000000"/>
          <w:sz w:val="24"/>
        </w:rPr>
        <w:t>BRASIL. Agência Nacional de Vigilância Sanitária. Software como dispositivo médico: perguntas e respostas. Brasília, DF: Anvisa, 2022. Disponível em: https://www.gov.br/anvisa/pt-br/centraisdeconteudo/publicacoes/produtos-para-a-saude/manuais/software-como-dispositivo-medico-perguntas-e-respostas. Acesso em: 13 out. 2026.</w:t>
      </w:r>
    </w:p>
    <w:p>
      <w:pPr>
        <w:keepNext w:val="0"/>
        <w:spacing w:line="240" w:lineRule="auto" w:after="120" w:before="0"/>
        <w:ind w:firstLine="0" w:left="0"/>
        <w:jc w:val="left"/>
      </w:pPr>
      <w:r>
        <w:rPr>
          <w:rFonts w:ascii="Arial" w:hAnsi="Arial"/>
          <w:color w:val="000000"/>
          <w:sz w:val="24"/>
        </w:rPr>
        <w:t>BRASIL. Governo Digital. Modelo de Acessibilidade em Governo Eletrônico - eMAG, versão 3.1. Brasília, DF: Governo Federal. Disponível em: https://www.gov.br/governodigitallogin/pt-br/acessibilidade-e-usuario/acessibilidade-digital/modelo-de-acessibilidade. Acesso em: 13 out. 2026.</w:t>
      </w:r>
    </w:p>
    <w:p w:rsidR="00000000" w:rsidDel="00000000" w:rsidP="00000000" w:rsidRDefault="00000000" w:rsidRPr="00000000" w14:paraId="00000308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CRAIK, A.; HE, Y.; CONTRERAS-VIDAL, J. 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Deep learning for electroencephalogram (EEG) classification tasks: a review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Journal of Neural Engineering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16, n. 3, 2019. Disponível em: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https://pubmed.ncbi.nlm.nih.gov/30808014/</w:t>
        </w:r>
      </w:hyperlink>
      <w:r w:rsidDel="00000000" w:rsidR="00000000" w:rsidRPr="00000000">
        <w:rPr>
          <w:rFonts w:ascii="Arial" w:hAnsi="Arial"/>
          <w:color w:val="000000"/>
          <w:sz w:val="24"/>
          <w:szCs w:val="22"/>
          <w:rtl w:val="0"/>
        </w:rPr>
        <w:t xml:space="preserve"> 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08 nov. 2025.</w:t>
      </w:r>
    </w:p>
    <w:p w:rsidR="00000000" w:rsidDel="00000000" w:rsidP="00000000" w:rsidRDefault="00000000" w:rsidRPr="00000000" w14:paraId="00000309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ELMASRI, R.; NAVATHE, S. B.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Fundamentals of Database Systems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6. ed. Boston: Addison-Wesley, 2011. Disponível em: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https://www.uoitc.edu.iq/images/documents/informatics-institute/Competitive_exam/Database_Systems.pdf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30A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ESTEVA, A.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A guide to deep learning in healthcare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Nature Medicine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25, n. 1, p. 24-29, 2019. Disponível em: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https://pubmed.ncbi.nlm.nih.gov/30617335/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09 nov. 2025.</w:t>
      </w:r>
    </w:p>
    <w:p w:rsidR="00000000" w:rsidDel="00000000" w:rsidP="00000000" w:rsidRDefault="00000000" w:rsidRPr="00000000" w14:paraId="0000030B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FAUST, O.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Deep learning for healthcare applications based on physiological signals: A review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Computer Methods and Programs in Biomedicine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161, p. 1-13, 2018. Disponível em: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https://www.sciencedirect.com/science/article/abs/pii/S0169260718301226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. Acesso em: 09 nov. 2025.</w:t>
      </w:r>
    </w:p>
    <w:p w:rsidR="00000000" w:rsidDel="00000000" w:rsidP="00000000" w:rsidRDefault="00000000" w:rsidRPr="00000000" w14:paraId="0000030C">
      <w:pPr>
        <w:keepNext w:val="0"/>
        <w:spacing w:after="120" w:before="0" w:lineRule="auto" w:line="240"/>
        <w:ind w:firstLine="0" w:left="0"/>
        <w:jc w:val="left"/>
        <w:rPr/>
      </w:pPr>
      <w:r>
        <w:rPr>
          <w:rFonts w:ascii="Arial" w:hAnsi="Arial"/>
          <w:color w:val="000000"/>
          <w:sz w:val="24"/>
        </w:rPr>
        <w:t>FIELDING, R. T. Architectural Styles and the Design of Network-based Software Architectures. 2000. Tese (Doutorado em Ciência da Computação) - University of California, Irvine, 2000. Disponível em: https://roy.gbiv.com/pubs/dissertation/fielding_dissertation.pdf</w:t>
      </w:r>
    </w:p>
    <w:p w:rsidR="00000000" w:rsidDel="00000000" w:rsidP="00000000" w:rsidRDefault="00000000" w:rsidRPr="00000000" w14:paraId="0000030D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FOWLER, M.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Refactoring: Improving the Design of Existing Code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2. ed. Boston: Addison-Wesley, 2018. Disponível em:</w:t>
      </w:r>
      <w:hyperlink r:id="rId43">
        <w:r w:rsidDel="00000000" w:rsidR="00000000" w:rsidRPr="00000000">
          <w:rPr>
            <w:rtl w:val="0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https://www.kufunda.net/publicdocs/Refatora%C3%A7%C3%A3o%20(Fowler,%20Martin).pdf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30E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GOLDBERGER, A. L.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PhysioBank, PhysioToolkit, and PhysioNet: components of a new research resource for complex physiologic signals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Circulation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101, n. 23, p. e215-e220, 2000. Disponível em:</w:t>
      </w:r>
      <w:hyperlink r:id="rId45">
        <w:r w:rsidDel="00000000" w:rsidR="00000000" w:rsidRPr="00000000">
          <w:rPr>
            <w:rtl w:val="0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https://www.ahajournals.org/doi/10.1161/01.cir.101.23.e215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. Acesso em: 10 nov. 2025.</w:t>
      </w:r>
    </w:p>
    <w:p w:rsidR="00000000" w:rsidDel="00000000" w:rsidP="00000000" w:rsidRDefault="00000000" w:rsidRPr="00000000" w14:paraId="0000030F">
      <w:pPr>
        <w:keepNext w:val="0"/>
        <w:spacing w:after="120" w:before="0" w:lineRule="auto" w:line="240"/>
        <w:ind w:firstLine="0" w:left="0"/>
        <w:jc w:val="left"/>
        <w:rPr/>
      </w:pPr>
      <w:r>
        <w:rPr>
          <w:rFonts w:ascii="Arial" w:hAnsi="Arial"/>
          <w:color w:val="000000"/>
          <w:sz w:val="24"/>
        </w:rPr>
        <w:t>GRAMFORT, A. et al. MEG and EEG data analysis with MNE-Python. Frontiers in Neuroscience, v. 7, p. 267, 2013. Disponível em: https://www.frontiersin.org/journals/neuroscience/articles/10.3389/fnins.2013.00267/full. Acesso em: 10 nov. 2025.</w:t>
      </w:r>
    </w:p>
    <w:p w:rsidR="00000000" w:rsidDel="00000000" w:rsidP="00000000" w:rsidRDefault="00000000" w:rsidRPr="00000000" w14:paraId="00000311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GUNNING, D.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XAI—Explainable artificial intelligence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Science Robotics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4, n. 37, 2019. Disponível em: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https://www.researchgate.net/publication/338039379_XAI-Explainable_artificial_intelligence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. Acesso em: 11 nov. 2025.</w:t>
      </w:r>
    </w:p>
    <w:p w:rsidR="00000000" w:rsidDel="00000000" w:rsidP="00000000" w:rsidRDefault="00000000" w:rsidRPr="00000000" w14:paraId="00000312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HERZOG, R.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Digital Healthcare: The impact of digital transformation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Springer, 2016. Disponível em: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https://pubmed.ncbi.nlm.nih.gov/40517785/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313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HOCHREITER, S.; SCHMIDHUBER, J.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Long short-term memory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Neural Computation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9, n. 8, p. 1735-1780, 1997. Disponível em:</w:t>
      </w:r>
      <w:hyperlink r:id="rId53">
        <w:r w:rsidDel="00000000" w:rsidR="00000000" w:rsidRPr="00000000">
          <w:rPr>
            <w:rtl w:val="0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https://www.researchgate.net/publication/13853244_Long_Short-Term_Memory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11 nov. 2025.</w:t>
      </w:r>
    </w:p>
    <w:p w:rsidR="00000000" w:rsidDel="00000000" w:rsidP="00000000" w:rsidRDefault="00000000" w:rsidRPr="00000000" w14:paraId="00000314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KLEPPMANN, M.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Designing Data-Intensive Applications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Sebastopol: O'Reilly Media, 2017. Disponível em: 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https://www.oreilly.com/library/view/designing-data-intensive-applications/9781491903063/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315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LECUN, Y.; BENGIO, Y.; HINTON, G.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Deep learning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Nature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521, p. 436-444, 2015. Disponível em:</w:t>
      </w:r>
      <w:hyperlink r:id="rId56">
        <w:r w:rsidDel="00000000" w:rsidR="00000000" w:rsidRPr="00000000">
          <w:rPr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https://www.nature.com/articles/nature14539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12 nov. 2025.</w:t>
      </w:r>
    </w:p>
    <w:p w:rsidR="00000000" w:rsidDel="00000000" w:rsidP="00000000" w:rsidRDefault="00000000" w:rsidRPr="00000000" w14:paraId="00000316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LUNDBERG, S. M.; LEE, S.-I.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A unified approach to interpreting model predictions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In: ADVANCES IN NEURAL INFORMATION PROCESSING SYSTEMS, 30. Anais... Long Beach, CA: NeurIPS, 2017. Disponível em:</w:t>
      </w:r>
      <w:hyperlink r:id="rId58">
        <w:r w:rsidDel="00000000" w:rsidR="00000000" w:rsidRPr="00000000">
          <w:rPr>
            <w:rtl w:val="0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https://papers.nips.cc/paper_files/paper/2017/hash/8a20a8621978632d76c43dfd28b67767-Abstract.html</w:t>
        </w:r>
      </w:hyperlink>
      <w:r w:rsidDel="00000000" w:rsidR="00000000" w:rsidRPr="00000000">
        <w:rPr>
          <w:rFonts w:ascii="Arial" w:hAnsi="Arial"/>
          <w:color w:val="000000"/>
          <w:sz w:val="24"/>
          <w:szCs w:val="22"/>
          <w:rtl w:val="0"/>
        </w:rPr>
        <w:t xml:space="preserve"> 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12 nov. 2025.</w:t>
      </w:r>
    </w:p>
    <w:p w:rsidR="00000000" w:rsidDel="00000000" w:rsidP="00000000" w:rsidRDefault="00000000" w:rsidRPr="00000000" w14:paraId="00000317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MCKINNEY, W.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Python for Data Analysis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Sebastopol: O'Reilly Media, 2012.</w:t>
      </w:r>
    </w:p>
    <w:p w:rsidR="00000000" w:rsidDel="00000000" w:rsidP="00000000" w:rsidRDefault="00000000" w:rsidRPr="00000000" w14:paraId="00000318">
      <w:pPr>
        <w:keepNext w:val="0"/>
        <w:spacing w:after="120" w:before="0" w:lineRule="auto" w:line="240"/>
        <w:ind w:firstLine="0" w:left="0"/>
        <w:jc w:val="left"/>
        <w:rPr/>
      </w:pPr>
      <w:r>
        <w:rPr>
          <w:rFonts w:ascii="Arial" w:hAnsi="Arial"/>
          <w:color w:val="000000"/>
          <w:sz w:val="24"/>
        </w:rPr>
        <w:t>META PLATFORMS. React: the library for web and native user interfaces. Disponível em: https://react.dev/. Acesso em: 13 out. 2026.</w:t>
      </w:r>
    </w:p>
    <w:p w:rsidR="00000000" w:rsidDel="00000000" w:rsidP="00000000" w:rsidRDefault="00000000" w:rsidRPr="00000000" w14:paraId="00000319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MOREIRA, Karollyne Evangelista; MARQUES, Eduardo Henrique Guimarães; TORQUATO, Thiane Marques; SOUZA, Lynwood Livi de.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Identificação de Padrões Genéticos para Diagnóstico de Doenças Utilizando Inteligência Artificial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(Relatório Final de Iniciação em Desenvolvimento Tecnológico e Inovação - PIBITI). Uruaçu: Instituto Federal de Educação, Ciência e Tecnologia de Goiás (IFG), 2025.</w:t>
      </w:r>
    </w:p>
    <w:p w:rsidR="00000000" w:rsidDel="00000000" w:rsidP="00000000" w:rsidRDefault="00000000" w:rsidRPr="00000000" w14:paraId="0000031A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NEWMAN, S.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Building Microservices: Designing Fine-Grained Systems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2. ed. Sebastopol: O'Reilly Media, 2021. Disponível em: 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https://github.com/iamindian/References_Books/blob/master/Building%20Microservices%20Designing%20Fine-Grained%20Systems%202nd%20By%20Sam%20Newman.pdf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31B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NIEDERMEYER, E.; LOPES DA SILVA, F. H.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Electroencephalography: Basic Principles, Clinical Applications, and Related Fields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5. ed. Philadelphia: Lippincott Williams &amp; Wilkins, 2005. Disponível em: 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https://books.google.com.br/books/about/Electroencephalography.html?id=tndqYGPHQdEC&amp;redir_esc=y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31C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PRESSMAN, R. S.; MAXIM, B. R.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Engenharia de Software: Uma Abordagem Profissional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8. ed. Porto Alegre: AMGH, 2016.</w:t>
      </w:r>
    </w:p>
    <w:p w:rsidR="00000000" w:rsidDel="00000000" w:rsidP="00000000" w:rsidRDefault="00000000" w:rsidRPr="00000000" w14:paraId="0000031D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RAGHUPATHI, W.; RAGHUPATHI, V.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Big data analytics in healthcare: promise and potential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Health Information Science and Systems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2, n. 3, 2014. Disponível em:</w:t>
      </w:r>
      <w:hyperlink r:id="rId64">
        <w:r w:rsidDel="00000000" w:rsidR="00000000" w:rsidRPr="00000000">
          <w:rPr>
            <w:rtl w:val="0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https://pubmed.ncbi.nlm.nih.gov/25825667/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. Acesso em: 13 nov. 2025.</w:t>
      </w:r>
    </w:p>
    <w:p w:rsidR="00000000" w:rsidDel="00000000" w:rsidP="00000000" w:rsidRDefault="00000000" w:rsidRPr="00000000" w14:paraId="0000031E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RAMÍREZ, S.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FastAPI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Disponível em:</w:t>
      </w:r>
      <w:hyperlink r:id="rId66">
        <w:r w:rsidDel="00000000" w:rsidR="00000000" w:rsidRPr="00000000">
          <w:rPr>
            <w:rtl w:val="0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https://fastapi.tiangolo.com/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18 nov. 2025.</w:t>
      </w:r>
    </w:p>
    <w:p w:rsidR="00000000" w:rsidDel="00000000" w:rsidP="00000000" w:rsidRDefault="00000000" w:rsidRPr="00000000" w14:paraId="0000031F">
      <w:pPr>
        <w:keepNext w:val="0"/>
        <w:spacing w:after="120" w:before="0" w:lineRule="auto" w:line="240"/>
        <w:ind w:firstLine="0" w:left="0"/>
        <w:jc w:val="left"/>
        <w:rPr/>
      </w:pPr>
      <w:r>
        <w:rPr>
          <w:rFonts w:ascii="Arial" w:hAnsi="Arial"/>
          <w:color w:val="000000"/>
          <w:sz w:val="24"/>
        </w:rPr>
        <w:t>REISMAN, M. EHRs: the challenge of making electronic data usable and interoperable. Pharmacy and Therapeutics, v. 42, n. 9, p. 572-575, 2017. Disponível em: https://pmc.ncbi.nlm.nih.gov/articles/PMC5565131/. Acesso em: 13 out. 2026.</w:t>
      </w:r>
    </w:p>
    <w:p w:rsidR="00000000" w:rsidDel="00000000" w:rsidP="00000000" w:rsidRDefault="00000000" w:rsidRPr="00000000" w14:paraId="00000320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RICHARDS, M.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Software Architecture Patterns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Sebastopol: O'Reilly Media, 2015.</w:t>
      </w:r>
    </w:p>
    <w:p w:rsidR="00000000" w:rsidDel="00000000" w:rsidP="00000000" w:rsidRDefault="00000000" w:rsidRPr="00000000" w14:paraId="00000321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ROY, Y.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Deep learning-based electroencephalography analysis: a comprehensive review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Journal of Neural Engineering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16, n. 5, 2019. Disponível em:</w:t>
      </w:r>
      <w:hyperlink r:id="rId70">
        <w:r w:rsidDel="00000000" w:rsidR="00000000" w:rsidRPr="00000000">
          <w:rPr>
            <w:rtl w:val="0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https://iopscience.iop.org/article/10.1088/1741-2552/ab260c</w:t>
        </w:r>
      </w:hyperlink>
      <w:r w:rsidDel="00000000" w:rsidR="00000000" w:rsidRPr="00000000">
        <w:rPr>
          <w:rFonts w:ascii="Arial" w:hAnsi="Arial"/>
          <w:color w:val="000000"/>
          <w:sz w:val="24"/>
          <w:szCs w:val="22"/>
          <w:rtl w:val="0"/>
        </w:rPr>
        <w:t xml:space="preserve"> 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14 nov. 2025.</w:t>
      </w:r>
    </w:p>
    <w:p w:rsidR="00000000" w:rsidDel="00000000" w:rsidP="00000000" w:rsidRDefault="00000000" w:rsidRPr="00000000" w14:paraId="00000322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SHANNON, C. E.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A mathematical theory of communication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The Bell System Technical Journal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27, n. 3, p. 379–423, 1948. Disponível em:</w:t>
      </w:r>
      <w:hyperlink r:id="rId72">
        <w:r w:rsidDel="00000000" w:rsidR="00000000" w:rsidRPr="00000000">
          <w:rPr>
            <w:rtl w:val="0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https://people.math.harvard.edu/~ctm/home/text/others/shannon/entropy/entropy.pdf</w:t>
        </w:r>
      </w:hyperlink>
      <w:r w:rsidDel="00000000" w:rsidR="00000000" w:rsidRPr="00000000">
        <w:rPr>
          <w:rFonts w:ascii="Arial" w:hAnsi="Arial"/>
          <w:color w:val="000000"/>
          <w:sz w:val="24"/>
          <w:szCs w:val="22"/>
          <w:rtl w:val="0"/>
        </w:rPr>
        <w:t xml:space="preserve"> 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14 nov. 2025.</w:t>
      </w:r>
    </w:p>
    <w:p>
      <w:pPr>
        <w:keepNext w:val="0"/>
        <w:spacing w:line="240" w:lineRule="auto" w:after="120" w:before="0"/>
        <w:ind w:firstLine="0" w:left="0"/>
        <w:jc w:val="left"/>
      </w:pPr>
      <w:r>
        <w:rPr>
          <w:rFonts w:ascii="Arial" w:hAnsi="Arial"/>
          <w:color w:val="000000"/>
          <w:sz w:val="24"/>
        </w:rPr>
        <w:t>SHOEB, A. H. Application of machine learning to epileptic seizure onset detection and treatment. 2009. Tese (Doutorado) - Massachusetts Institute of Technology, Cambridge, 2009.</w:t>
      </w:r>
    </w:p>
    <w:p w:rsidR="00000000" w:rsidDel="00000000" w:rsidP="00000000" w:rsidRDefault="00000000" w:rsidRPr="00000000" w14:paraId="00000323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SOMMERVILLE, I.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Software Engineering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9. ed. Boston: Addison-Wesley, 2011.</w:t>
      </w:r>
    </w:p>
    <w:p w:rsidR="00000000" w:rsidDel="00000000" w:rsidP="00000000" w:rsidRDefault="00000000" w:rsidRPr="00000000" w14:paraId="00000324">
      <w:pPr>
        <w:keepNext w:val="0"/>
        <w:spacing w:after="120" w:before="0" w:lineRule="auto" w:line="240"/>
        <w:ind w:firstLine="0" w:left="0"/>
        <w:jc w:val="left"/>
        <w:rPr/>
      </w:pPr>
      <w:r>
        <w:rPr>
          <w:rFonts w:ascii="Arial" w:hAnsi="Arial"/>
          <w:color w:val="000000"/>
          <w:sz w:val="24"/>
        </w:rPr>
        <w:t>SUTTON, R. T. et al. An overview of clinical decision support systems: benefits, risks, and strategies for success. NPJ Digital Medicine, v. 3, n. 17, 2020. Disponível em: https://www.nature.com/articles/s41746-020-0221-y . Acesso em: 15 nov. 2025.</w:t>
      </w:r>
    </w:p>
    <w:p w:rsidR="00000000" w:rsidDel="00000000" w:rsidP="00000000" w:rsidRDefault="00000000" w:rsidRPr="00000000" w14:paraId="00000325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TATUM, W. O.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Harper's Hospital Handbook. Handbook of EEG Interpretation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2. ed. Demos Medical Publishing, 2018.</w:t>
      </w:r>
    </w:p>
    <w:p w:rsidR="00000000" w:rsidDel="00000000" w:rsidP="00000000" w:rsidRDefault="00000000" w:rsidRPr="00000000" w14:paraId="00000326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TOPOL, E. J.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High-performance medicine: the convergence of human and artificial intelligence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Nature Medicine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25, p. 44-56, 2019. Disponível em:</w:t>
      </w:r>
      <w:hyperlink r:id="rId75">
        <w:r w:rsidDel="00000000" w:rsidR="00000000" w:rsidRPr="00000000">
          <w:rPr>
            <w:rtl w:val="0"/>
          </w:rPr>
          <w:t xml:space="preserve"> </w:t>
        </w:r>
      </w:hyperlink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https://pubmed.ncbi.nlm.nih.gov/30617339/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. Acesso em: 15 nov. 2025.</w:t>
      </w:r>
    </w:p>
    <w:p w:rsidR="00000000" w:rsidDel="00000000" w:rsidP="00000000" w:rsidRDefault="00000000" w:rsidRPr="00000000" w14:paraId="00000327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VAN ROSSUM, G.; DRAKE, F. 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Python 3 Reference Manual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Scotts Valley, CA: CreateSpace, 2009.</w:t>
      </w:r>
    </w:p>
    <w:p w:rsidR="00000000" w:rsidDel="00000000" w:rsidP="00000000" w:rsidRDefault="00000000" w:rsidRPr="00000000" w14:paraId="00000328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WHO - WORLD HEALTH ORGANIZATION.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Epilepsy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2024. Disponível em:</w:t>
      </w:r>
      <w:hyperlink r:id="rId77">
        <w:r w:rsidDel="00000000" w:rsidR="00000000" w:rsidRPr="00000000">
          <w:rPr>
            <w:rtl w:val="0"/>
          </w:rPr>
          <w:t xml:space="preserve"> </w:t>
        </w:r>
      </w:hyperlink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https://www.who.int/news-room/fact-sheets/detail/epilepsy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17 nov. 2025.</w:t>
      </w:r>
    </w:p>
    <w:p w:rsidR="00000000" w:rsidDel="00000000" w:rsidP="00000000" w:rsidRDefault="00000000" w:rsidRPr="00000000" w14:paraId="00000329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YAMASHITA, R.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Convolutional neural networks: an overview and application in radiology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Insights into Imaging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9, n. 4, p. 611-629, 2018. Disponível em:</w:t>
      </w:r>
      <w:hyperlink r:id="rId79">
        <w:r w:rsidDel="00000000" w:rsidR="00000000" w:rsidRPr="00000000">
          <w:rPr>
            <w:rtl w:val="0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https://pubmed.ncbi.nlm.nih.gov/29934920/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16 nov. 2025.</w:t>
      </w:r>
    </w:p>
    <w:p w:rsidR="00000000" w:rsidDel="00000000" w:rsidP="00000000" w:rsidRDefault="00000000" w:rsidRPr="00000000" w14:paraId="0000026F">
      <w:pPr>
        <w:pStyle w:val="Heading1"/>
        <w:keepNext/>
        <w:pageBreakBefore/>
        <w:spacing w:line="240" w:lineRule="auto" w:before="0" w:after="80"/>
        <w:ind w:firstLine="0" w:left="0"/>
        <w:jc w:val="left"/>
        <w:rPr>
          <w:sz w:val="24"/>
          <w:szCs w:val="24"/>
        </w:rPr>
      </w:pPr>
      <w:r>
        <w:rPr>
          <w:rFonts w:ascii="Arial" w:hAnsi="Arial"/>
          <w:b/>
          <w:color w:val="000000"/>
          <w:sz w:val="24"/>
        </w:rPr>
        <w:t>APÊNDICE A - RECURSOS E CRONOGRAMA</w:t>
      </w:r>
    </w:p>
    <w:p w:rsidR="00000000" w:rsidDel="00000000" w:rsidP="00000000" w:rsidRDefault="00000000" w:rsidRPr="00000000" w14:paraId="00000270">
      <w:pPr>
        <w:keepNext w:val="0"/>
        <w:spacing w:after="0" w:line="360" w:lineRule="auto" w:before="0"/>
        <w:ind w:firstLine="709" w:left="0"/>
        <w:jc w:val="both"/>
        <w:rPr>
          <w:sz w:val="24"/>
          <w:szCs w:val="24"/>
        </w:rPr>
      </w:pPr>
      <w:r>
        <w:t>O desenvolvimento foi organizado conforme o cronograma do Quadro 10. Os recursos previstos são apresentados no Quadro 9, cujo total é R$ 3.650,00.</w:t>
      </w:r>
    </w:p>
    <w:p w:rsidR="00000000" w:rsidDel="00000000" w:rsidP="00000000" w:rsidRDefault="00000000" w:rsidRPr="00000000" w14:paraId="00000271">
      <w:pPr>
        <w:pStyle w:val="Heading2"/>
        <w:keepNext/>
        <w:spacing w:line="240" w:lineRule="auto" w:before="160" w:after="80"/>
        <w:ind w:firstLine="0" w:left="0"/>
        <w:jc w:val="left"/>
        <w:rPr/>
      </w:pPr>
      <w:r>
        <w:rPr>
          <w:rFonts w:ascii="Arial" w:hAnsi="Arial"/>
          <w:b/>
          <w:color w:val="000000"/>
          <w:sz w:val="24"/>
        </w:rPr>
        <w:t>A.1 Recursos</w:t>
      </w:r>
    </w:p>
    <w:p w:rsidR="00000000" w:rsidDel="00000000" w:rsidP="00000000" w:rsidRDefault="00000000" w:rsidRPr="00000000" w14:paraId="00000272">
      <w:pPr>
        <w:keepNext/>
        <w:spacing w:line="240" w:lineRule="auto" w:after="80" w:before="200"/>
        <w:ind w:firstLine="0" w:left="0"/>
        <w:jc w:val="center"/>
        <w:rPr>
          <w:sz w:val="24"/>
          <w:szCs w:val="24"/>
        </w:rPr>
      </w:pPr>
      <w:r>
        <w:t>Quadro 9 – Descrição Orçamentária.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60" w:type="dxa"/>
          <w:bottom w:w="45" w:type="dxa"/>
          <w:right w:w="60" w:type="dxa"/>
        </w:tblCellMar>
        <w:tblLook w:val="0000"/>
      </w:tblPr>
      <w:tblGrid>
        <w:gridCol w:w="700"/>
        <w:gridCol w:w="3170"/>
        <w:gridCol w:w="1000"/>
        <w:gridCol w:w="1600"/>
        <w:gridCol w:w="1300"/>
        <w:gridCol w:w="1300"/>
      </w:tblGrid>
      <w:tr>
        <w:trPr>
          <w:cantSplit/>
        </w:trPr>
        <w:tc>
          <w:tcPr>
            <w:tcW w:w="700" w:type="dxa"/>
            <w:shd w:val="clear" w:color="auto" w:fill="E6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 xml:space="preserve">Nº</w:t>
            </w:r>
          </w:p>
        </w:tc>
        <w:tc>
          <w:tcPr>
            <w:tcW w:w="3170" w:type="dxa"/>
            <w:shd w:val="clear" w:color="auto" w:fill="E6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tcW w:w="1000" w:type="dxa"/>
            <w:shd w:val="clear" w:color="auto" w:fill="E6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 xml:space="preserve">Quant.</w:t>
            </w:r>
          </w:p>
        </w:tc>
        <w:tc>
          <w:tcPr>
            <w:tcW w:w="1600" w:type="dxa"/>
            <w:shd w:val="clear" w:color="auto" w:fill="E6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 xml:space="preserve">Fonte financiadora</w:t>
            </w:r>
          </w:p>
        </w:tc>
        <w:tc>
          <w:tcPr>
            <w:tcW w:w="1300" w:type="dxa"/>
            <w:shd w:val="clear" w:color="auto" w:fill="E6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 xml:space="preserve">Valor Unitário</w:t>
            </w:r>
          </w:p>
        </w:tc>
        <w:tc>
          <w:tcPr>
            <w:tcW w:w="1300" w:type="dxa"/>
            <w:shd w:val="clear" w:color="auto" w:fill="E6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 xml:space="preserve">Valor Total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E6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1</w:t>
            </w:r>
          </w:p>
        </w:tc>
        <w:tc>
          <w:tcPr>
            <w:tcW w:w="317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PC Desktop (i3, 16GB RAM, SSD)</w:t>
            </w:r>
          </w:p>
        </w:tc>
        <w:tc>
          <w:tcPr>
            <w:tcW w:w="10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1</w:t>
            </w:r>
          </w:p>
        </w:tc>
        <w:tc>
          <w:tcPr>
            <w:tcW w:w="16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Recurso próprio</w:t>
            </w:r>
          </w:p>
        </w:tc>
        <w:tc>
          <w:tcPr>
            <w:tcW w:w="13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R$ 3.500,00</w:t>
            </w:r>
          </w:p>
        </w:tc>
        <w:tc>
          <w:tcPr>
            <w:tcW w:w="13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R$ 3.500,00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E6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2</w:t>
            </w:r>
          </w:p>
        </w:tc>
        <w:tc>
          <w:tcPr>
            <w:tcW w:w="317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Ferramentas de API</w:t>
            </w:r>
          </w:p>
        </w:tc>
        <w:tc>
          <w:tcPr>
            <w:tcW w:w="10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1</w:t>
            </w:r>
          </w:p>
        </w:tc>
        <w:tc>
          <w:tcPr>
            <w:tcW w:w="16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Recurso próprio</w:t>
            </w:r>
          </w:p>
        </w:tc>
        <w:tc>
          <w:tcPr>
            <w:tcW w:w="13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R$ 50,00</w:t>
            </w:r>
          </w:p>
        </w:tc>
        <w:tc>
          <w:tcPr>
            <w:tcW w:w="13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R$ 50,00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E6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3</w:t>
            </w:r>
          </w:p>
        </w:tc>
        <w:tc>
          <w:tcPr>
            <w:tcW w:w="317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Domínio Web e Hospedagem</w:t>
            </w:r>
          </w:p>
        </w:tc>
        <w:tc>
          <w:tcPr>
            <w:tcW w:w="10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1 ano</w:t>
            </w:r>
          </w:p>
        </w:tc>
        <w:tc>
          <w:tcPr>
            <w:tcW w:w="16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Recurso próprio</w:t>
            </w:r>
          </w:p>
        </w:tc>
        <w:tc>
          <w:tcPr>
            <w:tcW w:w="13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R$ 100,00</w:t>
            </w:r>
          </w:p>
        </w:tc>
        <w:tc>
          <w:tcPr>
            <w:tcW w:w="13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R$ 100,00</w:t>
            </w:r>
          </w:p>
        </w:tc>
      </w:tr>
      <w:tr>
        <w:trPr>
          <w:cantSplit/>
        </w:trPr>
        <w:tc>
          <w:tcPr>
            <w:tcW w:w="9070" w:type="dxa"/>
            <w:gridSpan w:val="6"/>
            <w:shd w:val="clear" w:color="auto" w:fill="E6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TOTAL: R$ 3.650,00</w:t>
            </w:r>
          </w:p>
        </w:tc>
      </w:tr>
    </w:tbl>
    <w:p w:rsidR="00000000" w:rsidDel="00000000" w:rsidP="00000000" w:rsidRDefault="00000000" w:rsidRPr="00000000" w14:paraId="00000291">
      <w:pPr>
        <w:keepNext w:val="0"/>
        <w:spacing w:after="200" w:line="240" w:lineRule="auto" w:before="60"/>
        <w:ind w:firstLine="0" w:left="0"/>
        <w:jc w:val="center"/>
        <w:rPr>
          <w:b w:val="1"/>
          <w:bCs w:val="1"/>
          <w:sz w:val="24"/>
          <w:szCs w:val="24"/>
        </w:rPr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293">
      <w:pPr>
        <w:pStyle w:val="Heading2"/>
        <w:keepNext/>
        <w:spacing w:line="240" w:lineRule="auto" w:before="160" w:after="80"/>
        <w:ind w:firstLine="0" w:left="0"/>
        <w:jc w:val="left"/>
        <w:rPr>
          <w:sz w:val="24"/>
          <w:szCs w:val="24"/>
        </w:rPr>
      </w:pPr>
      <w:r>
        <w:rPr>
          <w:rFonts w:ascii="Arial" w:hAnsi="Arial"/>
          <w:b/>
          <w:color w:val="000000"/>
          <w:sz w:val="24"/>
        </w:rPr>
        <w:t>A.2 Cronograma</w:t>
      </w:r>
    </w:p>
    <w:p w:rsidR="00000000" w:rsidDel="00000000" w:rsidP="00000000" w:rsidRDefault="00000000" w:rsidRPr="00000000" w14:paraId="00000294">
      <w:pPr>
        <w:keepNext/>
        <w:spacing w:after="80" w:line="240" w:lineRule="auto" w:before="200"/>
        <w:ind w:firstLine="0" w:left="0"/>
        <w:jc w:val="center"/>
        <w:rPr>
          <w:sz w:val="24"/>
          <w:szCs w:val="24"/>
        </w:rPr>
      </w:pPr>
      <w:r>
        <w:t>Quadro 10 – Cronograma de trabalho dividido em meses e atividades a serem realizadas.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000"/>
      </w:tblPr>
      <w:tblGrid>
        <w:gridCol w:w="283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>
        <w:trPr>
          <w:cantSplit/>
        </w:trPr>
        <w:tc>
          <w:tcPr>
            <w:tcW w:w="2830" w:type="dxa"/>
            <w:vMerge w:val="restart"/>
            <w:shd w:val="clear" w:color="auto" w:fill="E6E6E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 xml:space="preserve">Atividades</w:t>
            </w:r>
          </w:p>
        </w:tc>
        <w:tc>
          <w:tcPr>
            <w:tcW w:w="6240" w:type="dxa"/>
            <w:gridSpan w:val="12"/>
            <w:shd w:val="clear" w:color="auto" w:fill="E6E6E6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 xml:space="preserve">2026</w:t>
            </w:r>
          </w:p>
        </w:tc>
      </w:tr>
      <w:tr>
        <w:trPr>
          <w:cantSplit/>
        </w:trPr>
        <w:tc>
          <w:tcPr>
            <w:tcW w:w="2830" w:type="dxa"/>
            <w:vMerge/>
            <w:shd w:val="clear" w:color="auto" w:fill="E6E6E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keepNext/>
              <w:keepLines w:val="0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Jan.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Fev.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Mar.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Abr.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Mai.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Jun.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Jul.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Ago.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Set.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Out.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Nov.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Dez.</w:t>
            </w:r>
          </w:p>
        </w:tc>
      </w:tr>
      <w:tr>
        <w:trPr>
          <w:cantSplit/>
        </w:trPr>
        <w:tc>
          <w:tcPr>
            <w:tcW w:w="283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keepNext/>
              <w:spacing w:before="40" w:line="240" w:lineRule="auto" w:after="40"/>
              <w:ind w:firstLine="0" w:lef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0"/>
                <w:rtl w:val="0"/>
              </w:rPr>
              <w:t xml:space="preserve">Levantamento do referencial teórico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83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keepNext/>
              <w:spacing w:before="40" w:line="240" w:lineRule="auto" w:after="40"/>
              <w:ind w:firstLine="0" w:lef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0"/>
                <w:rtl w:val="0"/>
              </w:rPr>
              <w:t xml:space="preserve">Levantamento dos requisitos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83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keepNext/>
              <w:spacing w:before="40" w:line="240" w:lineRule="auto" w:after="40"/>
              <w:ind w:firstLine="0" w:lef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0"/>
                <w:rtl w:val="0"/>
              </w:rPr>
              <w:t xml:space="preserve">Desenvolvimento do sistema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83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keepNext/>
              <w:spacing w:before="40" w:line="240" w:lineRule="auto" w:after="40"/>
              <w:ind w:firstLine="0" w:lef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0"/>
                <w:rtl w:val="0"/>
              </w:rPr>
              <w:t xml:space="preserve">Testes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83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keepNext/>
              <w:spacing w:before="40" w:line="240" w:lineRule="auto" w:after="40"/>
              <w:ind w:firstLine="0" w:lef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0"/>
                <w:rtl w:val="0"/>
              </w:rPr>
              <w:t xml:space="preserve">Apresentação TCC 1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83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keepNext/>
              <w:spacing w:before="40" w:line="240" w:lineRule="auto" w:after="40"/>
              <w:ind w:firstLine="0" w:lef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0"/>
                <w:rtl w:val="0"/>
              </w:rPr>
              <w:t xml:space="preserve">Apresentação TCC 2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</w:tr>
    </w:tbl>
    <w:p w:rsidR="00000000" w:rsidDel="00000000" w:rsidP="00000000" w:rsidRDefault="00000000" w:rsidRPr="00000000" w14:paraId="000002FD">
      <w:pPr>
        <w:keepNext w:val="0"/>
        <w:spacing w:after="200" w:line="240" w:lineRule="auto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sectPr>
      <w:headerReference r:id="rId81" w:type="default"/>
      <w:headerReference r:id="rId82" w:type="first"/>
      <w:type w:val="nextPage"/>
      <w:pgSz w:h="16838" w:w="11906" w:orient="portrait"/>
      <w:pgMar w:bottom="1134" w:top="1701" w:left="1701" w:right="1134" w:header="708" w:footer="708"/>
      <w:pgNumType w:start="4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D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E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F">
    <w:pPr>
      <w:jc w:val="right"/>
      <w:rPr/>
    </w:pPr>
    <w:r w:rsidDel="00000000" w:rsidR="00000000" w:rsidRPr="00000000">
      <w:rPr>
        <w:rFonts w:ascii="Arial" w:hAnsi="Arial"/>
        <w:b w:val="0"/>
        <w:color w:val="000000"/>
        <w:sz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hAnsi="Arial"/>
        <w:b w:val="0"/>
        <w:color w:val="000000"/>
        <w:sz w:val="20"/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0">
    <w:pPr>
      <w:jc w:val="right"/>
      <w:rPr/>
    </w:pPr>
    <w:r w:rsidDel="00000000" w:rsidR="00000000" w:rsidRPr="00000000">
      <w:rPr>
        <w:rFonts w:ascii="Arial" w:hAnsi="Arial"/>
        <w:b w:val="0"/>
        <w:color w:val="000000"/>
        <w:sz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hAnsi="Arial"/>
        <w:b w:val="0"/>
        <w:color w:val="000000"/>
        <w:sz w:val="20"/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line="360" w:lineRule="auto" w:before="0" w:after="0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pPr>
      <w:keepNext w:val="1"/>
      <w:keepLines w:val="1"/>
      <w:spacing w:after="0" w:line="360" w:lineRule="auto"/>
      <w:jc w:val="both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360" w:lineRule="auto"/>
      <w:jc w:val="both"/>
    </w:pPr>
    <w:rPr>
      <w:rFonts w:ascii="Arial" w:cs="Arial" w:eastAsia="Arial" w:hAnsi="Arial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="360" w:lineRule="auto"/>
      <w:jc w:val="both"/>
    </w:pPr>
    <w:rPr>
      <w:rFonts w:ascii="Arial" w:cs="Arial" w:eastAsia="Arial" w:hAnsi="Arial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0" w:line="360" w:lineRule="auto"/>
      <w:jc w:val="both"/>
    </w:pPr>
    <w:rPr>
      <w:rFonts w:ascii="Arial" w:cs="Arial" w:eastAsia="Arial" w:hAnsi="Arial"/>
      <w:sz w:val="24"/>
      <w:szCs w:val="24"/>
    </w:rPr>
  </w:style>
  <w:style w:type="paragraph" w:styleId="Subtitle">
    <w:name w:val="Subtitle"/>
    <w:basedOn w:val="Normal"/>
    <w:next w:val="Normal"/>
    <w:pPr>
      <w:spacing w:after="0" w:line="360" w:lineRule="auto"/>
      <w:jc w:val="both"/>
    </w:pPr>
    <w:rPr>
      <w:rFonts w:ascii="Arial" w:cs="Arial" w:eastAsia="Arial" w:hAnsi="Arial"/>
      <w:sz w:val="24"/>
      <w:szCs w:val="24"/>
    </w:rPr>
  </w:style>
  <w:style w:type="table" w:styleId="Table1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yperlink" Target="https://cienciaescrita.com/periodico-jornal-ou-revista/" TargetMode="External"/><Relationship Id="rId42" Type="http://schemas.openxmlformats.org/officeDocument/2006/relationships/hyperlink" Target="https://roy.gbiv.com/pubs/dissertation/fielding_dissertation.pdf" TargetMode="External"/><Relationship Id="rId41" Type="http://schemas.openxmlformats.org/officeDocument/2006/relationships/hyperlink" Target="https://www.sciencedirect.com/science/article/abs/pii/S0169260718301226" TargetMode="External"/><Relationship Id="rId44" Type="http://schemas.openxmlformats.org/officeDocument/2006/relationships/hyperlink" Target="https://www.kufunda.net/publicdocs/Refatora%C3%A7%C3%A3o%20(Fowler,%20Martin).pdf" TargetMode="External"/><Relationship Id="rId43" Type="http://schemas.openxmlformats.org/officeDocument/2006/relationships/hyperlink" Target="https://cienciaescrita.com/periodico-jornal-ou-revista/" TargetMode="External"/><Relationship Id="rId46" Type="http://schemas.openxmlformats.org/officeDocument/2006/relationships/hyperlink" Target="https://www.ahajournals.org/doi/10.1161/01.cir.101.23.e215" TargetMode="External"/><Relationship Id="rId45" Type="http://schemas.openxmlformats.org/officeDocument/2006/relationships/hyperlink" Target="https://cienciaescrita.com/periodico-jornal-ou-revista/" TargetMode="External"/><Relationship Id="rId80" Type="http://schemas.openxmlformats.org/officeDocument/2006/relationships/hyperlink" Target="https://pubmed.ncbi.nlm.nih.gov/29934920/" TargetMode="External"/><Relationship Id="rId82" Type="http://schemas.openxmlformats.org/officeDocument/2006/relationships/header" Target="header4.xml"/><Relationship Id="rId81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jpg"/><Relationship Id="rId48" Type="http://schemas.openxmlformats.org/officeDocument/2006/relationships/hyperlink" Target="https://www.linguee.com/portuguese-english/translation/relat%C3%B3rio.html" TargetMode="External"/><Relationship Id="rId47" Type="http://schemas.openxmlformats.org/officeDocument/2006/relationships/hyperlink" Target="https://www.frontiersin.org/journals/neuroscience/articles/10.3389/fnins.2013.00267/full" TargetMode="External"/><Relationship Id="rId49" Type="http://schemas.openxmlformats.org/officeDocument/2006/relationships/hyperlink" Target="https://www.linguee.com/portuguese-english/translation/relat%C3%B3rio.html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73" Type="http://schemas.openxmlformats.org/officeDocument/2006/relationships/hyperlink" Target="https://people.math.harvard.edu/~ctm/home/text/others/shannon/entropy/entropy.pdf" TargetMode="External"/><Relationship Id="rId72" Type="http://schemas.openxmlformats.org/officeDocument/2006/relationships/hyperlink" Target="https://cienciaescrita.com/periodico-jornal-ou-revista/" TargetMode="External"/><Relationship Id="rId31" Type="http://schemas.openxmlformats.org/officeDocument/2006/relationships/hyperlink" Target="https://phanindra-reddy.github.io/portfolio/static/media/learningreact.da253db3.pdf" TargetMode="External"/><Relationship Id="rId75" Type="http://schemas.openxmlformats.org/officeDocument/2006/relationships/hyperlink" Target="https://cienciaescrita.com/periodico-jornal-ou-revista/" TargetMode="External"/><Relationship Id="rId30" Type="http://schemas.openxmlformats.org/officeDocument/2006/relationships/hyperlink" Target="http://agilemanifesto.org/" TargetMode="External"/><Relationship Id="rId74" Type="http://schemas.openxmlformats.org/officeDocument/2006/relationships/hyperlink" Target="https://www.nature.com/articles/s41746-020-0221-y" TargetMode="External"/><Relationship Id="rId33" Type="http://schemas.openxmlformats.org/officeDocument/2006/relationships/hyperlink" Target="http://agilemanifesto.org/" TargetMode="External"/><Relationship Id="rId77" Type="http://schemas.openxmlformats.org/officeDocument/2006/relationships/hyperlink" Target="https://www.who.int/news-room/fact-sheets/detail/epilepsy" TargetMode="External"/><Relationship Id="rId32" Type="http://schemas.openxmlformats.org/officeDocument/2006/relationships/hyperlink" Target="http://agilemanifesto.org/" TargetMode="External"/><Relationship Id="rId76" Type="http://schemas.openxmlformats.org/officeDocument/2006/relationships/hyperlink" Target="https://pubmed.ncbi.nlm.nih.gov/30617339/" TargetMode="External"/><Relationship Id="rId35" Type="http://schemas.openxmlformats.org/officeDocument/2006/relationships/hyperlink" Target="https://pubmed.ncbi.nlm.nih.gov/30808014/" TargetMode="External"/><Relationship Id="rId79" Type="http://schemas.openxmlformats.org/officeDocument/2006/relationships/hyperlink" Target="https://cienciaescrita.com/periodico-jornal-ou-revista/" TargetMode="External"/><Relationship Id="rId34" Type="http://schemas.openxmlformats.org/officeDocument/2006/relationships/hyperlink" Target="https://cienciaescrita.com/periodico-jornal-ou-revista/" TargetMode="External"/><Relationship Id="rId78" Type="http://schemas.openxmlformats.org/officeDocument/2006/relationships/hyperlink" Target="https://www.who.int/news-room/fact-sheets/detail/epilepsy" TargetMode="External"/><Relationship Id="rId71" Type="http://schemas.openxmlformats.org/officeDocument/2006/relationships/hyperlink" Target="https://iopscience.iop.org/article/10.1088/1741-2552/ab260c" TargetMode="External"/><Relationship Id="rId70" Type="http://schemas.openxmlformats.org/officeDocument/2006/relationships/hyperlink" Target="https://cienciaescrita.com/periodico-jornal-ou-revista/" TargetMode="External"/><Relationship Id="rId37" Type="http://schemas.openxmlformats.org/officeDocument/2006/relationships/hyperlink" Target="https://www.uoitc.edu.iq/images/documents/informatics-institute/Competitive_exam/Database_Systems.pdf" TargetMode="External"/><Relationship Id="rId36" Type="http://schemas.openxmlformats.org/officeDocument/2006/relationships/hyperlink" Target="https://cienciaescrita.com/periodico-jornal-ou-revista/" TargetMode="External"/><Relationship Id="rId39" Type="http://schemas.openxmlformats.org/officeDocument/2006/relationships/hyperlink" Target="https://pubmed.ncbi.nlm.nih.gov/30617335/" TargetMode="External"/><Relationship Id="rId38" Type="http://schemas.openxmlformats.org/officeDocument/2006/relationships/hyperlink" Target="https://cienciaescrita.com/periodico-jornal-ou-revista/" TargetMode="External"/><Relationship Id="rId62" Type="http://schemas.openxmlformats.org/officeDocument/2006/relationships/hyperlink" Target="https://github.com/iamindian/References_Books/blob/master/Building%20Microservices%20Designing%20Fine-Grained%20Systems%202nd%20By%20Sam%20Newman.pdf" TargetMode="External"/><Relationship Id="rId61" Type="http://schemas.openxmlformats.org/officeDocument/2006/relationships/hyperlink" Target="https://react.dev/" TargetMode="External"/><Relationship Id="rId20" Type="http://schemas.openxmlformats.org/officeDocument/2006/relationships/hyperlink" Target="https://cienciaescrita.com/periodico-jornal-ou-revista/" TargetMode="External"/><Relationship Id="rId64" Type="http://schemas.openxmlformats.org/officeDocument/2006/relationships/hyperlink" Target="https://cienciaescrita.com/periodico-jornal-ou-revista/" TargetMode="External"/><Relationship Id="rId63" Type="http://schemas.openxmlformats.org/officeDocument/2006/relationships/hyperlink" Target="https://books.google.com.br/books/about/Electroencephalography.html?id=tndqYGPHQdEC&amp;redir_esc=y" TargetMode="External"/><Relationship Id="rId22" Type="http://schemas.openxmlformats.org/officeDocument/2006/relationships/hyperlink" Target="https://cienciaescrita.com/periodico-jornal-ou-revista/" TargetMode="External"/><Relationship Id="rId66" Type="http://schemas.openxmlformats.org/officeDocument/2006/relationships/hyperlink" Target="https://fastapi.tiangolo.com/" TargetMode="External"/><Relationship Id="rId21" Type="http://schemas.openxmlformats.org/officeDocument/2006/relationships/hyperlink" Target="https://www.sciencedirect.com/science/article/abs/pii/S2452414X19300135" TargetMode="External"/><Relationship Id="rId65" Type="http://schemas.openxmlformats.org/officeDocument/2006/relationships/hyperlink" Target="https://pubmed.ncbi.nlm.nih.gov/25825667/" TargetMode="External"/><Relationship Id="rId24" Type="http://schemas.openxmlformats.org/officeDocument/2006/relationships/hyperlink" Target="https://www.researchgate.net/publication/327709435_Peeking_Inside_the_Black-Box_A_Survey_on_Explainable_Artificial_Intelligence_XAI" TargetMode="External"/><Relationship Id="rId68" Type="http://schemas.openxmlformats.org/officeDocument/2006/relationships/hyperlink" Target="https://cienciaescrita.com/periodico-jornal-ou-revista/" TargetMode="External"/><Relationship Id="rId23" Type="http://schemas.openxmlformats.org/officeDocument/2006/relationships/hyperlink" Target="https://www.sciencedirect.com/science/article/abs/pii/S0010482517303153" TargetMode="External"/><Relationship Id="rId67" Type="http://schemas.openxmlformats.org/officeDocument/2006/relationships/hyperlink" Target="https://fastapi.tiangolo.com/" TargetMode="External"/><Relationship Id="rId60" Type="http://schemas.openxmlformats.org/officeDocument/2006/relationships/hyperlink" Target="https://react.dev/" TargetMode="External"/><Relationship Id="rId26" Type="http://schemas.openxmlformats.org/officeDocument/2006/relationships/hyperlink" Target="https://cienciaescrita.com/periodico-jornal-ou-revista/" TargetMode="External"/><Relationship Id="rId25" Type="http://schemas.openxmlformats.org/officeDocument/2006/relationships/hyperlink" Target="https://www.researchgate.net/publication/220079558_The_Digital_Transformation_of_Healthcare_Current_Status_and_the_Road_Ahead" TargetMode="External"/><Relationship Id="rId69" Type="http://schemas.openxmlformats.org/officeDocument/2006/relationships/hyperlink" Target="https://pmc.ncbi.nlm.nih.gov/articles/PMC5565131/" TargetMode="External"/><Relationship Id="rId28" Type="http://schemas.openxmlformats.org/officeDocument/2006/relationships/hyperlink" Target="https://cienciaescrita.com/periodico-jornal-ou-revista/" TargetMode="External"/><Relationship Id="rId27" Type="http://schemas.openxmlformats.org/officeDocument/2006/relationships/hyperlink" Target="https://www.researchgate.net/publication/346542270_Explainability_for_artificial_intelligence_in_healthcare_a_multidisciplinary_perspective" TargetMode="External"/><Relationship Id="rId29" Type="http://schemas.openxmlformats.org/officeDocument/2006/relationships/hyperlink" Target="https://www.sciencedirect.com/science/article/abs/pii/S1566253519308103" TargetMode="External"/><Relationship Id="rId51" Type="http://schemas.openxmlformats.org/officeDocument/2006/relationships/hyperlink" Target="https://www.researchgate.net/publication/338039379_XAI-Explainable_artificial_intelligence" TargetMode="External"/><Relationship Id="rId50" Type="http://schemas.openxmlformats.org/officeDocument/2006/relationships/hyperlink" Target="https://cienciaescrita.com/periodico-jornal-ou-revista/" TargetMode="External"/><Relationship Id="rId53" Type="http://schemas.openxmlformats.org/officeDocument/2006/relationships/hyperlink" Target="https://cienciaescrita.com/periodico-jornal-ou-revista/" TargetMode="External"/><Relationship Id="rId52" Type="http://schemas.openxmlformats.org/officeDocument/2006/relationships/hyperlink" Target="https://pubmed.ncbi.nlm.nih.gov/40517785/" TargetMode="External"/><Relationship Id="rId11" Type="http://schemas.openxmlformats.org/officeDocument/2006/relationships/image" Target="media/image9.png"/><Relationship Id="rId55" Type="http://schemas.openxmlformats.org/officeDocument/2006/relationships/hyperlink" Target="https://www.oreilly.com/library/view/designing-data-intensive-applications/9781491903063/" TargetMode="External"/><Relationship Id="rId10" Type="http://schemas.openxmlformats.org/officeDocument/2006/relationships/image" Target="media/image8.png"/><Relationship Id="rId54" Type="http://schemas.openxmlformats.org/officeDocument/2006/relationships/hyperlink" Target="https://www.researchgate.net/publication/13853244_Long_Short-Term_Memory" TargetMode="External"/><Relationship Id="rId13" Type="http://schemas.openxmlformats.org/officeDocument/2006/relationships/image" Target="media/image1.png"/><Relationship Id="rId57" Type="http://schemas.openxmlformats.org/officeDocument/2006/relationships/hyperlink" Target="https://www.nature.com/articles/nature14539" TargetMode="External"/><Relationship Id="rId12" Type="http://schemas.openxmlformats.org/officeDocument/2006/relationships/image" Target="media/image5.png"/><Relationship Id="rId56" Type="http://schemas.openxmlformats.org/officeDocument/2006/relationships/hyperlink" Target="https://cienciaescrita.com/periodico-jornal-ou-revista/" TargetMode="External"/><Relationship Id="rId15" Type="http://schemas.openxmlformats.org/officeDocument/2006/relationships/image" Target="media/image4.png"/><Relationship Id="rId59" Type="http://schemas.openxmlformats.org/officeDocument/2006/relationships/hyperlink" Target="https://papers.nips.cc/paper_files/paper/2017/hash/8a20a8621978632d76c43dfd28b67767-Abstract.html" TargetMode="External"/><Relationship Id="rId14" Type="http://schemas.openxmlformats.org/officeDocument/2006/relationships/image" Target="media/image3.png"/><Relationship Id="rId58" Type="http://schemas.openxmlformats.org/officeDocument/2006/relationships/hyperlink" Target="https://eventtodo.com/contact/" TargetMode="External"/><Relationship Id="rId17" Type="http://schemas.openxmlformats.org/officeDocument/2006/relationships/image" Target="media/image7.png"/><Relationship Id="rId16" Type="http://schemas.openxmlformats.org/officeDocument/2006/relationships/image" Target="media/image2.png"/><Relationship Id="rId19" Type="http://schemas.openxmlformats.org/officeDocument/2006/relationships/hyperlink" Target="https://catalog.nlm.nih.gov/discovery/fulldisplay?docid=alma9916189513406676&amp;context=L&amp;vid=01NLM_INST:01NLM_INST&amp;lang=en" TargetMode="External"/><Relationship Id="rId18" Type="http://schemas.openxmlformats.org/officeDocument/2006/relationships/image" Target="media/image6.png"/><Relationship Id="rId83" Type="http://schemas.openxmlformats.org/officeDocument/2006/relationships/image" Target="media/image11.png"/><Relationship Id="rId84" Type="http://schemas.openxmlformats.org/officeDocument/2006/relationships/image" Target="media/image12.png"/><Relationship Id="rId85" Type="http://schemas.openxmlformats.org/officeDocument/2006/relationships/image" Target="media/image13.png"/><Relationship Id="rId86" Type="http://schemas.openxmlformats.org/officeDocument/2006/relationships/image" Target="media/image14.png"/><Relationship Id="rId87" Type="http://schemas.openxmlformats.org/officeDocument/2006/relationships/image" Target="media/image15.png"/><Relationship Id="rId88" Type="http://schemas.openxmlformats.org/officeDocument/2006/relationships/image" Target="media/image16.png"/><Relationship Id="rId89" Type="http://schemas.openxmlformats.org/officeDocument/2006/relationships/image" Target="media/image17.png"/><Relationship Id="rId90" Type="http://schemas.openxmlformats.org/officeDocument/2006/relationships/image" Target="media/image18.png"/><Relationship Id="rId9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Plataforma Web para Analise de EEG com Inteligencia Artificial Explicavel</dc:title>
  <cp:lastModifiedBy>python-docx</cp:lastModifiedBy>
  <cp:revision>1</cp:revision>
  <dcterms:modified xsi:type="dcterms:W3CDTF">2026-10-13T12:52:18Z</dcterms:modified>
  <dc:subject>TCC II - versao final do prototipo e resultados experimentais</dc:subject>
</cp:coreProperties>
</file>