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0B0B"/>
          <w:sz w:val="36"/>
        </w:rPr>
        <w:t>Proud Pops — Budget Brackets + Keyword Research (July–August)</w:t>
      </w:r>
    </w:p>
    <w:p>
      <w:r>
        <w:rPr>
          <w:b/>
        </w:rPr>
        <w:t>Prepared by:</w:t>
      </w:r>
      <w:r>
        <w:t xml:space="preserve"> Eduardo Marinho, Paid Ads · </w:t>
      </w:r>
      <w:r>
        <w:rPr>
          <w:b/>
        </w:rPr>
        <w:t>Date:</w:t>
      </w:r>
      <w:r>
        <w:t xml:space="preserve"> July 23, 2026</w:t>
      </w:r>
    </w:p>
    <w:p>
      <w:r>
        <w:rPr>
          <w:b/>
        </w:rPr>
        <w:t>Covers the two open commitments:</w:t>
      </w:r>
      <w:r>
        <w:t xml:space="preserve"> (1) good/better/best budget brackets for maximum impression share, with AC campaign strategy; (2) water-treatment / water-softener keyword research to work around expensive mainstream plumbing terms.</w:t>
      </w:r>
    </w:p>
    <w:p>
      <w:r>
        <w:rPr>
          <w:b/>
        </w:rPr>
        <w:t>Source:</w:t>
      </w:r>
      <w:r>
        <w:t xml:space="preserve"> Google Ads API + Keyword Planner, San Antonio (geo 1026339), pulled 2026-07-23. Impression-share and CPC figures are LAST_30_DAYS actuals from account 1051843378. Companion to the spend/performance review (past-PPC section is covered there).</w:t>
      </w:r>
    </w:p>
    <w:p/>
    <w:p>
      <w:pPr>
        <w:spacing w:before="240"/>
      </w:pPr>
      <w:r>
        <w:rPr>
          <w:b/>
          <w:color w:val="1C5CAB"/>
          <w:sz w:val="26"/>
        </w:rPr>
        <w:t>1. Good / Better / Best budget brackets</w:t>
      </w:r>
    </w:p>
    <w:p>
      <w:r>
        <w:rPr>
          <w:b/>
        </w:rPr>
        <w:t>The honest ceiling first.</w:t>
      </w:r>
      <w:r>
        <w:t xml:space="preserve"> The account is budget-limited, but that is </w:t>
      </w:r>
      <w:r>
        <w:rPr>
          <w:i/>
        </w:rPr>
        <w:t>not</w:t>
      </w:r>
      <w:r>
        <w:t xml:space="preserve"> its main constraint right now. Across the four live non-branded campaigns it loses </w:t>
      </w:r>
      <w:r>
        <w:rPr>
          <w:b/>
        </w:rPr>
        <w:t>57–83% of impression share to Ad Rank</w:t>
      </w:r>
      <w:r>
        <w:t xml:space="preserve"> and only </w:t>
      </w:r>
      <w:r>
        <w:rPr>
          <w:b/>
        </w:rPr>
        <w:t>3.5–29.5% to budget.</w:t>
      </w:r>
      <w:r>
        <w:t xml:space="preserve"> Money buys back the budget-lost share; it does </w:t>
      </w:r>
      <w:r>
        <w:rPr>
          <w:b/>
        </w:rPr>
        <w:t>not</w:t>
      </w:r>
      <w:r>
        <w:t xml:space="preserve"> buy back the rank-lost share — that needs ad relevance, landing pages and bidding. So these brackets are sized to what budget can actually recover, not to a theoretical 100% impression share.</w:t>
      </w:r>
    </w:p>
    <w:p>
      <w:r>
        <w:t xml:space="preserve">Current run rate (last 30 days): PPC non-branded </w:t>
      </w:r>
      <w:r>
        <w:rPr>
          <w:b/>
        </w:rPr>
        <w:t>$9,164/mo</w:t>
      </w:r>
      <w:r>
        <w:t xml:space="preserve">, LSA </w:t>
      </w:r>
      <w:r>
        <w:rPr>
          <w:b/>
        </w:rPr>
        <w:t>$3,390/mo</w:t>
      </w:r>
      <w:r>
        <w:t>.</w:t>
      </w:r>
    </w:p>
    <w:tbl>
      <w:tblPr>
        <w:tblStyle w:val="TableGrid"/>
        <w:tblW w:type="auto" w:w="0"/>
        <w:jc w:val="center"/>
        <w:tblLayout w:type="autofit"/>
        <w:tblLook w:firstColumn="1" w:firstRow="1" w:lastColumn="0" w:lastRow="0" w:noHBand="0" w:noVBand="1" w:val="04A0"/>
        <w:tblW w:type="pct" w:w="5000"/>
        <w:tblLayout w:type="autofit"/>
      </w:tblPr>
      <w:tblGrid>
        <w:gridCol w:w="1704"/>
        <w:gridCol w:w="1704"/>
        <w:gridCol w:w="1704"/>
        <w:gridCol w:w="1704"/>
        <w:gridCol w:w="1704"/>
        <w:gridCol w:w="1704"/>
      </w:tblGrid>
      <w:tr>
        <w:tc>
          <w:tcPr>
            <w:tcW w:type="dxa" w:w="1704"/>
          </w:tcPr>
          <w:p>
            <w:r>
              <w:rPr>
                <w:b/>
                <w:sz w:val="17"/>
              </w:rPr>
            </w:r>
            <w:r>
              <w:rPr>
                <w:b/>
                <w:sz w:val="17"/>
              </w:rPr>
              <w:t>Bracket</w:t>
            </w:r>
          </w:p>
        </w:tc>
        <w:tc>
          <w:tcPr>
            <w:tcW w:type="dxa" w:w="1704"/>
          </w:tcPr>
          <w:p>
            <w:r>
              <w:rPr>
                <w:b/>
                <w:sz w:val="17"/>
              </w:rPr>
            </w:r>
            <w:r>
              <w:rPr>
                <w:b/>
                <w:sz w:val="17"/>
              </w:rPr>
              <w:t>PPC/mo</w:t>
            </w:r>
          </w:p>
        </w:tc>
        <w:tc>
          <w:tcPr>
            <w:tcW w:type="dxa" w:w="1704"/>
          </w:tcPr>
          <w:p>
            <w:r>
              <w:rPr>
                <w:b/>
                <w:sz w:val="17"/>
              </w:rPr>
            </w:r>
            <w:r>
              <w:rPr>
                <w:b/>
                <w:sz w:val="17"/>
              </w:rPr>
              <w:t>LSA/mo</w:t>
            </w:r>
          </w:p>
        </w:tc>
        <w:tc>
          <w:tcPr>
            <w:tcW w:type="dxa" w:w="1704"/>
          </w:tcPr>
          <w:p>
            <w:r>
              <w:rPr>
                <w:b/>
                <w:sz w:val="17"/>
              </w:rPr>
            </w:r>
            <w:r>
              <w:rPr>
                <w:b/>
                <w:sz w:val="17"/>
              </w:rPr>
              <w:t>Total/mo</w:t>
            </w:r>
          </w:p>
        </w:tc>
        <w:tc>
          <w:tcPr>
            <w:tcW w:type="dxa" w:w="1704"/>
          </w:tcPr>
          <w:p>
            <w:r>
              <w:rPr>
                <w:b/>
                <w:sz w:val="17"/>
              </w:rPr>
            </w:r>
            <w:r>
              <w:rPr>
                <w:b/>
                <w:sz w:val="17"/>
              </w:rPr>
              <w:t>Daily</w:t>
            </w:r>
          </w:p>
        </w:tc>
        <w:tc>
          <w:tcPr>
            <w:tcW w:type="dxa" w:w="1704"/>
          </w:tcPr>
          <w:p>
            <w:r>
              <w:rPr>
                <w:b/>
                <w:sz w:val="17"/>
              </w:rPr>
            </w:r>
            <w:r>
              <w:rPr>
                <w:b/>
                <w:sz w:val="17"/>
              </w:rPr>
              <w:t>What it buys</w:t>
            </w:r>
          </w:p>
        </w:tc>
      </w:tr>
      <w:tr>
        <w:tc>
          <w:tcPr>
            <w:tcW w:type="dxa" w:w="1704"/>
          </w:tcPr>
          <w:p>
            <w:r>
              <w:rPr>
                <w:sz w:val="17"/>
              </w:rPr>
            </w:r>
            <w:r>
              <w:rPr>
                <w:b/>
                <w:sz w:val="17"/>
              </w:rPr>
              <w:t>GOOD</w:t>
            </w:r>
          </w:p>
        </w:tc>
        <w:tc>
          <w:tcPr>
            <w:tcW w:type="dxa" w:w="1704"/>
          </w:tcPr>
          <w:p>
            <w:pPr>
              <w:jc w:val="right"/>
            </w:pPr>
            <w:r>
              <w:rPr>
                <w:sz w:val="17"/>
              </w:rPr>
            </w:r>
            <w:r>
              <w:rPr>
                <w:sz w:val="17"/>
              </w:rPr>
              <w:t>$16,600</w:t>
            </w:r>
          </w:p>
        </w:tc>
        <w:tc>
          <w:tcPr>
            <w:tcW w:type="dxa" w:w="1704"/>
          </w:tcPr>
          <w:p>
            <w:pPr>
              <w:jc w:val="right"/>
            </w:pPr>
            <w:r>
              <w:rPr>
                <w:sz w:val="17"/>
              </w:rPr>
            </w:r>
            <w:r>
              <w:rPr>
                <w:sz w:val="17"/>
              </w:rPr>
              <w:t>$3,390</w:t>
            </w:r>
          </w:p>
        </w:tc>
        <w:tc>
          <w:tcPr>
            <w:tcW w:type="dxa" w:w="1704"/>
          </w:tcPr>
          <w:p>
            <w:pPr>
              <w:jc w:val="right"/>
            </w:pPr>
            <w:r>
              <w:rPr>
                <w:sz w:val="17"/>
              </w:rPr>
            </w:r>
            <w:r>
              <w:rPr>
                <w:b/>
                <w:sz w:val="17"/>
              </w:rPr>
              <w:t>$19,990</w:t>
            </w:r>
          </w:p>
        </w:tc>
        <w:tc>
          <w:tcPr>
            <w:tcW w:type="dxa" w:w="1704"/>
          </w:tcPr>
          <w:p>
            <w:pPr>
              <w:jc w:val="right"/>
            </w:pPr>
            <w:r>
              <w:rPr>
                <w:sz w:val="17"/>
              </w:rPr>
            </w:r>
            <w:r>
              <w:rPr>
                <w:sz w:val="17"/>
              </w:rPr>
              <w:t>~$658</w:t>
            </w:r>
          </w:p>
        </w:tc>
        <w:tc>
          <w:tcPr>
            <w:tcW w:type="dxa" w:w="1704"/>
          </w:tcPr>
          <w:p>
            <w:pPr>
              <w:jc w:val="right"/>
            </w:pPr>
            <w:r>
              <w:rPr>
                <w:sz w:val="17"/>
              </w:rPr>
            </w:r>
            <w:r>
              <w:rPr>
                <w:sz w:val="17"/>
              </w:rPr>
              <w:t>Clears budget loss on the two most-constrained campaigns (Nonbranded Electrical, PMax HVAC)</w:t>
            </w:r>
          </w:p>
        </w:tc>
      </w:tr>
      <w:tr>
        <w:tc>
          <w:tcPr>
            <w:tcW w:type="dxa" w:w="1704"/>
          </w:tcPr>
          <w:p>
            <w:r>
              <w:rPr>
                <w:sz w:val="17"/>
              </w:rPr>
            </w:r>
            <w:r>
              <w:rPr>
                <w:b/>
                <w:sz w:val="17"/>
              </w:rPr>
              <w:t>BETTER</w:t>
            </w:r>
          </w:p>
        </w:tc>
        <w:tc>
          <w:tcPr>
            <w:tcW w:type="dxa" w:w="1704"/>
          </w:tcPr>
          <w:p>
            <w:pPr>
              <w:jc w:val="right"/>
            </w:pPr>
            <w:r>
              <w:rPr>
                <w:sz w:val="17"/>
              </w:rPr>
            </w:r>
            <w:r>
              <w:rPr>
                <w:sz w:val="17"/>
              </w:rPr>
              <w:t>$18,100</w:t>
            </w:r>
          </w:p>
        </w:tc>
        <w:tc>
          <w:tcPr>
            <w:tcW w:type="dxa" w:w="1704"/>
          </w:tcPr>
          <w:p>
            <w:pPr>
              <w:jc w:val="right"/>
            </w:pPr>
            <w:r>
              <w:rPr>
                <w:sz w:val="17"/>
              </w:rPr>
            </w:r>
            <w:r>
              <w:rPr>
                <w:sz w:val="17"/>
              </w:rPr>
              <w:t>$3,390</w:t>
            </w:r>
          </w:p>
        </w:tc>
        <w:tc>
          <w:tcPr>
            <w:tcW w:type="dxa" w:w="1704"/>
          </w:tcPr>
          <w:p>
            <w:pPr>
              <w:jc w:val="right"/>
            </w:pPr>
            <w:r>
              <w:rPr>
                <w:sz w:val="17"/>
              </w:rPr>
            </w:r>
            <w:r>
              <w:rPr>
                <w:b/>
                <w:sz w:val="17"/>
              </w:rPr>
              <w:t>$21,490</w:t>
            </w:r>
          </w:p>
        </w:tc>
        <w:tc>
          <w:tcPr>
            <w:tcW w:type="dxa" w:w="1704"/>
          </w:tcPr>
          <w:p>
            <w:pPr>
              <w:jc w:val="right"/>
            </w:pPr>
            <w:r>
              <w:rPr>
                <w:sz w:val="17"/>
              </w:rPr>
            </w:r>
            <w:r>
              <w:rPr>
                <w:sz w:val="17"/>
              </w:rPr>
              <w:t>~$707</w:t>
            </w:r>
          </w:p>
        </w:tc>
        <w:tc>
          <w:tcPr>
            <w:tcW w:type="dxa" w:w="1704"/>
          </w:tcPr>
          <w:p>
            <w:pPr>
              <w:jc w:val="right"/>
            </w:pPr>
            <w:r>
              <w:rPr>
                <w:sz w:val="17"/>
              </w:rPr>
            </w:r>
            <w:r>
              <w:rPr>
                <w:sz w:val="17"/>
              </w:rPr>
              <w:t xml:space="preserve">Recovers </w:t>
            </w:r>
            <w:r>
              <w:rPr>
                <w:b/>
                <w:sz w:val="17"/>
              </w:rPr>
              <w:t>all</w:t>
            </w:r>
            <w:r>
              <w:rPr>
                <w:sz w:val="17"/>
              </w:rPr>
              <w:t xml:space="preserve"> impression share currently lost to budget across the four campaigns</w:t>
            </w:r>
          </w:p>
        </w:tc>
      </w:tr>
      <w:tr>
        <w:tc>
          <w:tcPr>
            <w:tcW w:type="dxa" w:w="1704"/>
          </w:tcPr>
          <w:p>
            <w:r>
              <w:rPr>
                <w:sz w:val="17"/>
              </w:rPr>
            </w:r>
            <w:r>
              <w:rPr>
                <w:b/>
                <w:sz w:val="17"/>
              </w:rPr>
              <w:t>BEST</w:t>
            </w:r>
          </w:p>
        </w:tc>
        <w:tc>
          <w:tcPr>
            <w:tcW w:type="dxa" w:w="1704"/>
          </w:tcPr>
          <w:p>
            <w:pPr>
              <w:jc w:val="right"/>
            </w:pPr>
            <w:r>
              <w:rPr>
                <w:sz w:val="17"/>
              </w:rPr>
            </w:r>
            <w:r>
              <w:rPr>
                <w:sz w:val="17"/>
              </w:rPr>
              <w:t>$20,800</w:t>
            </w:r>
          </w:p>
        </w:tc>
        <w:tc>
          <w:tcPr>
            <w:tcW w:type="dxa" w:w="1704"/>
          </w:tcPr>
          <w:p>
            <w:pPr>
              <w:jc w:val="right"/>
            </w:pPr>
            <w:r>
              <w:rPr>
                <w:sz w:val="17"/>
              </w:rPr>
            </w:r>
            <w:r>
              <w:rPr>
                <w:sz w:val="17"/>
              </w:rPr>
              <w:t>$3,390</w:t>
            </w:r>
          </w:p>
        </w:tc>
        <w:tc>
          <w:tcPr>
            <w:tcW w:type="dxa" w:w="1704"/>
          </w:tcPr>
          <w:p>
            <w:pPr>
              <w:jc w:val="right"/>
            </w:pPr>
            <w:r>
              <w:rPr>
                <w:sz w:val="17"/>
              </w:rPr>
            </w:r>
            <w:r>
              <w:rPr>
                <w:b/>
                <w:sz w:val="17"/>
              </w:rPr>
              <w:t>$24,190</w:t>
            </w:r>
          </w:p>
        </w:tc>
        <w:tc>
          <w:tcPr>
            <w:tcW w:type="dxa" w:w="1704"/>
          </w:tcPr>
          <w:p>
            <w:pPr>
              <w:jc w:val="right"/>
            </w:pPr>
            <w:r>
              <w:rPr>
                <w:sz w:val="17"/>
              </w:rPr>
            </w:r>
            <w:r>
              <w:rPr>
                <w:sz w:val="17"/>
              </w:rPr>
              <w:t>~$796</w:t>
            </w:r>
          </w:p>
        </w:tc>
        <w:tc>
          <w:tcPr>
            <w:tcW w:type="dxa" w:w="1704"/>
          </w:tcPr>
          <w:p>
            <w:pPr>
              <w:jc w:val="right"/>
            </w:pPr>
            <w:r>
              <w:rPr>
                <w:sz w:val="17"/>
              </w:rPr>
            </w:r>
            <w:r>
              <w:rPr>
                <w:sz w:val="17"/>
              </w:rPr>
              <w:t>BETTER + ~15% headroom so the rank/quality fixes can convert into volume as they land</w:t>
            </w:r>
          </w:p>
        </w:tc>
      </w:tr>
    </w:tbl>
    <w:p/>
    <w:p>
      <w:r>
        <w:rPr>
          <w:b/>
        </w:rPr>
        <w:t>Per-campaign budget loss (last 30 days) — where the money should go:</w:t>
      </w:r>
    </w:p>
    <w:tbl>
      <w:tblPr>
        <w:tblStyle w:val="TableGrid"/>
        <w:tblW w:type="auto" w:w="0"/>
        <w:jc w:val="center"/>
        <w:tblLayout w:type="autofit"/>
        <w:tblLook w:firstColumn="1" w:firstRow="1" w:lastColumn="0" w:lastRow="0" w:noHBand="0" w:noVBand="1" w:val="04A0"/>
        <w:tblW w:type="pct" w:w="5000"/>
        <w:tblLayout w:type="autofit"/>
      </w:tblPr>
      <w:tblGrid>
        <w:gridCol w:w="2045"/>
        <w:gridCol w:w="2045"/>
        <w:gridCol w:w="2045"/>
        <w:gridCol w:w="2045"/>
        <w:gridCol w:w="2045"/>
      </w:tblGrid>
      <w:tr>
        <w:tc>
          <w:tcPr>
            <w:tcW w:type="dxa" w:w="2045"/>
          </w:tcPr>
          <w:p>
            <w:r>
              <w:rPr>
                <w:b/>
                <w:sz w:val="17"/>
              </w:rPr>
            </w:r>
            <w:r>
              <w:rPr>
                <w:b/>
                <w:sz w:val="17"/>
              </w:rPr>
              <w:t>Campaign</w:t>
            </w:r>
          </w:p>
        </w:tc>
        <w:tc>
          <w:tcPr>
            <w:tcW w:type="dxa" w:w="2045"/>
          </w:tcPr>
          <w:p>
            <w:r>
              <w:rPr>
                <w:b/>
                <w:sz w:val="17"/>
              </w:rPr>
            </w:r>
            <w:r>
              <w:rPr>
                <w:b/>
                <w:sz w:val="17"/>
              </w:rPr>
              <w:t>Spend/mo</w:t>
            </w:r>
          </w:p>
        </w:tc>
        <w:tc>
          <w:tcPr>
            <w:tcW w:type="dxa" w:w="2045"/>
          </w:tcPr>
          <w:p>
            <w:r>
              <w:rPr>
                <w:b/>
                <w:sz w:val="17"/>
              </w:rPr>
            </w:r>
            <w:r>
              <w:rPr>
                <w:b/>
                <w:sz w:val="17"/>
              </w:rPr>
              <w:t>Impr. share</w:t>
            </w:r>
          </w:p>
        </w:tc>
        <w:tc>
          <w:tcPr>
            <w:tcW w:type="dxa" w:w="2045"/>
          </w:tcPr>
          <w:p>
            <w:r>
              <w:rPr>
                <w:b/>
                <w:sz w:val="17"/>
              </w:rPr>
            </w:r>
            <w:r>
              <w:rPr>
                <w:b/>
                <w:sz w:val="17"/>
              </w:rPr>
              <w:t>Lost to budget</w:t>
            </w:r>
          </w:p>
        </w:tc>
        <w:tc>
          <w:tcPr>
            <w:tcW w:type="dxa" w:w="2045"/>
          </w:tcPr>
          <w:p>
            <w:r>
              <w:rPr>
                <w:b/>
                <w:sz w:val="17"/>
              </w:rPr>
            </w:r>
            <w:r>
              <w:rPr>
                <w:b/>
                <w:sz w:val="17"/>
              </w:rPr>
              <w:t>Lost to rank</w:t>
            </w:r>
          </w:p>
        </w:tc>
      </w:tr>
      <w:tr>
        <w:tc>
          <w:tcPr>
            <w:tcW w:type="dxa" w:w="2045"/>
          </w:tcPr>
          <w:p>
            <w:r>
              <w:rPr>
                <w:sz w:val="17"/>
              </w:rPr>
            </w:r>
            <w:r>
              <w:rPr>
                <w:sz w:val="17"/>
              </w:rPr>
              <w:t>Nonbranded Electrical</w:t>
            </w:r>
          </w:p>
        </w:tc>
        <w:tc>
          <w:tcPr>
            <w:tcW w:type="dxa" w:w="2045"/>
          </w:tcPr>
          <w:p>
            <w:pPr>
              <w:jc w:val="right"/>
            </w:pPr>
            <w:r>
              <w:rPr>
                <w:sz w:val="17"/>
              </w:rPr>
            </w:r>
            <w:r>
              <w:rPr>
                <w:sz w:val="17"/>
              </w:rPr>
              <w:t>$2,486</w:t>
            </w:r>
          </w:p>
        </w:tc>
        <w:tc>
          <w:tcPr>
            <w:tcW w:type="dxa" w:w="2045"/>
          </w:tcPr>
          <w:p>
            <w:pPr>
              <w:jc w:val="right"/>
            </w:pPr>
            <w:r>
              <w:rPr>
                <w:sz w:val="17"/>
              </w:rPr>
            </w:r>
            <w:r>
              <w:rPr>
                <w:sz w:val="17"/>
              </w:rPr>
              <w:t>13.9%</w:t>
            </w:r>
          </w:p>
        </w:tc>
        <w:tc>
          <w:tcPr>
            <w:tcW w:type="dxa" w:w="2045"/>
          </w:tcPr>
          <w:p>
            <w:pPr>
              <w:jc w:val="right"/>
            </w:pPr>
            <w:r>
              <w:rPr>
                <w:sz w:val="17"/>
              </w:rPr>
            </w:r>
            <w:r>
              <w:rPr>
                <w:b/>
                <w:sz w:val="17"/>
              </w:rPr>
              <w:t>29.5%</w:t>
            </w:r>
          </w:p>
        </w:tc>
        <w:tc>
          <w:tcPr>
            <w:tcW w:type="dxa" w:w="2045"/>
          </w:tcPr>
          <w:p>
            <w:pPr>
              <w:jc w:val="right"/>
            </w:pPr>
            <w:r>
              <w:rPr>
                <w:sz w:val="17"/>
              </w:rPr>
            </w:r>
            <w:r>
              <w:rPr>
                <w:sz w:val="17"/>
              </w:rPr>
              <w:t>56.6%</w:t>
            </w:r>
          </w:p>
        </w:tc>
      </w:tr>
      <w:tr>
        <w:tc>
          <w:tcPr>
            <w:tcW w:type="dxa" w:w="2045"/>
          </w:tcPr>
          <w:p>
            <w:r>
              <w:rPr>
                <w:sz w:val="17"/>
              </w:rPr>
            </w:r>
            <w:r>
              <w:rPr>
                <w:sz w:val="17"/>
              </w:rPr>
              <w:t>PMax HVAC</w:t>
            </w:r>
          </w:p>
        </w:tc>
        <w:tc>
          <w:tcPr>
            <w:tcW w:type="dxa" w:w="2045"/>
          </w:tcPr>
          <w:p>
            <w:pPr>
              <w:jc w:val="right"/>
            </w:pPr>
            <w:r>
              <w:rPr>
                <w:sz w:val="17"/>
              </w:rPr>
            </w:r>
            <w:r>
              <w:rPr>
                <w:sz w:val="17"/>
              </w:rPr>
              <w:t>$3,081</w:t>
            </w:r>
          </w:p>
        </w:tc>
        <w:tc>
          <w:tcPr>
            <w:tcW w:type="dxa" w:w="2045"/>
          </w:tcPr>
          <w:p>
            <w:pPr>
              <w:jc w:val="right"/>
            </w:pPr>
            <w:r>
              <w:rPr>
                <w:sz w:val="17"/>
              </w:rPr>
            </w:r>
            <w:r>
              <w:rPr>
                <w:sz w:val="17"/>
              </w:rPr>
              <w:t>16.6%</w:t>
            </w:r>
          </w:p>
        </w:tc>
        <w:tc>
          <w:tcPr>
            <w:tcW w:type="dxa" w:w="2045"/>
          </w:tcPr>
          <w:p>
            <w:pPr>
              <w:jc w:val="right"/>
            </w:pPr>
            <w:r>
              <w:rPr>
                <w:sz w:val="17"/>
              </w:rPr>
            </w:r>
            <w:r>
              <w:rPr>
                <w:b/>
                <w:sz w:val="17"/>
              </w:rPr>
              <w:t>11.7%</w:t>
            </w:r>
          </w:p>
        </w:tc>
        <w:tc>
          <w:tcPr>
            <w:tcW w:type="dxa" w:w="2045"/>
          </w:tcPr>
          <w:p>
            <w:pPr>
              <w:jc w:val="right"/>
            </w:pPr>
            <w:r>
              <w:rPr>
                <w:sz w:val="17"/>
              </w:rPr>
            </w:r>
            <w:r>
              <w:rPr>
                <w:sz w:val="17"/>
              </w:rPr>
              <w:t>71.7%</w:t>
            </w:r>
          </w:p>
        </w:tc>
      </w:tr>
      <w:tr>
        <w:tc>
          <w:tcPr>
            <w:tcW w:type="dxa" w:w="2045"/>
          </w:tcPr>
          <w:p>
            <w:r>
              <w:rPr>
                <w:sz w:val="17"/>
              </w:rPr>
            </w:r>
            <w:r>
              <w:rPr>
                <w:sz w:val="17"/>
              </w:rPr>
              <w:t>PMax Electrical</w:t>
            </w:r>
          </w:p>
        </w:tc>
        <w:tc>
          <w:tcPr>
            <w:tcW w:type="dxa" w:w="2045"/>
          </w:tcPr>
          <w:p>
            <w:pPr>
              <w:jc w:val="right"/>
            </w:pPr>
            <w:r>
              <w:rPr>
                <w:sz w:val="17"/>
              </w:rPr>
            </w:r>
            <w:r>
              <w:rPr>
                <w:sz w:val="17"/>
              </w:rPr>
              <w:t>$1,755</w:t>
            </w:r>
          </w:p>
        </w:tc>
        <w:tc>
          <w:tcPr>
            <w:tcW w:type="dxa" w:w="2045"/>
          </w:tcPr>
          <w:p>
            <w:pPr>
              <w:jc w:val="right"/>
            </w:pPr>
            <w:r>
              <w:rPr>
                <w:sz w:val="17"/>
              </w:rPr>
            </w:r>
            <w:r>
              <w:rPr>
                <w:sz w:val="17"/>
              </w:rPr>
              <w:t>15.5%</w:t>
            </w:r>
          </w:p>
        </w:tc>
        <w:tc>
          <w:tcPr>
            <w:tcW w:type="dxa" w:w="2045"/>
          </w:tcPr>
          <w:p>
            <w:pPr>
              <w:jc w:val="right"/>
            </w:pPr>
            <w:r>
              <w:rPr>
                <w:sz w:val="17"/>
              </w:rPr>
            </w:r>
            <w:r>
              <w:rPr>
                <w:sz w:val="17"/>
              </w:rPr>
              <w:t>8.9%</w:t>
            </w:r>
          </w:p>
        </w:tc>
        <w:tc>
          <w:tcPr>
            <w:tcW w:type="dxa" w:w="2045"/>
          </w:tcPr>
          <w:p>
            <w:pPr>
              <w:jc w:val="right"/>
            </w:pPr>
            <w:r>
              <w:rPr>
                <w:sz w:val="17"/>
              </w:rPr>
            </w:r>
            <w:r>
              <w:rPr>
                <w:sz w:val="17"/>
              </w:rPr>
              <w:t>75.6%</w:t>
            </w:r>
          </w:p>
        </w:tc>
      </w:tr>
      <w:tr>
        <w:tc>
          <w:tcPr>
            <w:tcW w:type="dxa" w:w="2045"/>
          </w:tcPr>
          <w:p>
            <w:r>
              <w:rPr>
                <w:sz w:val="17"/>
              </w:rPr>
            </w:r>
            <w:r>
              <w:rPr>
                <w:sz w:val="17"/>
              </w:rPr>
              <w:t>Nonbranded Plumbing</w:t>
            </w:r>
          </w:p>
        </w:tc>
        <w:tc>
          <w:tcPr>
            <w:tcW w:type="dxa" w:w="2045"/>
          </w:tcPr>
          <w:p>
            <w:pPr>
              <w:jc w:val="right"/>
            </w:pPr>
            <w:r>
              <w:rPr>
                <w:sz w:val="17"/>
              </w:rPr>
            </w:r>
            <w:r>
              <w:rPr>
                <w:sz w:val="17"/>
              </w:rPr>
              <w:t>$1,842</w:t>
            </w:r>
          </w:p>
        </w:tc>
        <w:tc>
          <w:tcPr>
            <w:tcW w:type="dxa" w:w="2045"/>
          </w:tcPr>
          <w:p>
            <w:pPr>
              <w:jc w:val="right"/>
            </w:pPr>
            <w:r>
              <w:rPr>
                <w:sz w:val="17"/>
              </w:rPr>
            </w:r>
            <w:r>
              <w:rPr>
                <w:sz w:val="17"/>
              </w:rPr>
              <w:t>13.7%</w:t>
            </w:r>
          </w:p>
        </w:tc>
        <w:tc>
          <w:tcPr>
            <w:tcW w:type="dxa" w:w="2045"/>
          </w:tcPr>
          <w:p>
            <w:pPr>
              <w:jc w:val="right"/>
            </w:pPr>
            <w:r>
              <w:rPr>
                <w:sz w:val="17"/>
              </w:rPr>
            </w:r>
            <w:r>
              <w:rPr>
                <w:sz w:val="17"/>
              </w:rPr>
              <w:t>3.5%</w:t>
            </w:r>
          </w:p>
        </w:tc>
        <w:tc>
          <w:tcPr>
            <w:tcW w:type="dxa" w:w="2045"/>
          </w:tcPr>
          <w:p>
            <w:pPr>
              <w:jc w:val="right"/>
            </w:pPr>
            <w:r>
              <w:rPr>
                <w:sz w:val="17"/>
              </w:rPr>
            </w:r>
            <w:r>
              <w:rPr>
                <w:sz w:val="17"/>
              </w:rPr>
              <w:t>82.9%</w:t>
            </w:r>
          </w:p>
        </w:tc>
      </w:tr>
    </w:tbl>
    <w:p/>
    <w:p>
      <w:r>
        <w:rPr>
          <w:b/>
        </w:rPr>
        <w:t>Reading it:</w:t>
      </w:r>
      <w:r>
        <w:t xml:space="preserve"> Nonbranded Electrical is the one genuinely starving for budget — nearly a third of its available impressions are lost purely because it runs out of money. That is where the first incremental dollars return the most. Nonbranded Plumbing, by contrast, loses almost nothing to budget (3.5%) and 83% to rank — throwing budget at it does nothing until its Quality Score and landing page improve.</w:t>
      </w:r>
    </w:p>
    <w:p>
      <w:r>
        <w:rPr>
          <w:b/>
        </w:rPr>
        <w:t>My recommendation: start at GOOD ($19,990), move to BETTER within 2–3 weeks</w:t>
      </w:r>
      <w:r>
        <w:t xml:space="preserve"> once the Electrical budget-loss closes and CPL holds. Only go to BEST after the tracking fix is verified and the rank issues on Plumbing/PMax are being worked — otherwise the extra headroom pays for impressions the ads aren't good enough to win.</w:t>
      </w:r>
    </w:p>
    <w:p>
      <w:r>
        <w:rPr>
          <w:b/>
        </w:rPr>
        <w:t>One thing to raise in the meeting:</w:t>
      </w:r>
      <w:r>
        <w:t xml:space="preserve"> the campaign budgets were cut on </w:t>
      </w:r>
      <w:r>
        <w:rPr>
          <w:b/>
        </w:rPr>
        <w:t>July 7</w:t>
      </w:r>
      <w:r>
        <w:t xml:space="preserve"> (PMax HVAC $130→$80/day, Nonbranded Electrical $108→$50/day, Nonbranded Plumbing $90→$60, PMax Electrical $80→$60 — total $409→$250/day, by andrea@topservdigital.com). Every bracket above is an </w:t>
      </w:r>
      <w:r>
        <w:rPr>
          <w:i/>
        </w:rPr>
        <w:t>increase</w:t>
      </w:r>
      <w:r>
        <w:t xml:space="preserve"> on that reduced level. Whoever approves the bracket should know the starting point moved down two weeks ago.</w:t>
      </w:r>
    </w:p>
    <w:p/>
    <w:p>
      <w:pPr>
        <w:spacing w:before="240"/>
      </w:pPr>
      <w:r>
        <w:rPr>
          <w:b/>
          <w:color w:val="1C5CAB"/>
          <w:sz w:val="26"/>
        </w:rPr>
        <w:t>2. AC campaign strategy — service/repair vs install/replace</w:t>
      </w:r>
    </w:p>
    <w:p>
      <w:r>
        <w:t>These are two different buyers and must not share a campaign or a bid. Market data, San Antonio:</w:t>
      </w:r>
    </w:p>
    <w:p>
      <w:r>
        <w:rPr>
          <w:b/>
        </w:rPr>
        <w:t>AC service / repair — the volume engine.</w:t>
      </w:r>
    </w:p>
    <w:tbl>
      <w:tblPr>
        <w:tblStyle w:val="TableGrid"/>
        <w:tblW w:type="auto" w:w="0"/>
        <w:jc w:val="center"/>
        <w:tblLayout w:type="autofit"/>
        <w:tblLook w:firstColumn="1" w:firstRow="1" w:lastColumn="0" w:lastRow="0" w:noHBand="0" w:noVBand="1" w:val="04A0"/>
        <w:tblW w:type="pct" w:w="5000"/>
        <w:tblLayout w:type="autofit"/>
      </w:tblPr>
      <w:tblGrid>
        <w:gridCol w:w="2556"/>
        <w:gridCol w:w="2556"/>
        <w:gridCol w:w="2556"/>
        <w:gridCol w:w="2556"/>
      </w:tblGrid>
      <w:tr>
        <w:tc>
          <w:tcPr>
            <w:tcW w:type="dxa" w:w="2556"/>
          </w:tcPr>
          <w:p>
            <w:r>
              <w:rPr>
                <w:b/>
                <w:sz w:val="17"/>
              </w:rPr>
            </w:r>
            <w:r>
              <w:rPr>
                <w:b/>
                <w:sz w:val="17"/>
              </w:rPr>
              <w:t>Keyword</w:t>
            </w:r>
          </w:p>
        </w:tc>
        <w:tc>
          <w:tcPr>
            <w:tcW w:type="dxa" w:w="2556"/>
          </w:tcPr>
          <w:p>
            <w:r>
              <w:rPr>
                <w:b/>
                <w:sz w:val="17"/>
              </w:rPr>
            </w:r>
            <w:r>
              <w:rPr>
                <w:b/>
                <w:sz w:val="17"/>
              </w:rPr>
              <w:t>Monthly vol</w:t>
            </w:r>
          </w:p>
        </w:tc>
        <w:tc>
          <w:tcPr>
            <w:tcW w:type="dxa" w:w="2556"/>
          </w:tcPr>
          <w:p>
            <w:r>
              <w:rPr>
                <w:b/>
                <w:sz w:val="17"/>
              </w:rPr>
            </w:r>
            <w:r>
              <w:rPr>
                <w:b/>
                <w:sz w:val="17"/>
              </w:rPr>
              <w:t>Competition</w:t>
            </w:r>
          </w:p>
        </w:tc>
        <w:tc>
          <w:tcPr>
            <w:tcW w:type="dxa" w:w="2556"/>
          </w:tcPr>
          <w:p>
            <w:r>
              <w:rPr>
                <w:b/>
                <w:sz w:val="17"/>
              </w:rPr>
            </w:r>
            <w:r>
              <w:rPr>
                <w:b/>
                <w:sz w:val="17"/>
              </w:rPr>
              <w:t>Top-of-page bid</w:t>
            </w:r>
          </w:p>
        </w:tc>
      </w:tr>
      <w:tr>
        <w:tc>
          <w:tcPr>
            <w:tcW w:type="dxa" w:w="2556"/>
          </w:tcPr>
          <w:p>
            <w:r>
              <w:rPr>
                <w:sz w:val="17"/>
              </w:rPr>
            </w:r>
            <w:r>
              <w:rPr>
                <w:sz w:val="17"/>
              </w:rPr>
              <w:t>ac repair / air conditioning repair</w:t>
            </w:r>
          </w:p>
        </w:tc>
        <w:tc>
          <w:tcPr>
            <w:tcW w:type="dxa" w:w="2556"/>
          </w:tcPr>
          <w:p>
            <w:pPr>
              <w:jc w:val="right"/>
            </w:pPr>
            <w:r>
              <w:rPr>
                <w:sz w:val="17"/>
              </w:rPr>
            </w:r>
            <w:r>
              <w:rPr>
                <w:sz w:val="17"/>
              </w:rPr>
              <w:t>2,900</w:t>
            </w:r>
          </w:p>
        </w:tc>
        <w:tc>
          <w:tcPr>
            <w:tcW w:type="dxa" w:w="2556"/>
          </w:tcPr>
          <w:p>
            <w:pPr>
              <w:jc w:val="right"/>
            </w:pPr>
            <w:r>
              <w:rPr>
                <w:sz w:val="17"/>
              </w:rPr>
            </w:r>
            <w:r>
              <w:rPr>
                <w:sz w:val="17"/>
              </w:rPr>
              <w:t>LOW</w:t>
            </w:r>
          </w:p>
        </w:tc>
        <w:tc>
          <w:tcPr>
            <w:tcW w:type="dxa" w:w="2556"/>
          </w:tcPr>
          <w:p>
            <w:pPr>
              <w:jc w:val="right"/>
            </w:pPr>
            <w:r>
              <w:rPr>
                <w:sz w:val="17"/>
              </w:rPr>
            </w:r>
            <w:r>
              <w:rPr>
                <w:sz w:val="17"/>
              </w:rPr>
              <w:t>$33–$112</w:t>
            </w:r>
          </w:p>
        </w:tc>
      </w:tr>
      <w:tr>
        <w:tc>
          <w:tcPr>
            <w:tcW w:type="dxa" w:w="2556"/>
          </w:tcPr>
          <w:p>
            <w:r>
              <w:rPr>
                <w:sz w:val="17"/>
              </w:rPr>
            </w:r>
            <w:r>
              <w:rPr>
                <w:sz w:val="17"/>
              </w:rPr>
              <w:t>ac repair near me</w:t>
            </w:r>
          </w:p>
        </w:tc>
        <w:tc>
          <w:tcPr>
            <w:tcW w:type="dxa" w:w="2556"/>
          </w:tcPr>
          <w:p>
            <w:pPr>
              <w:jc w:val="right"/>
            </w:pPr>
            <w:r>
              <w:rPr>
                <w:sz w:val="17"/>
              </w:rPr>
            </w:r>
            <w:r>
              <w:rPr>
                <w:sz w:val="17"/>
              </w:rPr>
              <w:t>1,600</w:t>
            </w:r>
          </w:p>
        </w:tc>
        <w:tc>
          <w:tcPr>
            <w:tcW w:type="dxa" w:w="2556"/>
          </w:tcPr>
          <w:p>
            <w:pPr>
              <w:jc w:val="right"/>
            </w:pPr>
            <w:r>
              <w:rPr>
                <w:sz w:val="17"/>
              </w:rPr>
            </w:r>
            <w:r>
              <w:rPr>
                <w:sz w:val="17"/>
              </w:rPr>
              <w:t>MEDIUM</w:t>
            </w:r>
          </w:p>
        </w:tc>
        <w:tc>
          <w:tcPr>
            <w:tcW w:type="dxa" w:w="2556"/>
          </w:tcPr>
          <w:p>
            <w:pPr>
              <w:jc w:val="right"/>
            </w:pPr>
            <w:r>
              <w:rPr>
                <w:sz w:val="17"/>
              </w:rPr>
            </w:r>
            <w:r>
              <w:rPr>
                <w:sz w:val="17"/>
              </w:rPr>
              <w:t>$38–$112</w:t>
            </w:r>
          </w:p>
        </w:tc>
      </w:tr>
    </w:tbl>
    <w:p/>
    <w:p>
      <w:pPr>
        <w:pStyle w:val="ListBullet"/>
      </w:pPr>
      <w:r>
        <w:t xml:space="preserve">Roughly </w:t>
      </w:r>
      <w:r>
        <w:rPr>
          <w:b/>
        </w:rPr>
        <w:t>4,500+ searches/month</w:t>
      </w:r>
      <w:r>
        <w:t xml:space="preserve"> in the repair cluster, and competition reads LOW-MEDIUM — unusually soft for this bid range. High intent, immediate need, short path to a call.</w:t>
      </w:r>
    </w:p>
    <w:p>
      <w:pPr>
        <w:pStyle w:val="ListBullet"/>
      </w:pPr>
      <w:r>
        <w:rPr>
          <w:b/>
        </w:rPr>
        <w:t>Strategy:</w:t>
      </w:r>
      <w:r>
        <w:t xml:space="preserve"> dedicated Search campaign, tight exact/phrase match on the repair terms, call asset + call-only where possible, bid to a target CPA anchored on the phone-lead conversion. This is where the LSA and the call-tracking fix matter most — repair is a phone-call sale.</w:t>
      </w:r>
    </w:p>
    <w:p>
      <w:r>
        <w:rPr>
          <w:b/>
        </w:rPr>
        <w:t>AC install / replacement — lower volume, higher ticket, longer consideration.</w:t>
      </w:r>
    </w:p>
    <w:tbl>
      <w:tblPr>
        <w:tblStyle w:val="TableGrid"/>
        <w:tblW w:type="auto" w:w="0"/>
        <w:jc w:val="center"/>
        <w:tblLayout w:type="autofit"/>
        <w:tblLook w:firstColumn="1" w:firstRow="1" w:lastColumn="0" w:lastRow="0" w:noHBand="0" w:noVBand="1" w:val="04A0"/>
        <w:tblW w:type="pct" w:w="5000"/>
        <w:tblLayout w:type="autofit"/>
      </w:tblPr>
      <w:tblGrid>
        <w:gridCol w:w="2556"/>
        <w:gridCol w:w="2556"/>
        <w:gridCol w:w="2556"/>
        <w:gridCol w:w="2556"/>
      </w:tblGrid>
      <w:tr>
        <w:tc>
          <w:tcPr>
            <w:tcW w:type="dxa" w:w="2556"/>
          </w:tcPr>
          <w:p>
            <w:r>
              <w:rPr>
                <w:b/>
                <w:sz w:val="17"/>
              </w:rPr>
            </w:r>
            <w:r>
              <w:rPr>
                <w:b/>
                <w:sz w:val="17"/>
              </w:rPr>
              <w:t>Keyword</w:t>
            </w:r>
          </w:p>
        </w:tc>
        <w:tc>
          <w:tcPr>
            <w:tcW w:type="dxa" w:w="2556"/>
          </w:tcPr>
          <w:p>
            <w:r>
              <w:rPr>
                <w:b/>
                <w:sz w:val="17"/>
              </w:rPr>
            </w:r>
            <w:r>
              <w:rPr>
                <w:b/>
                <w:sz w:val="17"/>
              </w:rPr>
              <w:t>Monthly vol</w:t>
            </w:r>
          </w:p>
        </w:tc>
        <w:tc>
          <w:tcPr>
            <w:tcW w:type="dxa" w:w="2556"/>
          </w:tcPr>
          <w:p>
            <w:r>
              <w:rPr>
                <w:b/>
                <w:sz w:val="17"/>
              </w:rPr>
            </w:r>
            <w:r>
              <w:rPr>
                <w:b/>
                <w:sz w:val="17"/>
              </w:rPr>
              <w:t>Competition</w:t>
            </w:r>
          </w:p>
        </w:tc>
        <w:tc>
          <w:tcPr>
            <w:tcW w:type="dxa" w:w="2556"/>
          </w:tcPr>
          <w:p>
            <w:r>
              <w:rPr>
                <w:b/>
                <w:sz w:val="17"/>
              </w:rPr>
            </w:r>
            <w:r>
              <w:rPr>
                <w:b/>
                <w:sz w:val="17"/>
              </w:rPr>
              <w:t>Top-of-page bid</w:t>
            </w:r>
          </w:p>
        </w:tc>
      </w:tr>
      <w:tr>
        <w:tc>
          <w:tcPr>
            <w:tcW w:type="dxa" w:w="2556"/>
          </w:tcPr>
          <w:p>
            <w:r>
              <w:rPr>
                <w:sz w:val="17"/>
              </w:rPr>
            </w:r>
            <w:r>
              <w:rPr>
                <w:sz w:val="17"/>
              </w:rPr>
              <w:t>ac installation / air conditioner installation</w:t>
            </w:r>
          </w:p>
        </w:tc>
        <w:tc>
          <w:tcPr>
            <w:tcW w:type="dxa" w:w="2556"/>
          </w:tcPr>
          <w:p>
            <w:pPr>
              <w:jc w:val="right"/>
            </w:pPr>
            <w:r>
              <w:rPr>
                <w:sz w:val="17"/>
              </w:rPr>
            </w:r>
            <w:r>
              <w:rPr>
                <w:sz w:val="17"/>
              </w:rPr>
              <w:t>480</w:t>
            </w:r>
          </w:p>
        </w:tc>
        <w:tc>
          <w:tcPr>
            <w:tcW w:type="dxa" w:w="2556"/>
          </w:tcPr>
          <w:p>
            <w:pPr>
              <w:jc w:val="right"/>
            </w:pPr>
            <w:r>
              <w:rPr>
                <w:sz w:val="17"/>
              </w:rPr>
            </w:r>
            <w:r>
              <w:rPr>
                <w:sz w:val="17"/>
              </w:rPr>
              <w:t>LOW</w:t>
            </w:r>
          </w:p>
        </w:tc>
        <w:tc>
          <w:tcPr>
            <w:tcW w:type="dxa" w:w="2556"/>
          </w:tcPr>
          <w:p>
            <w:pPr>
              <w:jc w:val="right"/>
            </w:pPr>
            <w:r>
              <w:rPr>
                <w:sz w:val="17"/>
              </w:rPr>
            </w:r>
            <w:r>
              <w:rPr>
                <w:sz w:val="17"/>
              </w:rPr>
              <w:t>$20–$83</w:t>
            </w:r>
          </w:p>
        </w:tc>
      </w:tr>
      <w:tr>
        <w:tc>
          <w:tcPr>
            <w:tcW w:type="dxa" w:w="2556"/>
          </w:tcPr>
          <w:p>
            <w:r>
              <w:rPr>
                <w:sz w:val="17"/>
              </w:rPr>
            </w:r>
            <w:r>
              <w:rPr>
                <w:sz w:val="17"/>
              </w:rPr>
              <w:t>hvac installation</w:t>
            </w:r>
          </w:p>
        </w:tc>
        <w:tc>
          <w:tcPr>
            <w:tcW w:type="dxa" w:w="2556"/>
          </w:tcPr>
          <w:p>
            <w:pPr>
              <w:jc w:val="right"/>
            </w:pPr>
            <w:r>
              <w:rPr>
                <w:sz w:val="17"/>
              </w:rPr>
            </w:r>
            <w:r>
              <w:rPr>
                <w:sz w:val="17"/>
              </w:rPr>
              <w:t>260</w:t>
            </w:r>
          </w:p>
        </w:tc>
        <w:tc>
          <w:tcPr>
            <w:tcW w:type="dxa" w:w="2556"/>
          </w:tcPr>
          <w:p>
            <w:pPr>
              <w:jc w:val="right"/>
            </w:pPr>
            <w:r>
              <w:rPr>
                <w:sz w:val="17"/>
              </w:rPr>
            </w:r>
            <w:r>
              <w:rPr>
                <w:sz w:val="17"/>
              </w:rPr>
              <w:t>LOW</w:t>
            </w:r>
          </w:p>
        </w:tc>
        <w:tc>
          <w:tcPr>
            <w:tcW w:type="dxa" w:w="2556"/>
          </w:tcPr>
          <w:p>
            <w:pPr>
              <w:jc w:val="right"/>
            </w:pPr>
            <w:r>
              <w:rPr>
                <w:sz w:val="17"/>
              </w:rPr>
            </w:r>
            <w:r>
              <w:rPr>
                <w:sz w:val="17"/>
              </w:rPr>
              <w:t>$9–$32</w:t>
            </w:r>
          </w:p>
        </w:tc>
      </w:tr>
      <w:tr>
        <w:tc>
          <w:tcPr>
            <w:tcW w:type="dxa" w:w="2556"/>
          </w:tcPr>
          <w:p>
            <w:r>
              <w:rPr>
                <w:sz w:val="17"/>
              </w:rPr>
            </w:r>
            <w:r>
              <w:rPr>
                <w:sz w:val="17"/>
              </w:rPr>
              <w:t>ac replacement</w:t>
            </w:r>
          </w:p>
        </w:tc>
        <w:tc>
          <w:tcPr>
            <w:tcW w:type="dxa" w:w="2556"/>
          </w:tcPr>
          <w:p>
            <w:pPr>
              <w:jc w:val="right"/>
            </w:pPr>
            <w:r>
              <w:rPr>
                <w:sz w:val="17"/>
              </w:rPr>
            </w:r>
            <w:r>
              <w:rPr>
                <w:sz w:val="17"/>
              </w:rPr>
              <w:t>210</w:t>
            </w:r>
          </w:p>
        </w:tc>
        <w:tc>
          <w:tcPr>
            <w:tcW w:type="dxa" w:w="2556"/>
          </w:tcPr>
          <w:p>
            <w:pPr>
              <w:jc w:val="right"/>
            </w:pPr>
            <w:r>
              <w:rPr>
                <w:sz w:val="17"/>
              </w:rPr>
            </w:r>
            <w:r>
              <w:rPr>
                <w:sz w:val="17"/>
              </w:rPr>
              <w:t>MEDIUM</w:t>
            </w:r>
          </w:p>
        </w:tc>
        <w:tc>
          <w:tcPr>
            <w:tcW w:type="dxa" w:w="2556"/>
          </w:tcPr>
          <w:p>
            <w:pPr>
              <w:jc w:val="right"/>
            </w:pPr>
            <w:r>
              <w:rPr>
                <w:sz w:val="17"/>
              </w:rPr>
            </w:r>
            <w:r>
              <w:rPr>
                <w:sz w:val="17"/>
              </w:rPr>
              <w:t>$15–$90</w:t>
            </w:r>
          </w:p>
        </w:tc>
      </w:tr>
    </w:tbl>
    <w:p/>
    <w:p>
      <w:pPr>
        <w:pStyle w:val="ListBullet"/>
      </w:pPr>
      <w:r>
        <w:t xml:space="preserve">Under </w:t>
      </w:r>
      <w:r>
        <w:rPr>
          <w:b/>
        </w:rPr>
        <w:t>1,000 searches/month</w:t>
      </w:r>
      <w:r>
        <w:t xml:space="preserve"> combined — a tenth of repair volume — but each job is worth many times a repair.</w:t>
      </w:r>
    </w:p>
    <w:p>
      <w:pPr>
        <w:pStyle w:val="ListBullet"/>
      </w:pPr>
      <w:r>
        <w:rPr>
          <w:b/>
        </w:rPr>
        <w:t>Strategy:</w:t>
      </w:r>
      <w:r>
        <w:t xml:space="preserve"> separate Search campaign so its budget and bids aren't eaten by the much higher repair volume. Longer conversion window, expect form-fills and quote requests as much as calls, and a landing page built around financing / free estimate rather than "we'll be there today."</w:t>
      </w:r>
    </w:p>
    <w:p>
      <w:r>
        <w:rPr>
          <w:b/>
        </w:rPr>
        <w:t>Why split them:</w:t>
      </w:r>
      <w:r>
        <w:t xml:space="preserve"> in one campaign, repair's 4,500 searches would consume the budget and starve install entirely, and a target CPA tuned for a $200 repair call is wrong for a $6,000 system quote. Two campaigns, two budgets, two bid strategies.</w:t>
      </w:r>
    </w:p>
    <w:p/>
    <w:p>
      <w:pPr>
        <w:spacing w:before="240"/>
      </w:pPr>
      <w:r>
        <w:rPr>
          <w:b/>
          <w:color w:val="1C5CAB"/>
          <w:sz w:val="26"/>
        </w:rPr>
        <w:t>3. Water treatment / water softener — the workaround research</w:t>
      </w:r>
    </w:p>
    <w:p>
      <w:r>
        <w:rPr>
          <w:b/>
        </w:rPr>
        <w:t>The question was whether water treatment can be leveraged to get around the expensive mainstream plumbing keywords.</w:t>
      </w:r>
      <w:r>
        <w:t xml:space="preserve"> Short answer: </w:t>
      </w:r>
      <w:r>
        <w:rPr>
          <w:b/>
        </w:rPr>
        <w:t>yes, but it's a small, specific play — not a volume replacement.</w:t>
      </w:r>
      <w:r>
        <w:t xml:space="preserve"> Here's what the San Antonio data actually shows.</w:t>
      </w:r>
    </w:p>
    <w:p>
      <w:r>
        <w:rPr>
          <w:b/>
        </w:rPr>
        <w:t>Finding 1 — most "water" search volume is retail/DIY, not a service lead.</w:t>
      </w:r>
      <w:r>
        <w:t xml:space="preserve"> The largest clusters are </w:t>
      </w:r>
      <w:r>
        <w:rPr>
          <w:rFonts w:ascii="Consolas" w:hAnsi="Consolas"/>
          <w:sz w:val="17"/>
        </w:rPr>
        <w:t>reverse osmosis filter</w:t>
      </w:r>
      <w:r>
        <w:t xml:space="preserve">, </w:t>
      </w:r>
      <w:r>
        <w:rPr>
          <w:rFonts w:ascii="Consolas" w:hAnsi="Consolas"/>
          <w:sz w:val="17"/>
        </w:rPr>
        <w:t>brita</w:t>
      </w:r>
      <w:r>
        <w:t xml:space="preserve">, </w:t>
      </w:r>
      <w:r>
        <w:rPr>
          <w:rFonts w:ascii="Consolas" w:hAnsi="Consolas"/>
          <w:sz w:val="17"/>
        </w:rPr>
        <w:t>berkey</w:t>
      </w:r>
      <w:r>
        <w:t xml:space="preserve">, </w:t>
      </w:r>
      <w:r>
        <w:rPr>
          <w:rFonts w:ascii="Consolas" w:hAnsi="Consolas"/>
          <w:sz w:val="17"/>
        </w:rPr>
        <w:t>under sink filter</w:t>
      </w:r>
      <w:r>
        <w:t xml:space="preserve">, </w:t>
      </w:r>
      <w:r>
        <w:rPr>
          <w:rFonts w:ascii="Consolas" w:hAnsi="Consolas"/>
          <w:sz w:val="17"/>
        </w:rPr>
        <w:t>whole house water filter</w:t>
      </w:r>
      <w:r>
        <w:t xml:space="preserve"> — people shopping for a product on Amazon, not hiring a plumber. Bidding on those spends money against e-commerce intent. They are </w:t>
      </w:r>
      <w:r>
        <w:rPr>
          <w:b/>
        </w:rPr>
        <w:t>not</w:t>
      </w:r>
      <w:r>
        <w:t xml:space="preserve"> the workaround.</w:t>
      </w:r>
    </w:p>
    <w:p>
      <w:r>
        <w:rPr>
          <w:b/>
        </w:rPr>
        <w:t>Finding 2 — the genuine service-intent, installable cluster:</w:t>
      </w:r>
    </w:p>
    <w:tbl>
      <w:tblPr>
        <w:tblStyle w:val="TableGrid"/>
        <w:tblW w:type="auto" w:w="0"/>
        <w:jc w:val="center"/>
        <w:tblLayout w:type="autofit"/>
        <w:tblLook w:firstColumn="1" w:firstRow="1" w:lastColumn="0" w:lastRow="0" w:noHBand="0" w:noVBand="1" w:val="04A0"/>
        <w:tblW w:type="pct" w:w="5000"/>
        <w:tblLayout w:type="autofit"/>
      </w:tblPr>
      <w:tblGrid>
        <w:gridCol w:w="2556"/>
        <w:gridCol w:w="2556"/>
        <w:gridCol w:w="2556"/>
        <w:gridCol w:w="2556"/>
      </w:tblGrid>
      <w:tr>
        <w:tc>
          <w:tcPr>
            <w:tcW w:type="dxa" w:w="2556"/>
          </w:tcPr>
          <w:p>
            <w:r>
              <w:rPr>
                <w:b/>
                <w:sz w:val="17"/>
              </w:rPr>
            </w:r>
            <w:r>
              <w:rPr>
                <w:b/>
                <w:sz w:val="17"/>
              </w:rPr>
              <w:t>Keyword</w:t>
            </w:r>
          </w:p>
        </w:tc>
        <w:tc>
          <w:tcPr>
            <w:tcW w:type="dxa" w:w="2556"/>
          </w:tcPr>
          <w:p>
            <w:r>
              <w:rPr>
                <w:b/>
                <w:sz w:val="17"/>
              </w:rPr>
            </w:r>
            <w:r>
              <w:rPr>
                <w:b/>
                <w:sz w:val="17"/>
              </w:rPr>
              <w:t>Monthly vol</w:t>
            </w:r>
          </w:p>
        </w:tc>
        <w:tc>
          <w:tcPr>
            <w:tcW w:type="dxa" w:w="2556"/>
          </w:tcPr>
          <w:p>
            <w:r>
              <w:rPr>
                <w:b/>
                <w:sz w:val="17"/>
              </w:rPr>
            </w:r>
            <w:r>
              <w:rPr>
                <w:b/>
                <w:sz w:val="17"/>
              </w:rPr>
              <w:t>Competition</w:t>
            </w:r>
          </w:p>
        </w:tc>
        <w:tc>
          <w:tcPr>
            <w:tcW w:type="dxa" w:w="2556"/>
          </w:tcPr>
          <w:p>
            <w:r>
              <w:rPr>
                <w:b/>
                <w:sz w:val="17"/>
              </w:rPr>
            </w:r>
            <w:r>
              <w:rPr>
                <w:b/>
                <w:sz w:val="17"/>
              </w:rPr>
              <w:t>Top-of-page bid</w:t>
            </w:r>
          </w:p>
        </w:tc>
      </w:tr>
      <w:tr>
        <w:tc>
          <w:tcPr>
            <w:tcW w:type="dxa" w:w="2556"/>
          </w:tcPr>
          <w:p>
            <w:r>
              <w:rPr>
                <w:sz w:val="17"/>
              </w:rPr>
            </w:r>
            <w:r>
              <w:rPr>
                <w:sz w:val="17"/>
              </w:rPr>
              <w:t>whole house water filter / filtration (system)</w:t>
            </w:r>
          </w:p>
        </w:tc>
        <w:tc>
          <w:tcPr>
            <w:tcW w:type="dxa" w:w="2556"/>
          </w:tcPr>
          <w:p>
            <w:pPr>
              <w:jc w:val="right"/>
            </w:pPr>
            <w:r>
              <w:rPr>
                <w:sz w:val="17"/>
              </w:rPr>
            </w:r>
            <w:r>
              <w:rPr>
                <w:sz w:val="17"/>
              </w:rPr>
              <w:t>880</w:t>
            </w:r>
          </w:p>
        </w:tc>
        <w:tc>
          <w:tcPr>
            <w:tcW w:type="dxa" w:w="2556"/>
          </w:tcPr>
          <w:p>
            <w:pPr>
              <w:jc w:val="right"/>
            </w:pPr>
            <w:r>
              <w:rPr>
                <w:sz w:val="17"/>
              </w:rPr>
            </w:r>
            <w:r>
              <w:rPr>
                <w:sz w:val="17"/>
              </w:rPr>
              <w:t>HIGH</w:t>
            </w:r>
          </w:p>
        </w:tc>
        <w:tc>
          <w:tcPr>
            <w:tcW w:type="dxa" w:w="2556"/>
          </w:tcPr>
          <w:p>
            <w:pPr>
              <w:jc w:val="right"/>
            </w:pPr>
            <w:r>
              <w:rPr>
                <w:sz w:val="17"/>
              </w:rPr>
            </w:r>
            <w:r>
              <w:rPr>
                <w:sz w:val="17"/>
              </w:rPr>
              <w:t>$3.41–$11.32</w:t>
            </w:r>
          </w:p>
        </w:tc>
      </w:tr>
      <w:tr>
        <w:tc>
          <w:tcPr>
            <w:tcW w:type="dxa" w:w="2556"/>
          </w:tcPr>
          <w:p>
            <w:r>
              <w:rPr>
                <w:sz w:val="17"/>
              </w:rPr>
            </w:r>
            <w:r>
              <w:rPr>
                <w:sz w:val="17"/>
              </w:rPr>
              <w:t>water softener</w:t>
            </w:r>
          </w:p>
        </w:tc>
        <w:tc>
          <w:tcPr>
            <w:tcW w:type="dxa" w:w="2556"/>
          </w:tcPr>
          <w:p>
            <w:pPr>
              <w:jc w:val="right"/>
            </w:pPr>
            <w:r>
              <w:rPr>
                <w:sz w:val="17"/>
              </w:rPr>
            </w:r>
            <w:r>
              <w:rPr>
                <w:sz w:val="17"/>
              </w:rPr>
              <w:t>480</w:t>
            </w:r>
          </w:p>
        </w:tc>
        <w:tc>
          <w:tcPr>
            <w:tcW w:type="dxa" w:w="2556"/>
          </w:tcPr>
          <w:p>
            <w:pPr>
              <w:jc w:val="right"/>
            </w:pPr>
            <w:r>
              <w:rPr>
                <w:sz w:val="17"/>
              </w:rPr>
            </w:r>
            <w:r>
              <w:rPr>
                <w:sz w:val="17"/>
              </w:rPr>
              <w:t>HIGH</w:t>
            </w:r>
          </w:p>
        </w:tc>
        <w:tc>
          <w:tcPr>
            <w:tcW w:type="dxa" w:w="2556"/>
          </w:tcPr>
          <w:p>
            <w:pPr>
              <w:jc w:val="right"/>
            </w:pPr>
            <w:r>
              <w:rPr>
                <w:sz w:val="17"/>
              </w:rPr>
            </w:r>
            <w:r>
              <w:rPr>
                <w:sz w:val="17"/>
              </w:rPr>
              <w:t>$2.96–$8.62</w:t>
            </w:r>
          </w:p>
        </w:tc>
      </w:tr>
      <w:tr>
        <w:tc>
          <w:tcPr>
            <w:tcW w:type="dxa" w:w="2556"/>
          </w:tcPr>
          <w:p>
            <w:r>
              <w:rPr>
                <w:sz w:val="17"/>
              </w:rPr>
            </w:r>
            <w:r>
              <w:rPr>
                <w:b/>
                <w:sz w:val="17"/>
              </w:rPr>
              <w:t>hard water softener / system</w:t>
            </w:r>
          </w:p>
        </w:tc>
        <w:tc>
          <w:tcPr>
            <w:tcW w:type="dxa" w:w="2556"/>
          </w:tcPr>
          <w:p>
            <w:pPr>
              <w:jc w:val="right"/>
            </w:pPr>
            <w:r>
              <w:rPr>
                <w:sz w:val="17"/>
              </w:rPr>
            </w:r>
            <w:r>
              <w:rPr>
                <w:b/>
                <w:sz w:val="17"/>
              </w:rPr>
              <w:t>480</w:t>
            </w:r>
          </w:p>
        </w:tc>
        <w:tc>
          <w:tcPr>
            <w:tcW w:type="dxa" w:w="2556"/>
          </w:tcPr>
          <w:p>
            <w:pPr>
              <w:jc w:val="right"/>
            </w:pPr>
            <w:r>
              <w:rPr>
                <w:sz w:val="17"/>
              </w:rPr>
            </w:r>
            <w:r>
              <w:rPr>
                <w:b/>
                <w:sz w:val="17"/>
              </w:rPr>
              <w:t>MEDIUM</w:t>
            </w:r>
          </w:p>
        </w:tc>
        <w:tc>
          <w:tcPr>
            <w:tcW w:type="dxa" w:w="2556"/>
          </w:tcPr>
          <w:p>
            <w:pPr>
              <w:jc w:val="right"/>
            </w:pPr>
            <w:r>
              <w:rPr>
                <w:sz w:val="17"/>
              </w:rPr>
            </w:r>
            <w:r>
              <w:rPr>
                <w:b/>
                <w:sz w:val="17"/>
              </w:rPr>
              <w:t>low/no bid data</w:t>
            </w:r>
          </w:p>
        </w:tc>
      </w:tr>
      <w:tr>
        <w:tc>
          <w:tcPr>
            <w:tcW w:type="dxa" w:w="2556"/>
          </w:tcPr>
          <w:p>
            <w:r>
              <w:rPr>
                <w:sz w:val="17"/>
              </w:rPr>
            </w:r>
            <w:r>
              <w:rPr>
                <w:b/>
                <w:sz w:val="17"/>
              </w:rPr>
              <w:t>water softener for hard water</w:t>
            </w:r>
          </w:p>
        </w:tc>
        <w:tc>
          <w:tcPr>
            <w:tcW w:type="dxa" w:w="2556"/>
          </w:tcPr>
          <w:p>
            <w:pPr>
              <w:jc w:val="right"/>
            </w:pPr>
            <w:r>
              <w:rPr>
                <w:sz w:val="17"/>
              </w:rPr>
            </w:r>
            <w:r>
              <w:rPr>
                <w:b/>
                <w:sz w:val="17"/>
              </w:rPr>
              <w:t>480</w:t>
            </w:r>
          </w:p>
        </w:tc>
        <w:tc>
          <w:tcPr>
            <w:tcW w:type="dxa" w:w="2556"/>
          </w:tcPr>
          <w:p>
            <w:pPr>
              <w:jc w:val="right"/>
            </w:pPr>
            <w:r>
              <w:rPr>
                <w:sz w:val="17"/>
              </w:rPr>
            </w:r>
            <w:r>
              <w:rPr>
                <w:b/>
                <w:sz w:val="17"/>
              </w:rPr>
              <w:t>MEDIUM</w:t>
            </w:r>
          </w:p>
        </w:tc>
        <w:tc>
          <w:tcPr>
            <w:tcW w:type="dxa" w:w="2556"/>
          </w:tcPr>
          <w:p>
            <w:pPr>
              <w:jc w:val="right"/>
            </w:pPr>
            <w:r>
              <w:rPr>
                <w:sz w:val="17"/>
              </w:rPr>
            </w:r>
            <w:r>
              <w:rPr>
                <w:b/>
                <w:sz w:val="17"/>
              </w:rPr>
              <w:t>low/no bid data</w:t>
            </w:r>
          </w:p>
        </w:tc>
      </w:tr>
      <w:tr>
        <w:tc>
          <w:tcPr>
            <w:tcW w:type="dxa" w:w="2556"/>
          </w:tcPr>
          <w:p>
            <w:r>
              <w:rPr>
                <w:sz w:val="17"/>
              </w:rPr>
            </w:r>
            <w:r>
              <w:rPr>
                <w:sz w:val="17"/>
              </w:rPr>
              <w:t>water softener system</w:t>
            </w:r>
          </w:p>
        </w:tc>
        <w:tc>
          <w:tcPr>
            <w:tcW w:type="dxa" w:w="2556"/>
          </w:tcPr>
          <w:p>
            <w:pPr>
              <w:jc w:val="right"/>
            </w:pPr>
            <w:r>
              <w:rPr>
                <w:sz w:val="17"/>
              </w:rPr>
            </w:r>
            <w:r>
              <w:rPr>
                <w:sz w:val="17"/>
              </w:rPr>
              <w:t>320</w:t>
            </w:r>
          </w:p>
        </w:tc>
        <w:tc>
          <w:tcPr>
            <w:tcW w:type="dxa" w:w="2556"/>
          </w:tcPr>
          <w:p>
            <w:pPr>
              <w:jc w:val="right"/>
            </w:pPr>
            <w:r>
              <w:rPr>
                <w:sz w:val="17"/>
              </w:rPr>
            </w:r>
            <w:r>
              <w:rPr>
                <w:sz w:val="17"/>
              </w:rPr>
              <w:t>HIGH</w:t>
            </w:r>
          </w:p>
        </w:tc>
        <w:tc>
          <w:tcPr>
            <w:tcW w:type="dxa" w:w="2556"/>
          </w:tcPr>
          <w:p>
            <w:pPr>
              <w:jc w:val="right"/>
            </w:pPr>
            <w:r>
              <w:rPr>
                <w:sz w:val="17"/>
              </w:rPr>
            </w:r>
            <w:r>
              <w:rPr>
                <w:sz w:val="17"/>
              </w:rPr>
              <w:t>$3.27–$10.94</w:t>
            </w:r>
          </w:p>
        </w:tc>
      </w:tr>
    </w:tbl>
    <w:p/>
    <w:p>
      <w:r>
        <w:rPr>
          <w:b/>
        </w:rPr>
        <w:t>Finding 3 — this is genuinely cheaper than core plumbing.</w:t>
      </w:r>
      <w:r>
        <w:t xml:space="preserve"> Water-softener top-of-page bids run </w:t>
      </w:r>
      <w:r>
        <w:rPr>
          <w:b/>
        </w:rPr>
        <w:t>$3–$11</w:t>
      </w:r>
      <w:r>
        <w:t xml:space="preserve">. For comparison, the account's live </w:t>
      </w:r>
      <w:r>
        <w:rPr>
          <w:b/>
        </w:rPr>
        <w:t>Nonbranded Plumbing campaign is paying a $3.10 avg CPC but on terms where it loses 83% of impression share to rank</w:t>
      </w:r>
      <w:r>
        <w:t>, and mainstream emergency-plumbing terms bid far higher. Softener clicks are a fraction of the cost of "plumber near me" style terms.</w:t>
      </w:r>
    </w:p>
    <w:p>
      <w:r>
        <w:rPr>
          <w:b/>
        </w:rPr>
        <w:t>The actual workaround (what to bring back as "the possibilities"):</w:t>
      </w:r>
    </w:p>
    <w:p>
      <w:pPr>
        <w:pStyle w:val="ListNumber"/>
      </w:pPr>
      <w:r>
        <w:rPr>
          <w:b/>
        </w:rPr>
        <w:t>A dedicated water-treatment Search campaign</w:t>
      </w:r>
      <w:r>
        <w:t xml:space="preserve"> built on the softener/treatment cluster (~1,600 service-intent searches/mo), </w:t>
      </w:r>
      <w:r>
        <w:rPr>
          <w:b/>
        </w:rPr>
        <w:t>not</w:t>
      </w:r>
      <w:r>
        <w:t xml:space="preserve"> the retail filter terms. Tight match types, negatives for </w:t>
      </w:r>
      <w:r>
        <w:rPr>
          <w:rFonts w:ascii="Consolas" w:hAnsi="Consolas"/>
          <w:sz w:val="17"/>
        </w:rPr>
        <w:t>brita</w:t>
      </w:r>
      <w:r>
        <w:t xml:space="preserve">, </w:t>
      </w:r>
      <w:r>
        <w:rPr>
          <w:rFonts w:ascii="Consolas" w:hAnsi="Consolas"/>
          <w:sz w:val="17"/>
        </w:rPr>
        <w:t>berkey</w:t>
      </w:r>
      <w:r>
        <w:t xml:space="preserve">, </w:t>
      </w:r>
      <w:r>
        <w:rPr>
          <w:rFonts w:ascii="Consolas" w:hAnsi="Consolas"/>
          <w:sz w:val="17"/>
        </w:rPr>
        <w:t>pitcher</w:t>
      </w:r>
      <w:r>
        <w:t xml:space="preserve">, </w:t>
      </w:r>
      <w:r>
        <w:rPr>
          <w:rFonts w:ascii="Consolas" w:hAnsi="Consolas"/>
          <w:sz w:val="17"/>
        </w:rPr>
        <w:t>countertop</w:t>
      </w:r>
      <w:r>
        <w:t xml:space="preserve">, </w:t>
      </w:r>
      <w:r>
        <w:rPr>
          <w:rFonts w:ascii="Consolas" w:hAnsi="Consolas"/>
          <w:sz w:val="17"/>
        </w:rPr>
        <w:t>refrigerator</w:t>
      </w:r>
      <w:r>
        <w:t xml:space="preserve">, </w:t>
      </w:r>
      <w:r>
        <w:rPr>
          <w:rFonts w:ascii="Consolas" w:hAnsi="Consolas"/>
          <w:sz w:val="17"/>
        </w:rPr>
        <w:t>replacement cartridge</w:t>
      </w:r>
      <w:r>
        <w:t xml:space="preserve"> — those are shoppers, not leads.</w:t>
      </w:r>
    </w:p>
    <w:p>
      <w:pPr>
        <w:pStyle w:val="ListNumber"/>
      </w:pPr>
      <w:r>
        <w:rPr>
          <w:b/>
        </w:rPr>
        <w:t>Lean on the two MEDIUM-competition terms</w:t>
      </w:r>
      <w:r>
        <w:t xml:space="preserve"> — </w:t>
      </w:r>
      <w:r>
        <w:rPr>
          <w:rFonts w:ascii="Consolas" w:hAnsi="Consolas"/>
          <w:sz w:val="17"/>
        </w:rPr>
        <w:t>hard water softener</w:t>
      </w:r>
      <w:r>
        <w:t xml:space="preserve"> and </w:t>
      </w:r>
      <w:r>
        <w:rPr>
          <w:rFonts w:ascii="Consolas" w:hAnsi="Consolas"/>
          <w:sz w:val="17"/>
        </w:rPr>
        <w:t>water softener for hard water</w:t>
      </w:r>
      <w:r>
        <w:t xml:space="preserve"> (480/mo each). Medium competition in a HIGH-competition category is the seam. Cheaper clicks, and San Antonio has famously hard water, so local intent is real.</w:t>
      </w:r>
    </w:p>
    <w:p>
      <w:pPr>
        <w:pStyle w:val="ListNumber"/>
      </w:pPr>
      <w:r>
        <w:rPr>
          <w:b/>
        </w:rPr>
        <w:t>Frame it as a wedge, not a pillar.</w:t>
      </w:r>
      <w:r>
        <w:t xml:space="preserve"> It's ~1,600 qualified searches/month vs 4,500+ for AC repair alone. It won't replace plumbing volume — it captures cheaper, high-ticket install leads (a softener install is a $2–5k job) that the expensive core-plumbing terms price you out of. That is exactly the "work around the expensive keywords" Jonathan asked about.</w:t>
      </w:r>
    </w:p>
    <w:p>
      <w:pPr>
        <w:pStyle w:val="ListNumber"/>
      </w:pPr>
      <w:r>
        <w:rPr>
          <w:b/>
        </w:rPr>
        <w:t>The account already has a `Water Softening Equipment` campaign</w:t>
      </w:r>
      <w:r>
        <w:t xml:space="preserve"> (currently paused, spent $601 historically). This is a re-activation and re-scope, not a build from zero.</w:t>
      </w:r>
    </w:p>
    <w:p/>
    <w:p>
      <w:pPr>
        <w:spacing w:before="240"/>
      </w:pPr>
      <w:r>
        <w:rPr>
          <w:b/>
          <w:color w:val="1C5CAB"/>
          <w:sz w:val="26"/>
        </w:rPr>
        <w:t>Status of all four commitments</w:t>
      </w:r>
    </w:p>
    <w:tbl>
      <w:tblPr>
        <w:tblStyle w:val="TableGrid"/>
        <w:tblW w:type="auto" w:w="0"/>
        <w:jc w:val="center"/>
        <w:tblLayout w:type="autofit"/>
        <w:tblLook w:firstColumn="1" w:firstRow="1" w:lastColumn="0" w:lastRow="0" w:noHBand="0" w:noVBand="1" w:val="04A0"/>
        <w:tblW w:type="pct" w:w="5000"/>
        <w:tblLayout w:type="autofit"/>
      </w:tblPr>
      <w:tblGrid>
        <w:gridCol w:w="5112"/>
        <w:gridCol w:w="5112"/>
      </w:tblGrid>
      <w:tr>
        <w:tc>
          <w:tcPr>
            <w:tcW w:type="dxa" w:w="5112"/>
          </w:tcPr>
          <w:p>
            <w:r>
              <w:rPr>
                <w:b/>
                <w:sz w:val="17"/>
              </w:rPr>
            </w:r>
            <w:r>
              <w:rPr>
                <w:b/>
                <w:sz w:val="17"/>
              </w:rPr>
              <w:t>Commitment</w:t>
            </w:r>
          </w:p>
        </w:tc>
        <w:tc>
          <w:tcPr>
            <w:tcW w:type="dxa" w:w="5112"/>
          </w:tcPr>
          <w:p>
            <w:r>
              <w:rPr>
                <w:b/>
                <w:sz w:val="17"/>
              </w:rPr>
            </w:r>
            <w:r>
              <w:rPr>
                <w:b/>
                <w:sz w:val="17"/>
              </w:rPr>
              <w:t>Status</w:t>
            </w:r>
          </w:p>
        </w:tc>
      </w:tr>
      <w:tr>
        <w:tc>
          <w:tcPr>
            <w:tcW w:type="dxa" w:w="5112"/>
          </w:tcPr>
          <w:p>
            <w:r>
              <w:rPr>
                <w:sz w:val="17"/>
              </w:rPr>
            </w:r>
            <w:r>
              <w:rPr>
                <w:sz w:val="17"/>
              </w:rPr>
              <w:t>Historical spend pull (was Problem Solvers' budget higher?)</w:t>
            </w:r>
          </w:p>
        </w:tc>
        <w:tc>
          <w:tcPr>
            <w:tcW w:type="dxa" w:w="5112"/>
          </w:tcPr>
          <w:p>
            <w:pPr>
              <w:jc w:val="right"/>
            </w:pPr>
            <w:r>
              <w:rPr>
                <w:sz w:val="17"/>
              </w:rPr>
            </w:r>
            <w:r>
              <w:rPr>
                <w:b/>
                <w:sz w:val="17"/>
              </w:rPr>
              <w:t>Done</w:t>
            </w:r>
            <w:r>
              <w:rPr>
                <w:sz w:val="17"/>
              </w:rPr>
              <w:t xml:space="preserve"> — </w:t>
            </w:r>
            <w:r>
              <w:rPr>
                <w:rFonts w:ascii="Consolas" w:hAnsi="Consolas"/>
                <w:sz w:val="17"/>
              </w:rPr>
              <w:t>budget-analysis-2025-2026.md</w:t>
            </w:r>
            <w:r>
              <w:rPr>
                <w:sz w:val="17"/>
              </w:rPr>
              <w:t xml:space="preserve"> + chart</w:t>
            </w:r>
          </w:p>
        </w:tc>
      </w:tr>
      <w:tr>
        <w:tc>
          <w:tcPr>
            <w:tcW w:type="dxa" w:w="5112"/>
          </w:tcPr>
          <w:p>
            <w:r>
              <w:rPr>
                <w:sz w:val="17"/>
              </w:rPr>
            </w:r>
            <w:r>
              <w:rPr>
                <w:sz w:val="17"/>
              </w:rPr>
              <w:t>Google deck: LSA-to-PPC connection doesn't matter</w:t>
            </w:r>
          </w:p>
        </w:tc>
        <w:tc>
          <w:tcPr>
            <w:tcW w:type="dxa" w:w="5112"/>
          </w:tcPr>
          <w:p>
            <w:pPr>
              <w:jc w:val="right"/>
            </w:pPr>
            <w:r>
              <w:rPr>
                <w:sz w:val="17"/>
              </w:rPr>
            </w:r>
            <w:r>
              <w:rPr>
                <w:b/>
                <w:sz w:val="17"/>
              </w:rPr>
              <w:t>Done</w:t>
            </w:r>
            <w:r>
              <w:rPr>
                <w:sz w:val="17"/>
              </w:rPr>
              <w:t xml:space="preserve"> — confirmed on the June 29 call, recorded in §6 of the review</w:t>
            </w:r>
          </w:p>
        </w:tc>
      </w:tr>
      <w:tr>
        <w:tc>
          <w:tcPr>
            <w:tcW w:type="dxa" w:w="5112"/>
          </w:tcPr>
          <w:p>
            <w:r>
              <w:rPr>
                <w:sz w:val="17"/>
              </w:rPr>
            </w:r>
            <w:r>
              <w:rPr>
                <w:sz w:val="17"/>
              </w:rPr>
              <w:t>Good/better/best budget brackets + AC strategy + past-PPC review</w:t>
            </w:r>
          </w:p>
        </w:tc>
        <w:tc>
          <w:tcPr>
            <w:tcW w:type="dxa" w:w="5112"/>
          </w:tcPr>
          <w:p>
            <w:pPr>
              <w:jc w:val="right"/>
            </w:pPr>
            <w:r>
              <w:rPr>
                <w:sz w:val="17"/>
              </w:rPr>
            </w:r>
            <w:r>
              <w:rPr>
                <w:b/>
                <w:sz w:val="17"/>
              </w:rPr>
              <w:t>Done</w:t>
            </w:r>
            <w:r>
              <w:rPr>
                <w:sz w:val="17"/>
              </w:rPr>
              <w:t xml:space="preserve"> — this doc (§1–2) + past-PPC in the review</w:t>
            </w:r>
          </w:p>
        </w:tc>
      </w:tr>
      <w:tr>
        <w:tc>
          <w:tcPr>
            <w:tcW w:type="dxa" w:w="5112"/>
          </w:tcPr>
          <w:p>
            <w:r>
              <w:rPr>
                <w:sz w:val="17"/>
              </w:rPr>
            </w:r>
            <w:r>
              <w:rPr>
                <w:sz w:val="17"/>
              </w:rPr>
              <w:t>Water treatment / softener keyword research</w:t>
            </w:r>
          </w:p>
        </w:tc>
        <w:tc>
          <w:tcPr>
            <w:tcW w:type="dxa" w:w="5112"/>
          </w:tcPr>
          <w:p>
            <w:pPr>
              <w:jc w:val="right"/>
            </w:pPr>
            <w:r>
              <w:rPr>
                <w:sz w:val="17"/>
              </w:rPr>
            </w:r>
            <w:r>
              <w:rPr>
                <w:b/>
                <w:sz w:val="17"/>
              </w:rPr>
              <w:t>Done</w:t>
            </w:r>
            <w:r>
              <w:rPr>
                <w:sz w:val="17"/>
              </w:rPr>
              <w:t xml:space="preserve"> — this doc (§3)</w:t>
            </w:r>
          </w:p>
        </w:tc>
      </w:tr>
    </w:tbl>
    <w:p/>
    <w:p>
      <w:r>
        <w:rPr>
          <w:b/>
        </w:rPr>
        <w:t>Open dependency across all of it:</w:t>
      </w:r>
      <w:r>
        <w:t xml:space="preserve"> the conversion-tracking fix. The budget brackets assume the account can measure a lead again — spending toward BETTER/BEST only makes sense once the signal is back, otherwise smart bidding scales on noise.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