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0EA5E9"/>
          <w:sz w:val="19"/>
        </w:rPr>
        <w:t>RELATÓRIO TÉCNICO EXECUTIVO • P01 — GESTÃO EDITORIAL E AUTOMAÇÃO EM SAÚDE PREVENTIVA</w:t>
      </w:r>
    </w:p>
    <w:p>
      <w:pPr>
        <w:spacing w:before="0" w:after="80"/>
      </w:pPr>
      <w:r>
        <w:rPr>
          <w:rFonts w:ascii="Calibri" w:hAnsi="Calibri"/>
          <w:b/>
          <w:color w:val="1E3A8A"/>
          <w:sz w:val="44"/>
        </w:rPr>
        <w:t>AppSaúde: Governança Editorial, Curadoria RSS da OMS e IA com Guardrails Éticos</w:t>
      </w:r>
    </w:p>
    <w:p>
      <w:pPr>
        <w:spacing w:before="0" w:after="280"/>
      </w:pPr>
      <w:r>
        <w:rPr>
          <w:rFonts w:ascii="Calibri" w:hAnsi="Calibri"/>
          <w:i/>
          <w:color w:val="64748B"/>
          <w:sz w:val="22"/>
        </w:rPr>
        <w:t>Plataforma Full-Stack em Next.js 14, Notion Headless CMS, OpenAI GPT-4o-mini e Paradigma Human-in-the-Loop</w:t>
      </w:r>
    </w:p>
    <w:p>
      <w:pPr>
        <w:spacing w:before="0" w:after="240"/>
        <w:pBdr>
          <w:bottom w:val="single" w:sz="8" w:space="4" w:color="0EA5E9"/>
        </w:pBdr>
      </w:pPr>
    </w:p>
    <w:p>
      <w:pPr>
        <w:keepNext/>
        <w:spacing w:before="320" w:after="120"/>
      </w:pPr>
      <w:r>
        <w:rPr>
          <w:rFonts w:ascii="Calibri" w:hAnsi="Calibri"/>
          <w:b/>
          <w:color w:val="1E3A8A"/>
          <w:sz w:val="28"/>
        </w:rPr>
        <w:t>1. Resumo Executivo e Proposta de Valor</w:t>
      </w:r>
    </w:p>
    <w:p>
      <w:r>
        <w:t>O AppSaúde é uma plataforma web full-stack concebida para solucionar um dos maiores dilemas da comunicação institucional moderna: como produzir conteúdos preventivos de saúde corporativa com regularidade, sem sobrecarregar equipes especializadas e, simultaneamente, sem incorrer em riscos legais, éticos ou sanitários decorrentes do uso descontrolado de inteligência artificial generativa.</w:t>
      </w:r>
    </w:p>
    <w:p>
      <w:r>
        <w:t>A solução combina ingestão em tempo real de notícias da Organização Mundial da Saúde (OMS), geração assistida por IA blindada por guardrails clínicos restritivos (persona da Enfermeira Isabela), persistência desacoplada na API do Notion (utilizada como Headless CMS) e um fluxo editorial rigorosamente Human-in-the-Loop, onde nenhuma pauta é veiculada sem a validação expressa do especialista responsável.</w:t>
      </w:r>
    </w:p>
    <w:tbl>
      <w:tblPr>
        <w:tblW w:type="auto" w:w="0"/>
        <w:jc w:val="center"/>
        <w:tblLayout w:type="fixed"/>
        <w:tblLook w:firstColumn="1" w:firstRow="1" w:lastColumn="0" w:lastRow="0" w:noHBand="0" w:noVBand="1" w:val="04A0"/>
      </w:tblPr>
      <w:tblGrid>
        <w:gridCol w:w="9360"/>
      </w:tblGrid>
      <w:tr>
        <w:tc>
          <w:tcPr>
            <w:tcW w:type="dxa" w:w="9360"/>
            <w:shd w:fill="F8FAFC"/>
            <w:tcMar>
              <w:top w:w="140" w:type="dxa"/>
              <w:bottom w:w="140" w:type="dxa"/>
              <w:left w:w="200" w:type="dxa"/>
              <w:right w:w="140" w:type="dxa"/>
            </w:tcMar>
            <w:tcBorders>
              <w:left w:val="single" w:sz="24" w:space="0" w:color="1E3A8A"/>
              <w:top w:val="none"/>
              <w:right w:val="none"/>
              <w:bottom w:val="none"/>
            </w:tcBorders>
          </w:tcPr>
          <w:p>
            <w:pPr>
              <w:spacing w:before="0" w:after="40"/>
            </w:pPr>
            <w:r>
              <w:rPr>
                <w:rFonts w:ascii="Calibri" w:hAnsi="Calibri"/>
                <w:b/>
                <w:color w:val="1E3A8A"/>
                <w:sz w:val="21"/>
              </w:rPr>
              <w:t>💡 SEGURANÇA ÉTICO-SANITÁRIA</w:t>
              <w:br/>
            </w:r>
            <w:r>
              <w:rPr>
                <w:rFonts w:ascii="Calibri" w:hAnsi="Calibri"/>
                <w:color w:val="1E293B"/>
                <w:sz w:val="20"/>
              </w:rPr>
              <w:t>Diferencial de Engenharia Ética: O sistema veda expressamente qualquer menção a nomes de medicamentos, dosagens, promessas terapêuticas ou diagnósticos à distância, formatando posts exclusivamente voltados a hábitos cotidianos, ergonomia, sono e prevenção não-farmacológica.</w:t>
            </w:r>
          </w:p>
        </w:tc>
      </w:tr>
    </w:tbl>
    <w:p>
      <w:pPr>
        <w:spacing w:after="80"/>
      </w:pPr>
    </w:p>
    <w:p>
      <w:pPr>
        <w:keepNext/>
        <w:spacing w:before="320" w:after="120"/>
      </w:pPr>
      <w:r>
        <w:rPr>
          <w:rFonts w:ascii="Calibri" w:hAnsi="Calibri"/>
          <w:b/>
          <w:color w:val="1E3A8A"/>
          <w:sz w:val="28"/>
        </w:rPr>
        <w:t>2. Arquitetura do Sistema e Tecnologias</w:t>
      </w:r>
    </w:p>
    <w:p>
      <w:r>
        <w:t>A aplicação é estruturada sobre o ecossistema do Next.js 14 (App Router), dividida em camadas desacopladas:</w:t>
      </w:r>
    </w:p>
    <w:tbl>
      <w:tblPr>
        <w:tblW w:type="auto" w:w="0"/>
        <w:jc w:val="center"/>
        <w:tblLayout w:type="fixed"/>
        <w:tblLook w:firstColumn="1" w:firstRow="1" w:lastColumn="0" w:lastRow="0" w:noHBand="0" w:noVBand="1" w:val="04A0"/>
      </w:tblPr>
      <w:tblGrid>
        <w:gridCol w:w="3120"/>
        <w:gridCol w:w="3120"/>
        <w:gridCol w:w="3120"/>
      </w:tblGrid>
      <w:tr>
        <w:tc>
          <w:tcPr>
            <w:tcW w:type="dxa" w:w="2592"/>
            <w:shd w:fill="1E3A8A"/>
            <w:tcMar>
              <w:top w:w="100" w:type="dxa"/>
              <w:bottom w:w="100" w:type="dxa"/>
              <w:left w:w="120" w:type="dxa"/>
              <w:right w:w="120" w:type="dxa"/>
            </w:tcMar>
          </w:tcPr>
          <w:p>
            <w:pPr>
              <w:jc w:val="left"/>
            </w:pPr>
            <w:r>
              <w:rPr>
                <w:rFonts w:ascii="Calibri" w:hAnsi="Calibri"/>
                <w:b/>
                <w:color w:val="FFFFFF"/>
                <w:sz w:val="19"/>
              </w:rPr>
              <w:t>Camada / Módulo</w:t>
            </w:r>
          </w:p>
        </w:tc>
        <w:tc>
          <w:tcPr>
            <w:tcW w:type="dxa" w:w="2592"/>
            <w:shd w:fill="1E3A8A"/>
            <w:tcMar>
              <w:top w:w="100" w:type="dxa"/>
              <w:bottom w:w="100" w:type="dxa"/>
              <w:left w:w="120" w:type="dxa"/>
              <w:right w:w="120" w:type="dxa"/>
            </w:tcMar>
          </w:tcPr>
          <w:p>
            <w:pPr>
              <w:jc w:val="left"/>
            </w:pPr>
            <w:r>
              <w:rPr>
                <w:rFonts w:ascii="Calibri" w:hAnsi="Calibri"/>
                <w:b/>
                <w:color w:val="FFFFFF"/>
                <w:sz w:val="19"/>
              </w:rPr>
              <w:t>Tecnologia</w:t>
            </w:r>
          </w:p>
        </w:tc>
        <w:tc>
          <w:tcPr>
            <w:tcW w:type="dxa" w:w="4176"/>
            <w:shd w:fill="1E3A8A"/>
            <w:tcMar>
              <w:top w:w="100" w:type="dxa"/>
              <w:bottom w:w="100" w:type="dxa"/>
              <w:left w:w="120" w:type="dxa"/>
              <w:right w:w="120" w:type="dxa"/>
            </w:tcMar>
          </w:tcPr>
          <w:p>
            <w:pPr>
              <w:jc w:val="left"/>
            </w:pPr>
            <w:r>
              <w:rPr>
                <w:rFonts w:ascii="Calibri" w:hAnsi="Calibri"/>
                <w:b/>
                <w:color w:val="FFFFFF"/>
                <w:sz w:val="19"/>
              </w:rPr>
              <w:t>Responsabilidade Operacional</w:t>
            </w:r>
          </w:p>
        </w:tc>
      </w:tr>
      <w:tr>
        <w:tc>
          <w:tcPr>
            <w:tcW w:type="dxa" w:w="2592"/>
            <w:shd w:fill="FFFFFF"/>
            <w:tcMar>
              <w:top w:w="80" w:type="dxa"/>
              <w:bottom w:w="80" w:type="dxa"/>
              <w:left w:w="120" w:type="dxa"/>
              <w:right w:w="120" w:type="dxa"/>
            </w:tcMar>
          </w:tcPr>
          <w:p>
            <w:r>
              <w:rPr>
                <w:rFonts w:ascii="Calibri" w:hAnsi="Calibri"/>
                <w:color w:val="1E293B"/>
                <w:sz w:val="18"/>
              </w:rPr>
              <w:t>Interface do Usuário</w:t>
            </w:r>
          </w:p>
        </w:tc>
        <w:tc>
          <w:tcPr>
            <w:tcW w:type="dxa" w:w="2592"/>
            <w:shd w:fill="FFFFFF"/>
            <w:tcMar>
              <w:top w:w="80" w:type="dxa"/>
              <w:bottom w:w="80" w:type="dxa"/>
              <w:left w:w="120" w:type="dxa"/>
              <w:right w:w="120" w:type="dxa"/>
            </w:tcMar>
          </w:tcPr>
          <w:p>
            <w:r>
              <w:rPr>
                <w:rFonts w:ascii="Calibri" w:hAnsi="Calibri"/>
                <w:color w:val="1E293B"/>
                <w:sz w:val="18"/>
              </w:rPr>
              <w:t>React 18.3, PostCSS, CSS Modules</w:t>
            </w:r>
          </w:p>
        </w:tc>
        <w:tc>
          <w:tcPr>
            <w:tcW w:type="dxa" w:w="4176"/>
            <w:shd w:fill="FFFFFF"/>
            <w:tcMar>
              <w:top w:w="80" w:type="dxa"/>
              <w:bottom w:w="80" w:type="dxa"/>
              <w:left w:w="120" w:type="dxa"/>
              <w:right w:w="120" w:type="dxa"/>
            </w:tcMar>
          </w:tcPr>
          <w:p>
            <w:r>
              <w:rPr>
                <w:rFonts w:ascii="Calibri" w:hAnsi="Calibri"/>
                <w:color w:val="1E293B"/>
                <w:sz w:val="18"/>
              </w:rPr>
              <w:t>Painel web administrativo com kanban de pautas e botões de aprovação rápida</w:t>
            </w:r>
          </w:p>
        </w:tc>
      </w:tr>
      <w:tr>
        <w:tc>
          <w:tcPr>
            <w:tcW w:type="dxa" w:w="2592"/>
            <w:shd w:fill="F1F5F9"/>
            <w:tcMar>
              <w:top w:w="80" w:type="dxa"/>
              <w:bottom w:w="80" w:type="dxa"/>
              <w:left w:w="120" w:type="dxa"/>
              <w:right w:w="120" w:type="dxa"/>
            </w:tcMar>
          </w:tcPr>
          <w:p>
            <w:r>
              <w:rPr>
                <w:rFonts w:ascii="Calibri" w:hAnsi="Calibri"/>
                <w:color w:val="1E293B"/>
                <w:sz w:val="18"/>
              </w:rPr>
              <w:t>API Gateway Serverless</w:t>
            </w:r>
          </w:p>
        </w:tc>
        <w:tc>
          <w:tcPr>
            <w:tcW w:type="dxa" w:w="2592"/>
            <w:shd w:fill="F1F5F9"/>
            <w:tcMar>
              <w:top w:w="80" w:type="dxa"/>
              <w:bottom w:w="80" w:type="dxa"/>
              <w:left w:w="120" w:type="dxa"/>
              <w:right w:w="120" w:type="dxa"/>
            </w:tcMar>
          </w:tcPr>
          <w:p>
            <w:r>
              <w:rPr>
                <w:rFonts w:ascii="Calibri" w:hAnsi="Calibri"/>
                <w:color w:val="1E293B"/>
                <w:sz w:val="18"/>
              </w:rPr>
              <w:t>Next.js 14 (App Router Routes)</w:t>
            </w:r>
          </w:p>
        </w:tc>
        <w:tc>
          <w:tcPr>
            <w:tcW w:type="dxa" w:w="4176"/>
            <w:shd w:fill="F1F5F9"/>
            <w:tcMar>
              <w:top w:w="80" w:type="dxa"/>
              <w:bottom w:w="80" w:type="dxa"/>
              <w:left w:w="120" w:type="dxa"/>
              <w:right w:w="120" w:type="dxa"/>
            </w:tcMar>
          </w:tcPr>
          <w:p>
            <w:r>
              <w:rPr>
                <w:rFonts w:ascii="Calibri" w:hAnsi="Calibri"/>
                <w:color w:val="1E293B"/>
                <w:sz w:val="18"/>
              </w:rPr>
              <w:t>Processamento de requisições, endpoints de news, transform, approve e reject</w:t>
            </w:r>
          </w:p>
        </w:tc>
      </w:tr>
      <w:tr>
        <w:tc>
          <w:tcPr>
            <w:tcW w:type="dxa" w:w="2592"/>
            <w:shd w:fill="FFFFFF"/>
            <w:tcMar>
              <w:top w:w="80" w:type="dxa"/>
              <w:bottom w:w="80" w:type="dxa"/>
              <w:left w:w="120" w:type="dxa"/>
              <w:right w:w="120" w:type="dxa"/>
            </w:tcMar>
          </w:tcPr>
          <w:p>
            <w:r>
              <w:rPr>
                <w:rFonts w:ascii="Calibri" w:hAnsi="Calibri"/>
                <w:color w:val="1E293B"/>
                <w:sz w:val="18"/>
              </w:rPr>
              <w:t>Curadoria RSS</w:t>
            </w:r>
          </w:p>
        </w:tc>
        <w:tc>
          <w:tcPr>
            <w:tcW w:type="dxa" w:w="2592"/>
            <w:shd w:fill="FFFFFF"/>
            <w:tcMar>
              <w:top w:w="80" w:type="dxa"/>
              <w:bottom w:w="80" w:type="dxa"/>
              <w:left w:w="120" w:type="dxa"/>
              <w:right w:w="120" w:type="dxa"/>
            </w:tcMar>
          </w:tcPr>
          <w:p>
            <w:r>
              <w:rPr>
                <w:rFonts w:ascii="Calibri" w:hAnsi="Calibri"/>
                <w:color w:val="1E293B"/>
                <w:sz w:val="18"/>
              </w:rPr>
              <w:t>rss-parser (v3.13)</w:t>
            </w:r>
          </w:p>
        </w:tc>
        <w:tc>
          <w:tcPr>
            <w:tcW w:type="dxa" w:w="4176"/>
            <w:shd w:fill="FFFFFF"/>
            <w:tcMar>
              <w:top w:w="80" w:type="dxa"/>
              <w:bottom w:w="80" w:type="dxa"/>
              <w:left w:w="120" w:type="dxa"/>
              <w:right w:w="120" w:type="dxa"/>
            </w:tcMar>
          </w:tcPr>
          <w:p>
            <w:r>
              <w:rPr>
                <w:rFonts w:ascii="Calibri" w:hAnsi="Calibri"/>
                <w:color w:val="1E293B"/>
                <w:sz w:val="18"/>
              </w:rPr>
              <w:t>Leitura assíncrona e extração de notícias globais da OMS (who.int)</w:t>
            </w:r>
          </w:p>
        </w:tc>
      </w:tr>
      <w:tr>
        <w:tc>
          <w:tcPr>
            <w:tcW w:type="dxa" w:w="2592"/>
            <w:shd w:fill="F1F5F9"/>
            <w:tcMar>
              <w:top w:w="80" w:type="dxa"/>
              <w:bottom w:w="80" w:type="dxa"/>
              <w:left w:w="120" w:type="dxa"/>
              <w:right w:w="120" w:type="dxa"/>
            </w:tcMar>
          </w:tcPr>
          <w:p>
            <w:r>
              <w:rPr>
                <w:rFonts w:ascii="Calibri" w:hAnsi="Calibri"/>
                <w:color w:val="1E293B"/>
                <w:sz w:val="18"/>
              </w:rPr>
              <w:t>Motor de Inteligência Artificial</w:t>
            </w:r>
          </w:p>
        </w:tc>
        <w:tc>
          <w:tcPr>
            <w:tcW w:type="dxa" w:w="2592"/>
            <w:shd w:fill="F1F5F9"/>
            <w:tcMar>
              <w:top w:w="80" w:type="dxa"/>
              <w:bottom w:w="80" w:type="dxa"/>
              <w:left w:w="120" w:type="dxa"/>
              <w:right w:w="120" w:type="dxa"/>
            </w:tcMar>
          </w:tcPr>
          <w:p>
            <w:r>
              <w:rPr>
                <w:rFonts w:ascii="Calibri" w:hAnsi="Calibri"/>
                <w:color w:val="1E293B"/>
                <w:sz w:val="18"/>
              </w:rPr>
              <w:t>OpenAI Node SDK (GPT-4o-mini)</w:t>
            </w:r>
          </w:p>
        </w:tc>
        <w:tc>
          <w:tcPr>
            <w:tcW w:type="dxa" w:w="4176"/>
            <w:shd w:fill="F1F5F9"/>
            <w:tcMar>
              <w:top w:w="80" w:type="dxa"/>
              <w:bottom w:w="80" w:type="dxa"/>
              <w:left w:w="120" w:type="dxa"/>
              <w:right w:w="120" w:type="dxa"/>
            </w:tcMar>
          </w:tcPr>
          <w:p>
            <w:r>
              <w:rPr>
                <w:rFonts w:ascii="Calibri" w:hAnsi="Calibri"/>
                <w:color w:val="1E293B"/>
                <w:sz w:val="18"/>
              </w:rPr>
              <w:t>Geração orientada a persona clínica com estrutura fixa de 5 parágrafos</w:t>
            </w:r>
          </w:p>
        </w:tc>
      </w:tr>
      <w:tr>
        <w:tc>
          <w:tcPr>
            <w:tcW w:type="dxa" w:w="2592"/>
            <w:shd w:fill="FFFFFF"/>
            <w:tcMar>
              <w:top w:w="80" w:type="dxa"/>
              <w:bottom w:w="80" w:type="dxa"/>
              <w:left w:w="120" w:type="dxa"/>
              <w:right w:w="120" w:type="dxa"/>
            </w:tcMar>
          </w:tcPr>
          <w:p>
            <w:r>
              <w:rPr>
                <w:rFonts w:ascii="Calibri" w:hAnsi="Calibri"/>
                <w:color w:val="1E293B"/>
                <w:sz w:val="18"/>
              </w:rPr>
              <w:t>Headless CMS e Persistência</w:t>
            </w:r>
          </w:p>
        </w:tc>
        <w:tc>
          <w:tcPr>
            <w:tcW w:type="dxa" w:w="2592"/>
            <w:shd w:fill="FFFFFF"/>
            <w:tcMar>
              <w:top w:w="80" w:type="dxa"/>
              <w:bottom w:w="80" w:type="dxa"/>
              <w:left w:w="120" w:type="dxa"/>
              <w:right w:w="120" w:type="dxa"/>
            </w:tcMar>
          </w:tcPr>
          <w:p>
            <w:r>
              <w:rPr>
                <w:rFonts w:ascii="Calibri" w:hAnsi="Calibri"/>
                <w:color w:val="1E293B"/>
                <w:sz w:val="18"/>
              </w:rPr>
              <w:t>Notion API (@notionhq/client)</w:t>
            </w:r>
          </w:p>
        </w:tc>
        <w:tc>
          <w:tcPr>
            <w:tcW w:type="dxa" w:w="4176"/>
            <w:shd w:fill="FFFFFF"/>
            <w:tcMar>
              <w:top w:w="80" w:type="dxa"/>
              <w:bottom w:w="80" w:type="dxa"/>
              <w:left w:w="120" w:type="dxa"/>
              <w:right w:w="120" w:type="dxa"/>
            </w:tcMar>
          </w:tcPr>
          <w:p>
            <w:r>
              <w:rPr>
                <w:rFonts w:ascii="Calibri" w:hAnsi="Calibri"/>
                <w:color w:val="1E293B"/>
                <w:sz w:val="18"/>
              </w:rPr>
              <w:t>Banco de dados relacional flexível com controle de estados e propriedades</w:t>
            </w:r>
          </w:p>
        </w:tc>
      </w:tr>
      <w:tr>
        <w:tc>
          <w:tcPr>
            <w:tcW w:type="dxa" w:w="2592"/>
            <w:shd w:fill="F1F5F9"/>
            <w:tcMar>
              <w:top w:w="80" w:type="dxa"/>
              <w:bottom w:w="80" w:type="dxa"/>
              <w:left w:w="120" w:type="dxa"/>
              <w:right w:w="120" w:type="dxa"/>
            </w:tcMar>
          </w:tcPr>
          <w:p>
            <w:r>
              <w:rPr>
                <w:rFonts w:ascii="Calibri" w:hAnsi="Calibri"/>
                <w:color w:val="1E293B"/>
                <w:sz w:val="18"/>
              </w:rPr>
              <w:t>Camada de Segurança</w:t>
            </w:r>
          </w:p>
        </w:tc>
        <w:tc>
          <w:tcPr>
            <w:tcW w:type="dxa" w:w="2592"/>
            <w:shd w:fill="F1F5F9"/>
            <w:tcMar>
              <w:top w:w="80" w:type="dxa"/>
              <w:bottom w:w="80" w:type="dxa"/>
              <w:left w:w="120" w:type="dxa"/>
              <w:right w:w="120" w:type="dxa"/>
            </w:tcMar>
          </w:tcPr>
          <w:p>
            <w:r>
              <w:rPr>
                <w:rFonts w:ascii="Calibri" w:hAnsi="Calibri"/>
                <w:color w:val="1E293B"/>
                <w:sz w:val="18"/>
              </w:rPr>
              <w:t>Token Bucket Rate Limiting &amp; Tokens</w:t>
            </w:r>
          </w:p>
        </w:tc>
        <w:tc>
          <w:tcPr>
            <w:tcW w:type="dxa" w:w="4176"/>
            <w:shd w:fill="F1F5F9"/>
            <w:tcMar>
              <w:top w:w="80" w:type="dxa"/>
              <w:bottom w:w="80" w:type="dxa"/>
              <w:left w:w="120" w:type="dxa"/>
              <w:right w:w="120" w:type="dxa"/>
            </w:tcMar>
          </w:tcPr>
          <w:p>
            <w:r>
              <w:rPr>
                <w:rFonts w:ascii="Calibri" w:hAnsi="Calibri"/>
                <w:color w:val="1E293B"/>
                <w:sz w:val="18"/>
              </w:rPr>
              <w:t>Controle de taxa por IP (60 req/min) e cabeçalho x-admin-token obrigatório</w:t>
            </w:r>
          </w:p>
        </w:tc>
      </w:tr>
      <w:tr>
        <w:tc>
          <w:tcPr>
            <w:tcW w:type="dxa" w:w="2592"/>
            <w:shd w:fill="FFFFFF"/>
            <w:tcMar>
              <w:top w:w="80" w:type="dxa"/>
              <w:bottom w:w="80" w:type="dxa"/>
              <w:left w:w="120" w:type="dxa"/>
              <w:right w:w="120" w:type="dxa"/>
            </w:tcMar>
          </w:tcPr>
          <w:p>
            <w:r>
              <w:rPr>
                <w:rFonts w:ascii="Calibri" w:hAnsi="Calibri"/>
                <w:color w:val="1E293B"/>
                <w:sz w:val="18"/>
              </w:rPr>
              <w:t>Automação em Lote (CLI)</w:t>
            </w:r>
          </w:p>
        </w:tc>
        <w:tc>
          <w:tcPr>
            <w:tcW w:type="dxa" w:w="2592"/>
            <w:shd w:fill="FFFFFF"/>
            <w:tcMar>
              <w:top w:w="80" w:type="dxa"/>
              <w:bottom w:w="80" w:type="dxa"/>
              <w:left w:w="120" w:type="dxa"/>
              <w:right w:w="120" w:type="dxa"/>
            </w:tcMar>
          </w:tcPr>
          <w:p>
            <w:r>
              <w:rPr>
                <w:rFonts w:ascii="Calibri" w:hAnsi="Calibri"/>
                <w:color w:val="1E293B"/>
                <w:sz w:val="18"/>
              </w:rPr>
              <w:t>TypeScript Seeder (scripts/robot.ts)</w:t>
            </w:r>
          </w:p>
        </w:tc>
        <w:tc>
          <w:tcPr>
            <w:tcW w:type="dxa" w:w="4176"/>
            <w:shd w:fill="FFFFFF"/>
            <w:tcMar>
              <w:top w:w="80" w:type="dxa"/>
              <w:bottom w:w="80" w:type="dxa"/>
              <w:left w:w="120" w:type="dxa"/>
              <w:right w:w="120" w:type="dxa"/>
            </w:tcMar>
          </w:tcPr>
          <w:p>
            <w:r>
              <w:rPr>
                <w:rFonts w:ascii="Calibri" w:hAnsi="Calibri"/>
                <w:color w:val="1E293B"/>
                <w:sz w:val="18"/>
              </w:rPr>
              <w:t>Geração automatizada de lotes de pautas com Structured Outputs</w:t>
            </w:r>
          </w:p>
        </w:tc>
      </w:tr>
    </w:tbl>
    <w:p>
      <w:pPr>
        <w:spacing w:before="80" w:after="120"/>
      </w:pPr>
    </w:p>
    <w:p>
      <w:pPr>
        <w:keepNext/>
        <w:spacing w:before="160" w:after="40"/>
        <w:jc w:val="center"/>
      </w:pPr>
      <w:r>
        <w:drawing>
          <wp:inline xmlns:a="http://schemas.openxmlformats.org/drawingml/2006/main" xmlns:pic="http://schemas.openxmlformats.org/drawingml/2006/picture">
            <wp:extent cx="5486400" cy="3512875"/>
            <wp:docPr id="1" name="Picture 1"/>
            <wp:cNvGraphicFramePr>
              <a:graphicFrameLocks noChangeAspect="1"/>
            </wp:cNvGraphicFramePr>
            <a:graphic>
              <a:graphicData uri="http://schemas.openxmlformats.org/drawingml/2006/picture">
                <pic:pic>
                  <pic:nvPicPr>
                    <pic:cNvPr id="0" name="arquitetura_editorial_saude.png"/>
                    <pic:cNvPicPr/>
                  </pic:nvPicPr>
                  <pic:blipFill>
                    <a:blip r:embed="rId10"/>
                    <a:stretch>
                      <a:fillRect/>
                    </a:stretch>
                  </pic:blipFill>
                  <pic:spPr>
                    <a:xfrm>
                      <a:off x="0" y="0"/>
                      <a:ext cx="5486400" cy="3512875"/>
                    </a:xfrm>
                    <a:prstGeom prst="rect"/>
                  </pic:spPr>
                </pic:pic>
              </a:graphicData>
            </a:graphic>
          </wp:inline>
        </w:drawing>
      </w:r>
    </w:p>
    <w:p>
      <w:pPr>
        <w:spacing w:before="40" w:after="200"/>
        <w:jc w:val="center"/>
      </w:pPr>
      <w:r>
        <w:rPr>
          <w:rFonts w:ascii="Calibri" w:hAnsi="Calibri"/>
          <w:i/>
          <w:color w:val="64748B"/>
          <w:sz w:val="17"/>
        </w:rPr>
        <w:t>Figura: Figura 1: Arquitetura completa da plataforma editorial AppSaúde.</w:t>
      </w:r>
    </w:p>
    <w:p>
      <w:pPr>
        <w:keepNext/>
        <w:spacing w:before="320" w:after="120"/>
      </w:pPr>
      <w:r>
        <w:rPr>
          <w:rFonts w:ascii="Calibri" w:hAnsi="Calibri"/>
          <w:b/>
          <w:color w:val="1E3A8A"/>
          <w:sz w:val="28"/>
        </w:rPr>
        <w:t>3. Guardrails Clínicos e Máquina de Estados Editorial</w:t>
      </w:r>
    </w:p>
    <w:p>
      <w:r>
        <w:t>A esteira de conteúdo opera sob uma máquina de estados finita que assegura rastreabilidade ponta a ponta:</w:t>
      </w:r>
    </w:p>
    <w:tbl>
      <w:tblPr>
        <w:tblW w:type="auto" w:w="0"/>
        <w:jc w:val="center"/>
        <w:tblLayout w:type="fixed"/>
        <w:tblLook w:firstColumn="1" w:firstRow="1" w:lastColumn="0" w:lastRow="0" w:noHBand="0" w:noVBand="1" w:val="04A0"/>
      </w:tblPr>
      <w:tblGrid>
        <w:gridCol w:w="3120"/>
        <w:gridCol w:w="3120"/>
        <w:gridCol w:w="3120"/>
      </w:tblGrid>
      <w:tr>
        <w:tc>
          <w:tcPr>
            <w:tcW w:type="dxa" w:w="2160"/>
            <w:shd w:fill="1E3A8A"/>
            <w:tcMar>
              <w:top w:w="100" w:type="dxa"/>
              <w:bottom w:w="100" w:type="dxa"/>
              <w:left w:w="120" w:type="dxa"/>
              <w:right w:w="120" w:type="dxa"/>
            </w:tcMar>
          </w:tcPr>
          <w:p>
            <w:pPr>
              <w:jc w:val="left"/>
            </w:pPr>
            <w:r>
              <w:rPr>
                <w:rFonts w:ascii="Calibri" w:hAnsi="Calibri"/>
                <w:b/>
                <w:color w:val="FFFFFF"/>
                <w:sz w:val="19"/>
              </w:rPr>
              <w:t>Estado da Pauta</w:t>
            </w:r>
          </w:p>
        </w:tc>
        <w:tc>
          <w:tcPr>
            <w:tcW w:type="dxa" w:w="3168"/>
            <w:shd w:fill="1E3A8A"/>
            <w:tcMar>
              <w:top w:w="100" w:type="dxa"/>
              <w:bottom w:w="100" w:type="dxa"/>
              <w:left w:w="120" w:type="dxa"/>
              <w:right w:w="120" w:type="dxa"/>
            </w:tcMar>
          </w:tcPr>
          <w:p>
            <w:pPr>
              <w:jc w:val="left"/>
            </w:pPr>
            <w:r>
              <w:rPr>
                <w:rFonts w:ascii="Calibri" w:hAnsi="Calibri"/>
                <w:b/>
                <w:color w:val="FFFFFF"/>
                <w:sz w:val="19"/>
              </w:rPr>
              <w:t>Gatilho / Ação</w:t>
            </w:r>
          </w:p>
        </w:tc>
        <w:tc>
          <w:tcPr>
            <w:tcW w:type="dxa" w:w="4032"/>
            <w:shd w:fill="1E3A8A"/>
            <w:tcMar>
              <w:top w:w="100" w:type="dxa"/>
              <w:bottom w:w="100" w:type="dxa"/>
              <w:left w:w="120" w:type="dxa"/>
              <w:right w:w="120" w:type="dxa"/>
            </w:tcMar>
          </w:tcPr>
          <w:p>
            <w:pPr>
              <w:jc w:val="left"/>
            </w:pPr>
            <w:r>
              <w:rPr>
                <w:rFonts w:ascii="Calibri" w:hAnsi="Calibri"/>
                <w:b/>
                <w:color w:val="FFFFFF"/>
                <w:sz w:val="19"/>
              </w:rPr>
              <w:t>Validações e Regras Aplicadas</w:t>
            </w:r>
          </w:p>
        </w:tc>
      </w:tr>
      <w:tr>
        <w:tc>
          <w:tcPr>
            <w:tcW w:type="dxa" w:w="2160"/>
            <w:shd w:fill="FFFFFF"/>
            <w:tcMar>
              <w:top w:w="80" w:type="dxa"/>
              <w:bottom w:w="80" w:type="dxa"/>
              <w:left w:w="120" w:type="dxa"/>
              <w:right w:w="120" w:type="dxa"/>
            </w:tcMar>
          </w:tcPr>
          <w:p>
            <w:r>
              <w:rPr>
                <w:rFonts w:ascii="Calibri" w:hAnsi="Calibri"/>
                <w:color w:val="1E293B"/>
                <w:sz w:val="18"/>
              </w:rPr>
              <w:t>1. Ideia</w:t>
            </w:r>
          </w:p>
        </w:tc>
        <w:tc>
          <w:tcPr>
            <w:tcW w:type="dxa" w:w="3168"/>
            <w:shd w:fill="FFFFFF"/>
            <w:tcMar>
              <w:top w:w="80" w:type="dxa"/>
              <w:bottom w:w="80" w:type="dxa"/>
              <w:left w:w="120" w:type="dxa"/>
              <w:right w:w="120" w:type="dxa"/>
            </w:tcMar>
          </w:tcPr>
          <w:p>
            <w:r>
              <w:rPr>
                <w:rFonts w:ascii="Calibri" w:hAnsi="Calibri"/>
                <w:color w:val="1E293B"/>
                <w:sz w:val="18"/>
              </w:rPr>
              <w:t>Ingestão via RSS ou entrada manual</w:t>
            </w:r>
          </w:p>
        </w:tc>
        <w:tc>
          <w:tcPr>
            <w:tcW w:type="dxa" w:w="4032"/>
            <w:shd w:fill="FFFFFF"/>
            <w:tcMar>
              <w:top w:w="80" w:type="dxa"/>
              <w:bottom w:w="80" w:type="dxa"/>
              <w:left w:w="120" w:type="dxa"/>
              <w:right w:w="120" w:type="dxa"/>
            </w:tcMar>
          </w:tcPr>
          <w:p>
            <w:r>
              <w:rPr>
                <w:rFonts w:ascii="Calibri" w:hAnsi="Calibri"/>
                <w:color w:val="1E293B"/>
                <w:sz w:val="18"/>
              </w:rPr>
              <w:t>Registro criado no Notion; checagem de blacklist para evitar repetição</w:t>
            </w:r>
          </w:p>
        </w:tc>
      </w:tr>
      <w:tr>
        <w:tc>
          <w:tcPr>
            <w:tcW w:type="dxa" w:w="2160"/>
            <w:shd w:fill="F1F5F9"/>
            <w:tcMar>
              <w:top w:w="80" w:type="dxa"/>
              <w:bottom w:w="80" w:type="dxa"/>
              <w:left w:w="120" w:type="dxa"/>
              <w:right w:w="120" w:type="dxa"/>
            </w:tcMar>
          </w:tcPr>
          <w:p>
            <w:r>
              <w:rPr>
                <w:rFonts w:ascii="Calibri" w:hAnsi="Calibri"/>
                <w:color w:val="1E293B"/>
                <w:sz w:val="18"/>
              </w:rPr>
              <w:t>2. Gerado</w:t>
            </w:r>
          </w:p>
        </w:tc>
        <w:tc>
          <w:tcPr>
            <w:tcW w:type="dxa" w:w="3168"/>
            <w:shd w:fill="F1F5F9"/>
            <w:tcMar>
              <w:top w:w="80" w:type="dxa"/>
              <w:bottom w:w="80" w:type="dxa"/>
              <w:left w:w="120" w:type="dxa"/>
              <w:right w:w="120" w:type="dxa"/>
            </w:tcMar>
          </w:tcPr>
          <w:p>
            <w:r>
              <w:rPr>
                <w:rFonts w:ascii="Calibri" w:hAnsi="Calibri"/>
                <w:color w:val="1E293B"/>
                <w:sz w:val="18"/>
              </w:rPr>
              <w:t>Disparo de geração via OpenAI API</w:t>
            </w:r>
          </w:p>
        </w:tc>
        <w:tc>
          <w:tcPr>
            <w:tcW w:type="dxa" w:w="4032"/>
            <w:shd w:fill="F1F5F9"/>
            <w:tcMar>
              <w:top w:w="80" w:type="dxa"/>
              <w:bottom w:w="80" w:type="dxa"/>
              <w:left w:w="120" w:type="dxa"/>
              <w:right w:w="120" w:type="dxa"/>
            </w:tcMar>
          </w:tcPr>
          <w:p>
            <w:r>
              <w:rPr>
                <w:rFonts w:ascii="Calibri" w:hAnsi="Calibri"/>
                <w:color w:val="1E293B"/>
                <w:sz w:val="18"/>
              </w:rPr>
              <w:t>Aplicação de prompt de 5 blocos; bloqueio de termos médicos prescritivos</w:t>
            </w:r>
          </w:p>
        </w:tc>
      </w:tr>
      <w:tr>
        <w:tc>
          <w:tcPr>
            <w:tcW w:type="dxa" w:w="2160"/>
            <w:shd w:fill="FFFFFF"/>
            <w:tcMar>
              <w:top w:w="80" w:type="dxa"/>
              <w:bottom w:w="80" w:type="dxa"/>
              <w:left w:w="120" w:type="dxa"/>
              <w:right w:w="120" w:type="dxa"/>
            </w:tcMar>
          </w:tcPr>
          <w:p>
            <w:r>
              <w:rPr>
                <w:rFonts w:ascii="Calibri" w:hAnsi="Calibri"/>
                <w:color w:val="1E293B"/>
                <w:sz w:val="18"/>
              </w:rPr>
              <w:t>3. Revisão Humana</w:t>
            </w:r>
          </w:p>
        </w:tc>
        <w:tc>
          <w:tcPr>
            <w:tcW w:type="dxa" w:w="3168"/>
            <w:shd w:fill="FFFFFF"/>
            <w:tcMar>
              <w:top w:w="80" w:type="dxa"/>
              <w:bottom w:w="80" w:type="dxa"/>
              <w:left w:w="120" w:type="dxa"/>
              <w:right w:w="120" w:type="dxa"/>
            </w:tcMar>
          </w:tcPr>
          <w:p>
            <w:r>
              <w:rPr>
                <w:rFonts w:ascii="Calibri" w:hAnsi="Calibri"/>
                <w:color w:val="1E293B"/>
                <w:sz w:val="18"/>
              </w:rPr>
              <w:t>Apresentação no painel web</w:t>
            </w:r>
          </w:p>
        </w:tc>
        <w:tc>
          <w:tcPr>
            <w:tcW w:type="dxa" w:w="4032"/>
            <w:shd w:fill="FFFFFF"/>
            <w:tcMar>
              <w:top w:w="80" w:type="dxa"/>
              <w:bottom w:w="80" w:type="dxa"/>
              <w:left w:w="120" w:type="dxa"/>
              <w:right w:w="120" w:type="dxa"/>
            </w:tcMar>
          </w:tcPr>
          <w:p>
            <w:r>
              <w:rPr>
                <w:rFonts w:ascii="Calibri" w:hAnsi="Calibri"/>
                <w:color w:val="1E293B"/>
                <w:sz w:val="18"/>
              </w:rPr>
              <w:t>Profissional de saúde analisa clareza, tom de voz e relevância prática</w:t>
            </w:r>
          </w:p>
        </w:tc>
      </w:tr>
      <w:tr>
        <w:tc>
          <w:tcPr>
            <w:tcW w:type="dxa" w:w="2160"/>
            <w:shd w:fill="F1F5F9"/>
            <w:tcMar>
              <w:top w:w="80" w:type="dxa"/>
              <w:bottom w:w="80" w:type="dxa"/>
              <w:left w:w="120" w:type="dxa"/>
              <w:right w:w="120" w:type="dxa"/>
            </w:tcMar>
          </w:tcPr>
          <w:p>
            <w:r>
              <w:rPr>
                <w:rFonts w:ascii="Calibri" w:hAnsi="Calibri"/>
                <w:color w:val="1E293B"/>
                <w:sz w:val="18"/>
              </w:rPr>
              <w:t>4. Aprovado</w:t>
            </w:r>
          </w:p>
        </w:tc>
        <w:tc>
          <w:tcPr>
            <w:tcW w:type="dxa" w:w="3168"/>
            <w:shd w:fill="F1F5F9"/>
            <w:tcMar>
              <w:top w:w="80" w:type="dxa"/>
              <w:bottom w:w="80" w:type="dxa"/>
              <w:left w:w="120" w:type="dxa"/>
              <w:right w:w="120" w:type="dxa"/>
            </w:tcMar>
          </w:tcPr>
          <w:p>
            <w:r>
              <w:rPr>
                <w:rFonts w:ascii="Calibri" w:hAnsi="Calibri"/>
                <w:color w:val="1E293B"/>
                <w:sz w:val="18"/>
              </w:rPr>
              <w:t>Clique em Aprovar pelo especialista</w:t>
            </w:r>
          </w:p>
        </w:tc>
        <w:tc>
          <w:tcPr>
            <w:tcW w:type="dxa" w:w="4032"/>
            <w:shd w:fill="F1F5F9"/>
            <w:tcMar>
              <w:top w:w="80" w:type="dxa"/>
              <w:bottom w:w="80" w:type="dxa"/>
              <w:left w:w="120" w:type="dxa"/>
              <w:right w:w="120" w:type="dxa"/>
            </w:tcMar>
          </w:tcPr>
          <w:p>
            <w:r>
              <w:rPr>
                <w:rFonts w:ascii="Calibri" w:hAnsi="Calibri"/>
                <w:color w:val="1E293B"/>
                <w:sz w:val="18"/>
              </w:rPr>
              <w:t>Pauta pronta para veiculação no LinkedIn; tema adicionado à blacklist</w:t>
            </w:r>
          </w:p>
        </w:tc>
      </w:tr>
      <w:tr>
        <w:tc>
          <w:tcPr>
            <w:tcW w:type="dxa" w:w="2160"/>
            <w:shd w:fill="FFFFFF"/>
            <w:tcMar>
              <w:top w:w="80" w:type="dxa"/>
              <w:bottom w:w="80" w:type="dxa"/>
              <w:left w:w="120" w:type="dxa"/>
              <w:right w:w="120" w:type="dxa"/>
            </w:tcMar>
          </w:tcPr>
          <w:p>
            <w:r>
              <w:rPr>
                <w:rFonts w:ascii="Calibri" w:hAnsi="Calibri"/>
                <w:color w:val="1E293B"/>
                <w:sz w:val="18"/>
              </w:rPr>
              <w:t>5. Rejeitado</w:t>
            </w:r>
          </w:p>
        </w:tc>
        <w:tc>
          <w:tcPr>
            <w:tcW w:type="dxa" w:w="3168"/>
            <w:shd w:fill="FFFFFF"/>
            <w:tcMar>
              <w:top w:w="80" w:type="dxa"/>
              <w:bottom w:w="80" w:type="dxa"/>
              <w:left w:w="120" w:type="dxa"/>
              <w:right w:w="120" w:type="dxa"/>
            </w:tcMar>
          </w:tcPr>
          <w:p>
            <w:r>
              <w:rPr>
                <w:rFonts w:ascii="Calibri" w:hAnsi="Calibri"/>
                <w:color w:val="1E293B"/>
                <w:sz w:val="18"/>
              </w:rPr>
              <w:t>Clique em Rejeitar pelo especialista</w:t>
            </w:r>
          </w:p>
        </w:tc>
        <w:tc>
          <w:tcPr>
            <w:tcW w:type="dxa" w:w="4032"/>
            <w:shd w:fill="FFFFFF"/>
            <w:tcMar>
              <w:top w:w="80" w:type="dxa"/>
              <w:bottom w:w="80" w:type="dxa"/>
              <w:left w:w="120" w:type="dxa"/>
              <w:right w:w="120" w:type="dxa"/>
            </w:tcMar>
          </w:tcPr>
          <w:p>
            <w:r>
              <w:rPr>
                <w:rFonts w:ascii="Calibri" w:hAnsi="Calibri"/>
                <w:color w:val="1E293B"/>
                <w:sz w:val="18"/>
              </w:rPr>
              <w:t>Registro arquivado (soft delete) no Notion sem publicação externa</w:t>
            </w:r>
          </w:p>
        </w:tc>
      </w:tr>
    </w:tbl>
    <w:p>
      <w:pPr>
        <w:spacing w:before="80" w:after="120"/>
      </w:pPr>
    </w:p>
    <w:p>
      <w:pPr>
        <w:keepNext/>
        <w:spacing w:before="160" w:after="40"/>
        <w:jc w:val="center"/>
      </w:pPr>
      <w:r>
        <w:drawing>
          <wp:inline xmlns:a="http://schemas.openxmlformats.org/drawingml/2006/main" xmlns:pic="http://schemas.openxmlformats.org/drawingml/2006/picture">
            <wp:extent cx="5486400" cy="3512875"/>
            <wp:docPr id="2" name="Picture 2"/>
            <wp:cNvGraphicFramePr>
              <a:graphicFrameLocks noChangeAspect="1"/>
            </wp:cNvGraphicFramePr>
            <a:graphic>
              <a:graphicData uri="http://schemas.openxmlformats.org/drawingml/2006/picture">
                <pic:pic>
                  <pic:nvPicPr>
                    <pic:cNvPr id="0" name="ciclo_vida_editorial_guardrails.png"/>
                    <pic:cNvPicPr/>
                  </pic:nvPicPr>
                  <pic:blipFill>
                    <a:blip r:embed="rId11"/>
                    <a:stretch>
                      <a:fillRect/>
                    </a:stretch>
                  </pic:blipFill>
                  <pic:spPr>
                    <a:xfrm>
                      <a:off x="0" y="0"/>
                      <a:ext cx="5486400" cy="3512875"/>
                    </a:xfrm>
                    <a:prstGeom prst="rect"/>
                  </pic:spPr>
                </pic:pic>
              </a:graphicData>
            </a:graphic>
          </wp:inline>
        </w:drawing>
      </w:r>
    </w:p>
    <w:p>
      <w:pPr>
        <w:spacing w:before="40" w:after="200"/>
        <w:jc w:val="center"/>
      </w:pPr>
      <w:r>
        <w:rPr>
          <w:rFonts w:ascii="Calibri" w:hAnsi="Calibri"/>
          <w:i/>
          <w:color w:val="64748B"/>
          <w:sz w:val="17"/>
        </w:rPr>
        <w:t>Figura: Figura 2: Máquina de estados editorial e fluxo de aprovação Human-in-the-Loop.</w:t>
      </w:r>
    </w:p>
    <w:p>
      <w:pPr>
        <w:keepNext/>
        <w:spacing w:before="320" w:after="120"/>
      </w:pPr>
      <w:r>
        <w:rPr>
          <w:rFonts w:ascii="Calibri" w:hAnsi="Calibri"/>
          <w:b/>
          <w:color w:val="1E3A8A"/>
          <w:sz w:val="28"/>
        </w:rPr>
        <w:t>4. Execução Real, Testes Funcionais e Resultados</w:t>
      </w:r>
    </w:p>
    <w:p>
      <w:r>
        <w:t>A integridade operacional da plataforma foi comprovada por meio de ciclo completo de testes em ambiente real:</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160"/>
            <w:shd w:fill="1E3A8A"/>
            <w:tcMar>
              <w:top w:w="100" w:type="dxa"/>
              <w:bottom w:w="100" w:type="dxa"/>
              <w:left w:w="120" w:type="dxa"/>
              <w:right w:w="120" w:type="dxa"/>
            </w:tcMar>
          </w:tcPr>
          <w:p>
            <w:pPr>
              <w:jc w:val="left"/>
            </w:pPr>
            <w:r>
              <w:rPr>
                <w:rFonts w:ascii="Calibri" w:hAnsi="Calibri"/>
                <w:b/>
                <w:color w:val="FFFFFF"/>
                <w:sz w:val="19"/>
              </w:rPr>
              <w:t>Teste Realizado</w:t>
            </w:r>
          </w:p>
        </w:tc>
        <w:tc>
          <w:tcPr>
            <w:tcW w:type="dxa" w:w="2592"/>
            <w:shd w:fill="1E3A8A"/>
            <w:tcMar>
              <w:top w:w="100" w:type="dxa"/>
              <w:bottom w:w="100" w:type="dxa"/>
              <w:left w:w="120" w:type="dxa"/>
              <w:right w:w="120" w:type="dxa"/>
            </w:tcMar>
          </w:tcPr>
          <w:p>
            <w:pPr>
              <w:jc w:val="left"/>
            </w:pPr>
            <w:r>
              <w:rPr>
                <w:rFonts w:ascii="Calibri" w:hAnsi="Calibri"/>
                <w:b/>
                <w:color w:val="FFFFFF"/>
                <w:sz w:val="19"/>
              </w:rPr>
              <w:t>Método / Rota</w:t>
            </w:r>
          </w:p>
        </w:tc>
        <w:tc>
          <w:tcPr>
            <w:tcW w:type="dxa" w:w="2448"/>
            <w:shd w:fill="1E3A8A"/>
            <w:tcMar>
              <w:top w:w="100" w:type="dxa"/>
              <w:bottom w:w="100" w:type="dxa"/>
              <w:left w:w="120" w:type="dxa"/>
              <w:right w:w="120" w:type="dxa"/>
            </w:tcMar>
          </w:tcPr>
          <w:p>
            <w:pPr>
              <w:jc w:val="left"/>
            </w:pPr>
            <w:r>
              <w:rPr>
                <w:rFonts w:ascii="Calibri" w:hAnsi="Calibri"/>
                <w:b/>
                <w:color w:val="FFFFFF"/>
                <w:sz w:val="19"/>
              </w:rPr>
              <w:t>Condição de Execução</w:t>
            </w:r>
          </w:p>
        </w:tc>
        <w:tc>
          <w:tcPr>
            <w:tcW w:type="dxa" w:w="2160"/>
            <w:shd w:fill="1E3A8A"/>
            <w:tcMar>
              <w:top w:w="100" w:type="dxa"/>
              <w:bottom w:w="100" w:type="dxa"/>
              <w:left w:w="120" w:type="dxa"/>
              <w:right w:w="120" w:type="dxa"/>
            </w:tcMar>
          </w:tcPr>
          <w:p>
            <w:pPr>
              <w:jc w:val="left"/>
            </w:pPr>
            <w:r>
              <w:rPr>
                <w:rFonts w:ascii="Calibri" w:hAnsi="Calibri"/>
                <w:b/>
                <w:color w:val="FFFFFF"/>
                <w:sz w:val="19"/>
              </w:rPr>
              <w:t>Resultado Obtido</w:t>
            </w:r>
          </w:p>
        </w:tc>
      </w:tr>
      <w:tr>
        <w:tc>
          <w:tcPr>
            <w:tcW w:type="dxa" w:w="2160"/>
            <w:shd w:fill="FFFFFF"/>
            <w:tcMar>
              <w:top w:w="80" w:type="dxa"/>
              <w:bottom w:w="80" w:type="dxa"/>
              <w:left w:w="120" w:type="dxa"/>
              <w:right w:w="120" w:type="dxa"/>
            </w:tcMar>
          </w:tcPr>
          <w:p>
            <w:r>
              <w:rPr>
                <w:rFonts w:ascii="Calibri" w:hAnsi="Calibri"/>
                <w:color w:val="1E293B"/>
                <w:sz w:val="18"/>
              </w:rPr>
              <w:t>Compilação de Produção</w:t>
            </w:r>
          </w:p>
        </w:tc>
        <w:tc>
          <w:tcPr>
            <w:tcW w:type="dxa" w:w="2592"/>
            <w:shd w:fill="FFFFFF"/>
            <w:tcMar>
              <w:top w:w="80" w:type="dxa"/>
              <w:bottom w:w="80" w:type="dxa"/>
              <w:left w:w="120" w:type="dxa"/>
              <w:right w:w="120" w:type="dxa"/>
            </w:tcMar>
          </w:tcPr>
          <w:p>
            <w:r>
              <w:rPr>
                <w:rFonts w:ascii="Calibri" w:hAnsi="Calibri"/>
                <w:color w:val="1E293B"/>
                <w:sz w:val="18"/>
              </w:rPr>
              <w:t>next build</w:t>
            </w:r>
          </w:p>
        </w:tc>
        <w:tc>
          <w:tcPr>
            <w:tcW w:type="dxa" w:w="2448"/>
            <w:shd w:fill="FFFFFF"/>
            <w:tcMar>
              <w:top w:w="80" w:type="dxa"/>
              <w:bottom w:w="80" w:type="dxa"/>
              <w:left w:w="120" w:type="dxa"/>
              <w:right w:w="120" w:type="dxa"/>
            </w:tcMar>
          </w:tcPr>
          <w:p>
            <w:r>
              <w:rPr>
                <w:rFonts w:ascii="Calibri" w:hAnsi="Calibri"/>
                <w:color w:val="1E293B"/>
                <w:sz w:val="18"/>
              </w:rPr>
              <w:t>Next.js 14.2.35</w:t>
            </w:r>
          </w:p>
        </w:tc>
        <w:tc>
          <w:tcPr>
            <w:tcW w:type="dxa" w:w="2160"/>
            <w:shd w:fill="FFFFFF"/>
            <w:tcMar>
              <w:top w:w="80" w:type="dxa"/>
              <w:bottom w:w="80" w:type="dxa"/>
              <w:left w:w="120" w:type="dxa"/>
              <w:right w:w="120" w:type="dxa"/>
            </w:tcMar>
          </w:tcPr>
          <w:p>
            <w:r>
              <w:rPr>
                <w:rFonts w:ascii="Calibri" w:hAnsi="Calibri"/>
                <w:color w:val="1E293B"/>
                <w:sz w:val="18"/>
              </w:rPr>
              <w:t>BUILD SUCCESS — 10 páginas e rotas geradas sem erros</w:t>
            </w:r>
          </w:p>
        </w:tc>
      </w:tr>
      <w:tr>
        <w:tc>
          <w:tcPr>
            <w:tcW w:type="dxa" w:w="2160"/>
            <w:shd w:fill="F1F5F9"/>
            <w:tcMar>
              <w:top w:w="80" w:type="dxa"/>
              <w:bottom w:w="80" w:type="dxa"/>
              <w:left w:w="120" w:type="dxa"/>
              <w:right w:w="120" w:type="dxa"/>
            </w:tcMar>
          </w:tcPr>
          <w:p>
            <w:r>
              <w:rPr>
                <w:rFonts w:ascii="Calibri" w:hAnsi="Calibri"/>
                <w:color w:val="1E293B"/>
                <w:sz w:val="18"/>
              </w:rPr>
              <w:t>Renderização do Portal</w:t>
            </w:r>
          </w:p>
        </w:tc>
        <w:tc>
          <w:tcPr>
            <w:tcW w:type="dxa" w:w="2592"/>
            <w:shd w:fill="F1F5F9"/>
            <w:tcMar>
              <w:top w:w="80" w:type="dxa"/>
              <w:bottom w:w="80" w:type="dxa"/>
              <w:left w:w="120" w:type="dxa"/>
              <w:right w:w="120" w:type="dxa"/>
            </w:tcMar>
          </w:tcPr>
          <w:p>
            <w:r>
              <w:rPr>
                <w:rFonts w:ascii="Calibri" w:hAnsi="Calibri"/>
                <w:color w:val="1E293B"/>
                <w:sz w:val="18"/>
              </w:rPr>
              <w:t>GET http://localhost:3001/</w:t>
            </w:r>
          </w:p>
        </w:tc>
        <w:tc>
          <w:tcPr>
            <w:tcW w:type="dxa" w:w="2448"/>
            <w:shd w:fill="F1F5F9"/>
            <w:tcMar>
              <w:top w:w="80" w:type="dxa"/>
              <w:bottom w:w="80" w:type="dxa"/>
              <w:left w:w="120" w:type="dxa"/>
              <w:right w:w="120" w:type="dxa"/>
            </w:tcMar>
          </w:tcPr>
          <w:p>
            <w:r>
              <w:rPr>
                <w:rFonts w:ascii="Calibri" w:hAnsi="Calibri"/>
                <w:color w:val="1E293B"/>
                <w:sz w:val="18"/>
              </w:rPr>
              <w:t>Servidor de produção local</w:t>
            </w:r>
          </w:p>
        </w:tc>
        <w:tc>
          <w:tcPr>
            <w:tcW w:type="dxa" w:w="2160"/>
            <w:shd w:fill="F1F5F9"/>
            <w:tcMar>
              <w:top w:w="80" w:type="dxa"/>
              <w:bottom w:w="80" w:type="dxa"/>
              <w:left w:w="120" w:type="dxa"/>
              <w:right w:w="120" w:type="dxa"/>
            </w:tcMar>
          </w:tcPr>
          <w:p>
            <w:r>
              <w:rPr>
                <w:rFonts w:ascii="Calibri" w:hAnsi="Calibri"/>
                <w:color w:val="1E293B"/>
                <w:sz w:val="18"/>
              </w:rPr>
              <w:t>HTTP 200 OK — 7.4 KB de HTML renderizado</w:t>
            </w:r>
          </w:p>
        </w:tc>
      </w:tr>
      <w:tr>
        <w:tc>
          <w:tcPr>
            <w:tcW w:type="dxa" w:w="2160"/>
            <w:shd w:fill="FFFFFF"/>
            <w:tcMar>
              <w:top w:w="80" w:type="dxa"/>
              <w:bottom w:w="80" w:type="dxa"/>
              <w:left w:w="120" w:type="dxa"/>
              <w:right w:w="120" w:type="dxa"/>
            </w:tcMar>
          </w:tcPr>
          <w:p>
            <w:r>
              <w:rPr>
                <w:rFonts w:ascii="Calibri" w:hAnsi="Calibri"/>
                <w:color w:val="1E293B"/>
                <w:sz w:val="18"/>
              </w:rPr>
              <w:t>Barreira de Segurança 1</w:t>
            </w:r>
          </w:p>
        </w:tc>
        <w:tc>
          <w:tcPr>
            <w:tcW w:type="dxa" w:w="2592"/>
            <w:shd w:fill="FFFFFF"/>
            <w:tcMar>
              <w:top w:w="80" w:type="dxa"/>
              <w:bottom w:w="80" w:type="dxa"/>
              <w:left w:w="120" w:type="dxa"/>
              <w:right w:w="120" w:type="dxa"/>
            </w:tcMar>
          </w:tcPr>
          <w:p>
            <w:r>
              <w:rPr>
                <w:rFonts w:ascii="Calibri" w:hAnsi="Calibri"/>
                <w:color w:val="1E293B"/>
                <w:sz w:val="18"/>
              </w:rPr>
              <w:t>GET /api/news (Sem token)</w:t>
            </w:r>
          </w:p>
        </w:tc>
        <w:tc>
          <w:tcPr>
            <w:tcW w:type="dxa" w:w="2448"/>
            <w:shd w:fill="FFFFFF"/>
            <w:tcMar>
              <w:top w:w="80" w:type="dxa"/>
              <w:bottom w:w="80" w:type="dxa"/>
              <w:left w:w="120" w:type="dxa"/>
              <w:right w:w="120" w:type="dxa"/>
            </w:tcMar>
          </w:tcPr>
          <w:p>
            <w:r>
              <w:rPr>
                <w:rFonts w:ascii="Calibri" w:hAnsi="Calibri"/>
                <w:color w:val="1E293B"/>
                <w:sz w:val="18"/>
              </w:rPr>
              <w:t>Sem cabeçalho x-admin-token</w:t>
            </w:r>
          </w:p>
        </w:tc>
        <w:tc>
          <w:tcPr>
            <w:tcW w:type="dxa" w:w="2160"/>
            <w:shd w:fill="FFFFFF"/>
            <w:tcMar>
              <w:top w:w="80" w:type="dxa"/>
              <w:bottom w:w="80" w:type="dxa"/>
              <w:left w:w="120" w:type="dxa"/>
              <w:right w:w="120" w:type="dxa"/>
            </w:tcMar>
          </w:tcPr>
          <w:p>
            <w:r>
              <w:rPr>
                <w:rFonts w:ascii="Calibri" w:hAnsi="Calibri"/>
                <w:color w:val="1E293B"/>
                <w:sz w:val="18"/>
              </w:rPr>
              <w:t>HTTP 401 Unauthorized — Bloqueio ativado com sucesso</w:t>
            </w:r>
          </w:p>
        </w:tc>
      </w:tr>
      <w:tr>
        <w:tc>
          <w:tcPr>
            <w:tcW w:type="dxa" w:w="2160"/>
            <w:shd w:fill="F1F5F9"/>
            <w:tcMar>
              <w:top w:w="80" w:type="dxa"/>
              <w:bottom w:w="80" w:type="dxa"/>
              <w:left w:w="120" w:type="dxa"/>
              <w:right w:w="120" w:type="dxa"/>
            </w:tcMar>
          </w:tcPr>
          <w:p>
            <w:r>
              <w:rPr>
                <w:rFonts w:ascii="Calibri" w:hAnsi="Calibri"/>
                <w:color w:val="1E293B"/>
                <w:sz w:val="18"/>
              </w:rPr>
              <w:t>Barreira de Segurança 2</w:t>
            </w:r>
          </w:p>
        </w:tc>
        <w:tc>
          <w:tcPr>
            <w:tcW w:type="dxa" w:w="2592"/>
            <w:shd w:fill="F1F5F9"/>
            <w:tcMar>
              <w:top w:w="80" w:type="dxa"/>
              <w:bottom w:w="80" w:type="dxa"/>
              <w:left w:w="120" w:type="dxa"/>
              <w:right w:w="120" w:type="dxa"/>
            </w:tcMar>
          </w:tcPr>
          <w:p>
            <w:r>
              <w:rPr>
                <w:rFonts w:ascii="Calibri" w:hAnsi="Calibri"/>
                <w:color w:val="1E293B"/>
                <w:sz w:val="18"/>
              </w:rPr>
              <w:t>POST /api/approve (Sem token)</w:t>
            </w:r>
          </w:p>
        </w:tc>
        <w:tc>
          <w:tcPr>
            <w:tcW w:type="dxa" w:w="2448"/>
            <w:shd w:fill="F1F5F9"/>
            <w:tcMar>
              <w:top w:w="80" w:type="dxa"/>
              <w:bottom w:w="80" w:type="dxa"/>
              <w:left w:w="120" w:type="dxa"/>
              <w:right w:w="120" w:type="dxa"/>
            </w:tcMar>
          </w:tcPr>
          <w:p>
            <w:r>
              <w:rPr>
                <w:rFonts w:ascii="Calibri" w:hAnsi="Calibri"/>
                <w:color w:val="1E293B"/>
                <w:sz w:val="18"/>
              </w:rPr>
              <w:t>Sem cabeçalho x-admin-token</w:t>
            </w:r>
          </w:p>
        </w:tc>
        <w:tc>
          <w:tcPr>
            <w:tcW w:type="dxa" w:w="2160"/>
            <w:shd w:fill="F1F5F9"/>
            <w:tcMar>
              <w:top w:w="80" w:type="dxa"/>
              <w:bottom w:w="80" w:type="dxa"/>
              <w:left w:w="120" w:type="dxa"/>
              <w:right w:w="120" w:type="dxa"/>
            </w:tcMar>
          </w:tcPr>
          <w:p>
            <w:r>
              <w:rPr>
                <w:rFonts w:ascii="Calibri" w:hAnsi="Calibri"/>
                <w:color w:val="1E293B"/>
                <w:sz w:val="18"/>
              </w:rPr>
              <w:t>HTTP 401 Unauthorized — Proteção contra alterações indevidas</w:t>
            </w:r>
          </w:p>
        </w:tc>
      </w:tr>
      <w:tr>
        <w:tc>
          <w:tcPr>
            <w:tcW w:type="dxa" w:w="2160"/>
            <w:shd w:fill="FFFFFF"/>
            <w:tcMar>
              <w:top w:w="80" w:type="dxa"/>
              <w:bottom w:w="80" w:type="dxa"/>
              <w:left w:w="120" w:type="dxa"/>
              <w:right w:w="120" w:type="dxa"/>
            </w:tcMar>
          </w:tcPr>
          <w:p>
            <w:r>
              <w:rPr>
                <w:rFonts w:ascii="Calibri" w:hAnsi="Calibri"/>
                <w:color w:val="1E293B"/>
                <w:sz w:val="18"/>
              </w:rPr>
              <w:t>Curadoria RSS ao Vivo</w:t>
            </w:r>
          </w:p>
        </w:tc>
        <w:tc>
          <w:tcPr>
            <w:tcW w:type="dxa" w:w="2592"/>
            <w:shd w:fill="FFFFFF"/>
            <w:tcMar>
              <w:top w:w="80" w:type="dxa"/>
              <w:bottom w:w="80" w:type="dxa"/>
              <w:left w:w="120" w:type="dxa"/>
              <w:right w:w="120" w:type="dxa"/>
            </w:tcMar>
          </w:tcPr>
          <w:p>
            <w:r>
              <w:rPr>
                <w:rFonts w:ascii="Calibri" w:hAnsi="Calibri"/>
                <w:color w:val="1E293B"/>
                <w:sz w:val="18"/>
              </w:rPr>
              <w:t>GET /api/news (Com token)</w:t>
            </w:r>
          </w:p>
        </w:tc>
        <w:tc>
          <w:tcPr>
            <w:tcW w:type="dxa" w:w="2448"/>
            <w:shd w:fill="FFFFFF"/>
            <w:tcMar>
              <w:top w:w="80" w:type="dxa"/>
              <w:bottom w:w="80" w:type="dxa"/>
              <w:left w:w="120" w:type="dxa"/>
              <w:right w:w="120" w:type="dxa"/>
            </w:tcMar>
          </w:tcPr>
          <w:p>
            <w:r>
              <w:rPr>
                <w:rFonts w:ascii="Calibri" w:hAnsi="Calibri"/>
                <w:color w:val="1E293B"/>
                <w:sz w:val="18"/>
              </w:rPr>
              <w:t>Header: x-admin-token válido</w:t>
            </w:r>
          </w:p>
        </w:tc>
        <w:tc>
          <w:tcPr>
            <w:tcW w:type="dxa" w:w="2160"/>
            <w:shd w:fill="FFFFFF"/>
            <w:tcMar>
              <w:top w:w="80" w:type="dxa"/>
              <w:bottom w:w="80" w:type="dxa"/>
              <w:left w:w="120" w:type="dxa"/>
              <w:right w:w="120" w:type="dxa"/>
            </w:tcMar>
          </w:tcPr>
          <w:p>
            <w:r>
              <w:rPr>
                <w:rFonts w:ascii="Calibri" w:hAnsi="Calibri"/>
                <w:color w:val="1E293B"/>
                <w:sz w:val="18"/>
              </w:rPr>
              <w:t>HTTP 200 OK — 3 notícias reais capturadas da OMS</w:t>
            </w:r>
          </w:p>
        </w:tc>
      </w:tr>
    </w:tbl>
    <w:p>
      <w:pPr>
        <w:spacing w:before="80" w:after="120"/>
      </w:pPr>
    </w:p>
    <w:tbl>
      <w:tblPr>
        <w:tblW w:type="auto" w:w="0"/>
        <w:jc w:val="center"/>
        <w:tblLayout w:type="fixed"/>
        <w:tblLook w:firstColumn="1" w:firstRow="1" w:lastColumn="0" w:lastRow="0" w:noHBand="0" w:noVBand="1" w:val="04A0"/>
      </w:tblPr>
      <w:tblGrid>
        <w:gridCol w:w="9360"/>
      </w:tblGrid>
      <w:tr>
        <w:tc>
          <w:tcPr>
            <w:tcW w:type="dxa" w:w="9360"/>
            <w:shd w:fill="F8FAFC"/>
            <w:tcMar>
              <w:top w:w="140" w:type="dxa"/>
              <w:bottom w:w="140" w:type="dxa"/>
              <w:left w:w="200" w:type="dxa"/>
              <w:right w:w="140" w:type="dxa"/>
            </w:tcMar>
            <w:tcBorders>
              <w:left w:val="single" w:sz="24" w:space="0" w:color="0EA5E9"/>
              <w:top w:val="none"/>
              <w:right w:val="none"/>
              <w:bottom w:val="none"/>
            </w:tcBorders>
          </w:tcPr>
          <w:p>
            <w:pPr>
              <w:spacing w:before="0" w:after="40"/>
            </w:pPr>
            <w:r>
              <w:rPr>
                <w:rFonts w:ascii="Calibri" w:hAnsi="Calibri"/>
                <w:b/>
                <w:color w:val="1E3A8A"/>
                <w:sz w:val="21"/>
              </w:rPr>
              <w:t>💡 SUCESSO OPERACIONAL</w:t>
              <w:br/>
            </w:r>
            <w:r>
              <w:rPr>
                <w:rFonts w:ascii="Calibri" w:hAnsi="Calibri"/>
                <w:color w:val="1E293B"/>
                <w:sz w:val="20"/>
              </w:rPr>
              <w:t>Curadoria Externa Comprovada: A chamada ao feed RSS oficial da OMS extraiu notícias reais e recentes comprovando a funcionalidade do parser em produção e a proteção de rotas via token administrativo.</w:t>
            </w:r>
          </w:p>
        </w:tc>
      </w:tr>
    </w:tbl>
    <w:p>
      <w:pPr>
        <w:spacing w:after="80"/>
      </w:pPr>
    </w:p>
    <w:p>
      <w:pPr>
        <w:keepNext/>
        <w:spacing w:before="320" w:after="120"/>
      </w:pPr>
      <w:r>
        <w:rPr>
          <w:rFonts w:ascii="Calibri" w:hAnsi="Calibri"/>
          <w:b/>
          <w:color w:val="1E3A8A"/>
          <w:sz w:val="28"/>
        </w:rPr>
        <w:t>5. Persistência Desacoplada e Governança no Notion</w:t>
      </w:r>
    </w:p>
    <w:p>
      <w:r>
        <w:t>Ao utilizar o Notion como Headless CMS, o sistema oferece flexibilidade excepcional para a equipe de conteúdo, permitindo auditoria de temas, tags de classificação (Ergonomia, Sono, Hidratação, Nutrição) e histórico de postagens sem necessidade de gerenciar bancos de dados relacionais complexos em infraestrutura própria.</w:t>
      </w:r>
    </w:p>
    <w:p>
      <w:pPr>
        <w:keepNext/>
        <w:spacing w:before="320" w:after="120"/>
      </w:pPr>
      <w:r>
        <w:rPr>
          <w:rFonts w:ascii="Calibri" w:hAnsi="Calibri"/>
          <w:b/>
          <w:color w:val="1E3A8A"/>
          <w:sz w:val="28"/>
        </w:rPr>
        <w:t>6. Recomendações Estratégicas para Portfólio</w:t>
      </w:r>
    </w:p>
    <w:p>
      <w:r>
        <w:t>Para evidenciar as competências técnicas e éticas demonstradas no projeto AppSaúde, recomenda-se enfatizar:</w:t>
      </w:r>
    </w:p>
    <w:p>
      <w:r>
        <w:t>• Arquitetura Human-in-the-Loop em IA: Destacar a governança responsável, onde a IA é uma assistente de rascunho subordinada ao crivo humano.</w:t>
        <w:br/>
        <w:t>• Engenharia de Guardrails Estritos: Apresentar a parametrização de prompts para compliance e mitigação de alucinações em domínios regulados.</w:t>
        <w:br/>
        <w:t>• Integração com Headless CMS Moderno: Demonstrar a união do Next.js com a API do Notion para entrega ágil de valor a equipes multidisciplinares.</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4748B"/>
        <w:sz w:val="17"/>
      </w:rPr>
      <w:t>Portfólio &amp; Dossiê Técnico - Eduardo Lázaro</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