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libri" w:hAnsi="Calibri"/>
          <w:b/>
          <w:color w:val="0EA5E9"/>
          <w:sz w:val="19"/>
        </w:rPr>
        <w:t>RELATÓRIO TÉCNICO EXECUTIVO • P06 — PLATAFORMA DE INTELIGÊNCIA GEOESPACIAL E AGRÍCOLA</w:t>
      </w:r>
    </w:p>
    <w:p>
      <w:pPr>
        <w:spacing w:before="0" w:after="80"/>
      </w:pPr>
      <w:r>
        <w:rPr>
          <w:rFonts w:ascii="Calibri" w:hAnsi="Calibri"/>
          <w:b/>
          <w:color w:val="1E3A8A"/>
          <w:sz w:val="44"/>
        </w:rPr>
        <w:t>Data-Roots (Raízes): Análise Territorial e Visualização da Produção Agrícola Brasileira</w:t>
      </w:r>
    </w:p>
    <w:p>
      <w:pPr>
        <w:spacing w:before="0" w:after="280"/>
      </w:pPr>
      <w:r>
        <w:rPr>
          <w:rFonts w:ascii="Calibri" w:hAnsi="Calibri"/>
          <w:i/>
          <w:color w:val="64748B"/>
          <w:sz w:val="22"/>
        </w:rPr>
        <w:t>Pipeline Integrado com FastAPI, Google BigQuery, Leaflet, Apache ECharts e OpenAI para Dados PAM/IBGE</w:t>
      </w:r>
    </w:p>
    <w:p>
      <w:pPr>
        <w:spacing w:before="0" w:after="240"/>
        <w:pBdr>
          <w:bottom w:val="single" w:sz="8" w:space="4" w:color="0EA5E9"/>
        </w:pBdr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1. Resumo Executivo e Proposta de Valor</w:t>
      </w:r>
    </w:p>
    <w:p>
      <w:r>
        <w:t>O Data-Roots (Raízes) é uma solução tecnológica voltada à democratização do acesso a microdados públicos do setor agropecuário brasileiro. A plataforma conecta o banco de dados analítico da Pesquisa Agrícola Municipal (PAM/IBGE) a uma interface geoespacial interativa, permitindo a exploração de safras, áreas de cultivo, rendimento médio e volume de produção por estado e município.</w:t>
      </w:r>
    </w:p>
    <w:p>
      <w:r>
        <w:t>A aplicação é estruturada sobre um backend assíncrono em FastAPI acoplado ao Google Cloud BigQuery, e uma interface responsiva em Angular 16 munida de mapas cartográficos com Leaflet e gráficos avançados em ECharts. Adicionalmente, incorpora um módulo de IA generativa com OpenAI GPT-4o para sumarização automática de diagnósticos territoriais.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1E3A8A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COMPUTAÇÃO GEOESPACIAL</w:t>
              <w:br/>
            </w:r>
            <w:r>
              <w:rPr>
                <w:rFonts w:ascii="Calibri" w:hAnsi="Calibri"/>
                <w:color w:val="1E293B"/>
                <w:sz w:val="20"/>
              </w:rPr>
              <w:t>Destaque Tecnológico: A plataforma combina consultas geoespaciais SQL em larga escala no BigQuery (utilizando centróides ST_X e ST_Y) com renderização cartográfica vetorial no Leaflet e análise visual no ECharts, oferecendo uma experiência fluida mesmo com centenas de milhares de registros históricos.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2. Arquitetura do Sistema e Pipeline de Dados</w:t>
      </w:r>
    </w:p>
    <w:p>
      <w:r>
        <w:t>A arquitetura da solução foi projetada visando escalabilidade, separação de responsabilidades e resposta ágil a consultas analíticas complexas: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Camada / Módulo</w:t>
            </w:r>
          </w:p>
        </w:tc>
        <w:tc>
          <w:tcPr>
            <w:tcW w:type="dxa" w:w="259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Tecnologia</w:t>
            </w:r>
          </w:p>
        </w:tc>
        <w:tc>
          <w:tcPr>
            <w:tcW w:type="dxa" w:w="417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Função no Ecossistema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Visualização Cartográfica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Leaflet 1.9 &amp; ngx-leaflet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Renderização de camadas de mapas, marcadores municipais e círculos proporcionais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Painel Analítico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Apache ECharts 6 &amp; ngx-echarts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Gráficos de barras, séries temporais e proporção permanente vs temporária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Frontend Base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Angular 16.2, TypeScript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SPA modular com rotas para dashboards, comparativo de estados e landing page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API Gateway REST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FastAPI 0.115, Pydantic v2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Processamento assíncrono de requisições, filtros de query e serialização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Data Warehouse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Google Cloud BigQuery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Repositório Base dos Dados (br_ibge_pam e br_bd_diretorios_brasil)</w:t>
            </w:r>
          </w:p>
        </w:tc>
      </w:tr>
      <w:tr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Síntese Inteligente</w:t>
            </w:r>
          </w:p>
        </w:tc>
        <w:tc>
          <w:tcPr>
            <w:tcW w:type="dxa" w:w="259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OpenAI GPT-4o API</w:t>
            </w:r>
          </w:p>
        </w:tc>
        <w:tc>
          <w:tcPr>
            <w:tcW w:type="dxa" w:w="417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Geração contextual de relatórios analíticos a partir de recortes agrícolas</w:t>
            </w:r>
          </w:p>
        </w:tc>
      </w:tr>
      <w:tr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Infraestrutura</w:t>
            </w:r>
          </w:p>
        </w:tc>
        <w:tc>
          <w:tcPr>
            <w:tcW w:type="dxa" w:w="259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Docker &amp; Docker Compose</w:t>
            </w:r>
          </w:p>
        </w:tc>
        <w:tc>
          <w:tcPr>
            <w:tcW w:type="dxa" w:w="417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Padronização de containers para frontend Node/Nginx e backend Python</w:t>
            </w:r>
          </w:p>
        </w:tc>
      </w:tr>
    </w:tbl>
    <w:p>
      <w:pPr>
        <w:spacing w:before="8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1287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rquitetura_pipeline_geoespacial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28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1: Arquitetura completa da plataforma geoespacial Data-Roots.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3. Modelagem de Dados e Estrutura de Consultas</w:t>
      </w:r>
    </w:p>
    <w:p>
      <w:r>
        <w:t>O backend consome tabelas públicas normalizadas do projeto Base dos Dados no BigQuery. A integração explora junções entre dados agrícolas e diretórios geográficos oficiais: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2304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Conjunto de Dados</w:t>
            </w:r>
          </w:p>
        </w:tc>
        <w:tc>
          <w:tcPr>
            <w:tcW w:type="dxa" w:w="360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Tabela / Origem</w:t>
            </w:r>
          </w:p>
        </w:tc>
        <w:tc>
          <w:tcPr>
            <w:tcW w:type="dxa" w:w="3456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Atributos Chave Utilizados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Lavoura Permanente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basedosdados.br_ibge_pam.lavoura_permanente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sigla_uf, id_municipio, ano, produto, quantidade_produzida, valor_producao</w:t>
            </w:r>
          </w:p>
        </w:tc>
      </w:tr>
      <w:tr>
        <w:tc>
          <w:tcPr>
            <w:tcW w:type="dxa" w:w="2304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Lavoura Temporária</w:t>
            </w:r>
          </w:p>
        </w:tc>
        <w:tc>
          <w:tcPr>
            <w:tcW w:type="dxa" w:w="360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basedosdados.br_ibge_pam.lavoura_temporaria</w:t>
            </w:r>
          </w:p>
        </w:tc>
        <w:tc>
          <w:tcPr>
            <w:tcW w:type="dxa" w:w="3456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sigla_uf, id_municipio, ano, produto, area_colhida, rendimento_medio_producao</w:t>
            </w:r>
          </w:p>
        </w:tc>
      </w:tr>
      <w:tr>
        <w:tc>
          <w:tcPr>
            <w:tcW w:type="dxa" w:w="2304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Diretório de Municípios</w:t>
            </w:r>
          </w:p>
        </w:tc>
        <w:tc>
          <w:tcPr>
            <w:tcW w:type="dxa" w:w="360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basedosdados.br_bd_diretorios_brasil.municipio</w:t>
            </w:r>
          </w:p>
        </w:tc>
        <w:tc>
          <w:tcPr>
            <w:tcW w:type="dxa" w:w="3456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id_municipio, nome, centroide (geometria para ST_X e ST_Y)</w:t>
            </w:r>
          </w:p>
        </w:tc>
      </w:tr>
    </w:tbl>
    <w:p>
      <w:pPr>
        <w:spacing w:before="80" w:after="120"/>
      </w:pPr>
    </w:p>
    <w:p>
      <w:pPr>
        <w:keepNext/>
        <w:spacing w:before="160" w:after="40"/>
        <w:jc w:val="center"/>
      </w:pPr>
      <w:r>
        <w:drawing>
          <wp:inline xmlns:a="http://schemas.openxmlformats.org/drawingml/2006/main" xmlns:pic="http://schemas.openxmlformats.org/drawingml/2006/picture">
            <wp:extent cx="5486400" cy="351367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inel_producao_agricola_ibg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5136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before="40" w:after="200"/>
        <w:jc w:val="center"/>
      </w:pPr>
      <w:r>
        <w:rPr>
          <w:rFonts w:ascii="Calibri" w:hAnsi="Calibri"/>
          <w:i/>
          <w:color w:val="64748B"/>
          <w:sz w:val="17"/>
        </w:rPr>
        <w:t>Figura: Figura 2: Painel visual analítico simulado baseado no schema dos endpoints PAM/IBGE.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4. Execução Real, Testes Funcionais e Resultados</w:t>
      </w:r>
    </w:p>
    <w:p>
      <w:r>
        <w:t>A integridade dos endpoints do FastAPI e a conformidade dos contratos de dados foram validadas utilizando o TestClient da FastAPI, cobrindo rotas principais e geração da documentação interativa: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16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Endpoint Testado</w:t>
            </w:r>
          </w:p>
        </w:tc>
        <w:tc>
          <w:tcPr>
            <w:tcW w:type="dxa" w:w="1152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Método</w:t>
            </w:r>
          </w:p>
        </w:tc>
        <w:tc>
          <w:tcPr>
            <w:tcW w:type="dxa" w:w="2880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Parâmetros de Entrada</w:t>
            </w:r>
          </w:p>
        </w:tc>
        <w:tc>
          <w:tcPr>
            <w:tcW w:type="dxa" w:w="3168"/>
            <w:shd w:fill="1E3A8A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jc w:val="left"/>
            </w:pPr>
            <w:r>
              <w:rPr>
                <w:rFonts w:ascii="Calibri" w:hAnsi="Calibri"/>
                <w:b/>
                <w:color w:val="FFFFFF"/>
                <w:sz w:val="19"/>
              </w:rPr>
              <w:t>Resultado Observado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/openapi.json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Nenhum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HTTP 200 OK — 9 rotas documentadas no schema OpenAPI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/leaflet/ufs</w:t>
            </w:r>
          </w:p>
        </w:tc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tipo=permanente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HTTP 200 OK — Lista de UFs produtoras retornada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/leaflet/produtos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uf=SP&amp;ano=2022&amp;tipo=permanente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HTTP 200 OK — Produtos ranqueados por quantidade</w:t>
            </w:r>
          </w:p>
        </w:tc>
      </w:tr>
      <w:tr>
        <w:tc>
          <w:tcPr>
            <w:tcW w:type="dxa" w:w="216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/leaflet/municipios</w:t>
            </w:r>
          </w:p>
        </w:tc>
        <w:tc>
          <w:tcPr>
            <w:tcW w:type="dxa" w:w="1152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GET</w:t>
            </w:r>
          </w:p>
        </w:tc>
        <w:tc>
          <w:tcPr>
            <w:tcW w:type="dxa" w:w="2880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uf=SP&amp;ano=2022&amp;produto=Café&amp;limit=5</w:t>
            </w:r>
          </w:p>
        </w:tc>
        <w:tc>
          <w:tcPr>
            <w:tcW w:type="dxa" w:w="3168"/>
            <w:shd w:fill="F1F5F9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HTTP 200 OK — Cidades com coordenadas lat/long e valor</w:t>
            </w:r>
          </w:p>
        </w:tc>
      </w:tr>
      <w:tr>
        <w:tc>
          <w:tcPr>
            <w:tcW w:type="dxa" w:w="216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Validação de Dependências</w:t>
            </w:r>
          </w:p>
        </w:tc>
        <w:tc>
          <w:tcPr>
            <w:tcW w:type="dxa" w:w="1152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Python CLI</w:t>
            </w:r>
          </w:p>
        </w:tc>
        <w:tc>
          <w:tcPr>
            <w:tcW w:type="dxa" w:w="2880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google-cloud-bigquery, pyarrow, pandas, openai</w:t>
            </w:r>
          </w:p>
        </w:tc>
        <w:tc>
          <w:tcPr>
            <w:tcW w:type="dxa" w:w="3168"/>
            <w:shd w:fill="FFFFFF"/>
            <w:tcMar>
              <w:top w:w="80" w:type="dxa"/>
              <w:bottom w:w="80" w:type="dxa"/>
              <w:left w:w="120" w:type="dxa"/>
              <w:right w:w="120" w:type="dxa"/>
            </w:tcMar>
          </w:tcPr>
          <w:p>
            <w:r>
              <w:rPr>
                <w:rFonts w:ascii="Calibri" w:hAnsi="Calibri"/>
                <w:color w:val="1E293B"/>
                <w:sz w:val="18"/>
              </w:rPr>
              <w:t>Bibliotecas instaladas e operacionais no ambiente</w:t>
            </w:r>
          </w:p>
        </w:tc>
      </w:tr>
    </w:tbl>
    <w:p>
      <w:pPr>
        <w:spacing w:before="80" w:after="1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9360"/>
      </w:tblGrid>
      <w:tr>
        <w:tc>
          <w:tcPr>
            <w:tcW w:type="dxa" w:w="9360"/>
            <w:shd w:fill="F8FAFC"/>
            <w:tcMar>
              <w:top w:w="140" w:type="dxa"/>
              <w:bottom w:w="140" w:type="dxa"/>
              <w:left w:w="200" w:type="dxa"/>
              <w:right w:w="140" w:type="dxa"/>
            </w:tcMar>
            <w:tcBorders>
              <w:left w:val="single" w:sz="24" w:space="0" w:color="0EA5E9"/>
              <w:top w:val="none"/>
              <w:right w:val="none"/>
              <w:bottom w:val="none"/>
            </w:tcBorders>
          </w:tcPr>
          <w:p>
            <w:pPr>
              <w:spacing w:before="0" w:after="40"/>
            </w:pPr>
            <w:r>
              <w:rPr>
                <w:rFonts w:ascii="Calibri" w:hAnsi="Calibri"/>
                <w:b/>
                <w:color w:val="1E3A8A"/>
                <w:sz w:val="21"/>
              </w:rPr>
              <w:t>💡 CONFORMIDADE DE API</w:t>
              <w:br/>
            </w:r>
            <w:r>
              <w:rPr>
                <w:rFonts w:ascii="Calibri" w:hAnsi="Calibri"/>
                <w:color w:val="1E293B"/>
                <w:sz w:val="20"/>
              </w:rPr>
              <w:t>Validação Funcional Bem-Sucedida: Todos os endpoints do backend responderam com sucesso (HTTP 200 OK), confirmando que a camada de serialização, validação Pydantic e roteamento estão plenamente integradas.</w:t>
            </w:r>
          </w:p>
        </w:tc>
      </w:tr>
    </w:tbl>
    <w:p>
      <w:pPr>
        <w:spacing w:after="80"/>
      </w:pP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5. Ambiente de Execução e Gestão de Credenciais</w:t>
      </w:r>
    </w:p>
    <w:p>
      <w:r>
        <w:t>Seguindo as melhores práticas de segurança da informação em computação em nuvem:</w:t>
      </w:r>
    </w:p>
    <w:p>
      <w:r>
        <w:t>1. Chaves de Serviço GCP (credentials.json): O acesso real aos clusters do BigQuery requer credencial de Service Account com papéis de leitura (BigQuery Job User). O arquivo não é exposto no repositório público, garantindo a proteção da infraestrutura.</w:t>
      </w:r>
    </w:p>
    <w:p>
      <w:r>
        <w:t>2. Chave de API OpenAI: A funcionalidade de IA generativa requer a variável de ambiente OPENAI_API_KEY. O sistema possui tratamento gracioso para que os mapas e dashboards operem mesmo sem a ativação do módulo de chat.</w:t>
      </w:r>
    </w:p>
    <w:p>
      <w:pPr>
        <w:keepNext/>
        <w:spacing w:before="320" w:after="120"/>
      </w:pPr>
      <w:r>
        <w:rPr>
          <w:rFonts w:ascii="Calibri" w:hAnsi="Calibri"/>
          <w:b/>
          <w:color w:val="1E3A8A"/>
          <w:sz w:val="28"/>
        </w:rPr>
        <w:t>6. Recomendações Estratégicas para Portfólio</w:t>
      </w:r>
    </w:p>
    <w:p>
      <w:r>
        <w:t>Para evidenciar as competências demonstradas no projeto Data-Roots, recomenda-se enfatizar:</w:t>
      </w:r>
    </w:p>
    <w:p>
      <w:r>
        <w:t>• Engenharia de Analytics em Larga Escala: Destacar a manipulação de dados massivos do IBGE via BigQuery e Data Warehouse moderno.</w:t>
        <w:br/>
        <w:t>• Inteligência Geoespacial (GIS): Demonstrar a capacidade de transformar dados tabulares em mapas interativos via Leaflet e coordenadas centróides.</w:t>
        <w:br/>
        <w:t>• Integração de IA com Aplicações de Negócio: Apresentar a geração de relatórios por LLMs como ferramenta de apoio à tomada de decisão para o agronegócio.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Calibri" w:hAnsi="Calibri"/>
        <w:color w:val="64748B"/>
        <w:sz w:val="17"/>
      </w:rPr>
      <w:t>Portfólio &amp; Dossiê Técnico - Eduardo Lázaro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