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EA5E9"/>
          <w:sz w:val="19"/>
        </w:rPr>
        <w:t>RELATÓRIO TÉCNICO EXECUTIVO • P09 • EFEITO_RUIDO</w:t>
      </w:r>
    </w:p>
    <w:p>
      <w:pPr>
        <w:spacing w:before="0" w:after="80"/>
      </w:pPr>
      <w:r>
        <w:rPr>
          <w:rFonts w:ascii="Calibri" w:hAnsi="Calibri"/>
          <w:b/>
          <w:color w:val="1E3A8A"/>
          <w:sz w:val="44"/>
        </w:rPr>
        <w:t>O Quanto o Ruído Altera a Explicação? Robustez do Grad-CAM</w:t>
      </w:r>
    </w:p>
    <w:p>
      <w:pPr>
        <w:spacing w:before="0" w:after="280"/>
      </w:pPr>
      <w:r>
        <w:rPr>
          <w:rFonts w:ascii="Calibri" w:hAnsi="Calibri"/>
          <w:i/>
          <w:color w:val="64748B"/>
          <w:sz w:val="22"/>
        </w:rPr>
        <w:t>Estudo Experimental em ResNet-50: Métricas de Similaridade Cosseno, IoU e Entropia Espacial sob Ruídos Gaussiano, Sal e Pimenta e Speckle</w:t>
      </w:r>
    </w:p>
    <w:p>
      <w:pPr>
        <w:spacing w:before="0" w:after="240"/>
        <w:pBdr>
          <w:bottom w:val="single" w:sz="8" w:space="4" w:color="0EA5E9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E3A8A"/>
                <w:sz w:val="21"/>
              </w:rPr>
              <w:t>💡 Síntese Executiva do Estudo de Robustez XAI</w:t>
              <w:br/>
            </w:r>
            <w:r>
              <w:rPr>
                <w:rFonts w:ascii="Calibri" w:hAnsi="Calibri"/>
                <w:color w:val="1E293B"/>
                <w:sz w:val="20"/>
              </w:rPr>
              <w:t>Mapas de atenção visual (Grad-CAM) são amplamente adotados para interpretar redes neurais profundas, mas sua sensibilidade a perturbações físicas de sensor raramente é medida com rigor quantitativo. Neste experimento executado com PyTorch e ResNet-50 sob 45 condições empíricas, avaliou-se a degradação dos mapas sob três tipos de ruído. O ruído sal e pimenta causou o maior impacto na sobreposição de áreas ativadas (queda de 16,77% no IoU), enquanto ruídos aditivos e multiplicativos (Gaussiano e Speckle) demonstraram alta resiliência (similaridade cosseno &gt; 0,997). Testes ANOVA confirmaram significância estatística tanto para o tipo (p &lt; 0,0001) quanto para a intensidade do ruído.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1. Contexto Científico e Motivação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E293B"/>
          <w:sz w:val="21"/>
        </w:rPr>
        <w:t>Em cenários críticos (como veículos autônomos e diagnósticos médicos), uma explicação visual que se deforma drasticamente diante de granulação leve de câmera não é confiável. O projeto Efeito Ruído trata a robustez do Grad-CAM como um objeto mensurável e auditável, substituindo a mera inspeção subjetiva por formulações matemáticas objetivas.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1"/>
        </w:rPr>
        <w:t xml:space="preserve">Ficha Técnica: </w:t>
      </w:r>
      <w:r>
        <w:rPr>
          <w:rFonts w:ascii="Calibri" w:hAnsi="Calibri"/>
          <w:i w:val="0"/>
          <w:color w:val="1E293B"/>
          <w:sz w:val="21"/>
        </w:rPr>
        <w:t>Repositório Oficial: https://github.com/EduardoLazaroo/efeito_ruido</w:t>
        <w:br/>
        <w:t>Tipo de Aplicação: Laboratório Científico de Explicabilidade (XAI) / Visão Computacional</w:t>
        <w:br/>
        <w:t>Stack Tecnológica: Python 3.13, PyTorch 2.14, Torchvision, Scikit-Image, SciPy, Matplotlib, Seaborn</w:t>
        <w:br/>
        <w:t>Arquitetura Avaliada: ResNet-50 pré-treinada na ImageNet.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2. Metodologia Experimental e Métricas Objetivas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E293B"/>
          <w:sz w:val="21"/>
        </w:rPr>
        <w:t>Foram avaliadas 45 configurações cruzando 3 famílias de ruído em 3 níveis de intensidade (Baixo, Médio, Alto), quantificando a divergência em relação ao mapa de atenção limpo através de três métricas complementares: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Métrica Empregada</w:t>
            </w:r>
          </w:p>
        </w:tc>
        <w:tc>
          <w:tcPr>
            <w:tcW w:type="dxa" w:w="331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Formulação Conceitual</w:t>
            </w:r>
          </w:p>
        </w:tc>
        <w:tc>
          <w:tcPr>
            <w:tcW w:type="dxa" w:w="302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Aspecto da Explicação Avaliado</w:t>
            </w:r>
          </w:p>
        </w:tc>
      </w:tr>
      <w:tr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Similaridade de Cosseno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cos(θ) = (A · B) / (||A|| ||B||)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Preservação da direção e proporção global dos gradientes de ativação</w:t>
            </w:r>
          </w:p>
        </w:tc>
      </w:tr>
      <w:tr>
        <w:tc>
          <w:tcPr>
            <w:tcW w:type="dxa" w:w="302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Intersection over Union (IoU)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Área de Interseção / Área de União (limiar 50%)</w:t>
            </w:r>
          </w:p>
        </w:tc>
        <w:tc>
          <w:tcPr>
            <w:tcW w:type="dxa" w:w="302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Estabilidade geométrica e sobreposição espacial da região focal</w:t>
            </w:r>
          </w:p>
        </w:tc>
      </w:tr>
      <w:tr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Diferença de Entropia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ΔH = H(perturbado) - H(original)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Dispersão estocástica e perda de concentração do foco de atenção</w:t>
            </w:r>
          </w:p>
        </w:tc>
      </w:tr>
    </w:tbl>
    <w:p>
      <w:pPr>
        <w:spacing w:before="80"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3. Resultados Quantitativos e Ranking de Robustez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E293B"/>
          <w:sz w:val="21"/>
        </w:rPr>
        <w:t>A execução completa do pipeline sobre a ResNet-50 consolidou os seguintes indicadores: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Família de Ruído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Similaridade Cosseno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IoU Médio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Degradação do IoU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Diagnóstico de Impacto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Speckle (Multiplicativo)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0,9989 ± 0,0013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0,9609 ± 0,0277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3,91%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Maior robustez; perturbação proporcional ao brilho local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Gaussiano (Aditivo)</w:t>
            </w:r>
          </w:p>
        </w:tc>
        <w:tc>
          <w:tcPr>
            <w:tcW w:type="dxa" w:w="201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0,9977 ± 0,0023</w:t>
            </w:r>
          </w:p>
        </w:tc>
        <w:tc>
          <w:tcPr>
            <w:tcW w:type="dxa" w:w="201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0,9345 ± 0,0404</w:t>
            </w:r>
          </w:p>
        </w:tc>
        <w:tc>
          <w:tcPr>
            <w:tcW w:type="dxa" w:w="15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6,55%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Resiliência intermediária; ruído distribuído homogeneamente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Sal e Pimenta (Impulsivo)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0,9872 ± 0,0100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0,8323 ± 0,0645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16,77%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Maior sensibilidade; pixels extremos corrompem gradientes locais</w:t>
            </w:r>
          </w:p>
        </w:tc>
      </w:tr>
    </w:tbl>
    <w:p>
      <w:pPr>
        <w:spacing w:before="80"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4. Evidências Visuais e Análise Gráfica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E293B"/>
          <w:sz w:val="21"/>
        </w:rPr>
        <w:t>Abaixo apresentam-se as visualizações geradas diretamente a partir do arquivo results/metrics.csv: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717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gradation_tr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71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Curva de tendência de degradação da similaridade de cosseno em função da intensidade do ruído.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907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analy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9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Mapa de calor bidimensional correlacionando tipo de ruído, nível e IoU.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482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olin_analys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48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Violin Plot: Distribuição de densidade e variabilidade de Cosseno e IoU.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5. Validação Estatística (ANOVA) e Limites Metodológicos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E293B"/>
          <w:sz w:val="21"/>
        </w:rPr>
        <w:t>• Teste ANOVA (Análise de Variância): O impacto do tipo de ruído foi comprovado com F=17,52 (p-value &lt; 0,0001) e o nível de ruído com F=7,87 (p-value = 0,0013), descartando qualquer hipótese de flutuação aleatória nos resultados.</w:t>
        <w:br/>
        <w:br/>
        <w:t>• Ressalva Metodológica Importante: Como apontado na auditoria do dossiê técnico, este experimento foi executado sobre 5 imagens sintéticas controladas com máscaras geométricas. Portanto, a conclusão de que o Grad-CAM apresenta alta robustez média (cosseno 0,9946) deve ser comunicada com cautela científica como um indício preliminar metodológico, e não como uma garantia absoluta para imagens fotográficas complexas.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6. Material de Publicação para Portfólio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E293B"/>
          <w:sz w:val="21"/>
        </w:rPr>
        <w:t>• Título Sugerido: 'O Quão Confiável é a IA Explicável? Testando a Robustez do Grad-CAM sob Ruído de Sensor'</w:t>
        <w:br/>
        <w:t>• Gancho: Demonstrar que a explicabilidade precisa ser testada sob estresse físico antes de ser usada para tomadas de decisão.</w:t>
        <w:br/>
        <w:t>• Ativos Visuais a Anexar: Os gráficos de tendência de degradação e o heatmap de IoU gerados em /evidencias/.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7"/>
      </w:rPr>
      <w:t>Portfólio &amp; Dossiê Técnico - Eduardo Lázaro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