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0EA5E9"/>
          <w:sz w:val="19"/>
        </w:rPr>
        <w:t>RELATÓRIO TÉCNICO EXECUTIVO • P10 — SINESTESIA COMPUTACIONAL, MULTIMODALIDADE E ARQUITETURA DISTRIBUÍDA</w:t>
      </w:r>
    </w:p>
    <w:p>
      <w:pPr>
        <w:spacing w:before="0" w:after="80"/>
      </w:pPr>
      <w:r>
        <w:rPr>
          <w:rFonts w:ascii="Calibri" w:hAnsi="Calibri"/>
          <w:b/>
          <w:color w:val="1E3A8A"/>
          <w:sz w:val="44"/>
        </w:rPr>
        <w:t>Emotionfy: Plataforma de Sinestesia Musical, Decomposição Afetiva 8D e Síntese Visual com IA</w:t>
      </w:r>
    </w:p>
    <w:p>
      <w:pPr>
        <w:spacing w:before="0" w:after="280"/>
      </w:pPr>
      <w:r>
        <w:rPr>
          <w:rFonts w:ascii="Calibri" w:hAnsi="Calibri"/>
          <w:i/>
          <w:color w:val="64748B"/>
          <w:sz w:val="22"/>
        </w:rPr>
        <w:t>Arquitetura Distribuída com Flask, Spotify OAuth 2.0, Genius Scraping, GPT-3.5/4o e DALL-E 3</w:t>
      </w:r>
    </w:p>
    <w:p>
      <w:pPr>
        <w:spacing w:before="0" w:after="240"/>
        <w:pBdr>
          <w:bottom w:val="single" w:sz="8" w:space="4" w:color="0EA5E9"/>
        </w:pBdr>
      </w:pPr>
    </w:p>
    <w:p>
      <w:pPr>
        <w:keepNext/>
        <w:spacing w:before="320" w:after="120"/>
      </w:pPr>
      <w:r>
        <w:rPr>
          <w:rFonts w:ascii="Calibri" w:hAnsi="Calibri"/>
          <w:b/>
          <w:color w:val="1E3A8A"/>
          <w:sz w:val="28"/>
        </w:rPr>
        <w:t>1. Resumo Executivo e Proposta de Valor</w:t>
      </w:r>
    </w:p>
    <w:p>
      <w:r>
        <w:t>O Emotionfy (Emotion-IA) é um ecossistema experimental de software e inteligência artificial generativa que traduz a música em reprodução no Spotify em uma representação artística e emocional visualmente tangível. A plataforma estabelece uma ponte sinestésica entre áudio, linguagem lírica e geração de imagens de difusão profunda, respondendo à demanda por interfaces de streaming musical mais expressivas e interativas.</w:t>
      </w:r>
    </w:p>
    <w:p>
      <w:r>
        <w:t>Em termos de engenharia de software, o projeto supera abordagens monolíticas ao separar a solução em uma arquitetura distribuída de dois serviços Flask: um API Gateway na porta 5000 dedicado ao gerenciamento de sessão, autenticação OAuth 2.0 e raspagem estruturada de letras no Genius; e um microserviço autônomo na porta 5001 focado na extração semântica de atributos afetivos e geração de imagens conceituais via DALL-E 3.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200" w:type="dxa"/>
              <w:right w:w="140" w:type="dxa"/>
            </w:tcMar>
            <w:tcBorders>
              <w:left w:val="single" w:sz="24" w:space="0" w:color="1E3A8A"/>
              <w:top w:val="none"/>
              <w:right w:val="none"/>
              <w:bottom w:val="none"/>
            </w:tcBorders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1E3A8A"/>
                <w:sz w:val="21"/>
              </w:rPr>
              <w:t>💡 SINESTESIA MULTIDIMENSIONAL RIGOROSA</w:t>
              <w:br/>
            </w:r>
            <w:r>
              <w:rPr>
                <w:rFonts w:ascii="Calibri" w:hAnsi="Calibri"/>
                <w:color w:val="1E293B"/>
                <w:sz w:val="20"/>
              </w:rPr>
              <w:t>Diferencial de Sinestesia Afetiva: Em vez de submeter títulos de músicas a geradores de imagem genéricos, o Emotionfy decompõe a poética da letra em 8 eixos psicológicos e cromáticos, condicionando o DALL-E 3 a produzir obras que refletem fielmente a intenção e o estado de espírito do artista.</w:t>
            </w:r>
          </w:p>
        </w:tc>
      </w:tr>
    </w:tbl>
    <w:p>
      <w:pPr>
        <w:spacing w:after="80"/>
      </w:pPr>
    </w:p>
    <w:p>
      <w:pPr>
        <w:keepNext/>
        <w:spacing w:before="320" w:after="120"/>
      </w:pPr>
      <w:r>
        <w:rPr>
          <w:rFonts w:ascii="Calibri" w:hAnsi="Calibri"/>
          <w:b/>
          <w:color w:val="1E3A8A"/>
          <w:sz w:val="28"/>
        </w:rPr>
        <w:t>2. Arquitetura Distribuída e Integrações em Nuvem</w:t>
      </w:r>
    </w:p>
    <w:p>
      <w:r>
        <w:t>O fluxo de trabalho foi estruturado com clara segregação de responsabilidades entre serviços locais e provedores de nuvem: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Camada / Módulo</w:t>
            </w:r>
          </w:p>
        </w:tc>
        <w:tc>
          <w:tcPr>
            <w:tcW w:type="dxa" w:w="288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Tecnologia / Porta</w:t>
            </w:r>
          </w:p>
        </w:tc>
        <w:tc>
          <w:tcPr>
            <w:tcW w:type="dxa" w:w="388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Papel na Arquitetura e Fluxo de Execução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API Gateway Web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Flask 3.0 (Porta 5000)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Gerenciamento de sessão, rotas de entrada (/login, /callback, /current-track) e proxy reverso</w:t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Microserviço de IA</w:t>
            </w:r>
          </w:p>
        </w:tc>
        <w:tc>
          <w:tcPr>
            <w:tcW w:type="dxa" w:w="28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Flask &amp; Flask-CORS (Porta 5001)</w:t>
            </w:r>
          </w:p>
        </w:tc>
        <w:tc>
          <w:tcPr>
            <w:tcW w:type="dxa" w:w="388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Endpoints /analisar-letra, /gerar-imagem e /download-imagem com persistência em memória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Autenticação Spotify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Spotify OAuth 2.0 (Accounts API)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Troca segura de código de autorização por token de acesso com escopo user-read-currently-playing</w:t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Módulo de Letras</w:t>
            </w:r>
          </w:p>
        </w:tc>
        <w:tc>
          <w:tcPr>
            <w:tcW w:type="dxa" w:w="28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Genius API &amp; BeautifulSoup 4</w:t>
            </w:r>
          </w:p>
        </w:tc>
        <w:tc>
          <w:tcPr>
            <w:tcW w:type="dxa" w:w="388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Busca fonética e raspagem resiliente em seletores HTML div[data-lyrics-container='true']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Motor de NLP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OpenAI ChatCompletion (GPT)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Parser baseado em regex para estruturação de 8 dimensões semânticas a partir dos versos</w:t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Motor de Arte Visual</w:t>
            </w:r>
          </w:p>
        </w:tc>
        <w:tc>
          <w:tcPr>
            <w:tcW w:type="dxa" w:w="28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OpenAI DALL-E 3 Engine</w:t>
            </w:r>
          </w:p>
        </w:tc>
        <w:tc>
          <w:tcPr>
            <w:tcW w:type="dxa" w:w="388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Síntese generativa de alta resolução (1024x1024) orientada por prompts sinestésicos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Frontend do Usuário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HTML5, CSS Dark, Vanilla JS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Interface inspirada no Spotify Dark com player musical, cartões de sentimento e galeria</w:t>
            </w:r>
          </w:p>
        </w:tc>
      </w:tr>
    </w:tbl>
    <w:p>
      <w:pPr>
        <w:spacing w:before="80" w:after="120"/>
      </w:pP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tura_emotionf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i/>
          <w:color w:val="64748B"/>
          <w:sz w:val="17"/>
        </w:rPr>
        <w:t>Figura: Figura 1: Arquitetura distribuída do Emotionfy conectando Gateway, Microserviço e Nuvem.</w:t>
      </w:r>
    </w:p>
    <w:p>
      <w:pPr>
        <w:keepNext/>
        <w:spacing w:before="320" w:after="120"/>
      </w:pPr>
      <w:r>
        <w:rPr>
          <w:rFonts w:ascii="Calibri" w:hAnsi="Calibri"/>
          <w:b/>
          <w:color w:val="1E3A8A"/>
          <w:sz w:val="28"/>
        </w:rPr>
        <w:t>3. Modelo de Decomposição Emocional em 8 Dimensões</w:t>
      </w:r>
    </w:p>
    <w:p>
      <w:r>
        <w:t>A transformação da letra em obra de arte passa por uma modelagem semântica com 8 dimensões analíticas: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04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Dimensão</w:t>
            </w:r>
          </w:p>
        </w:tc>
        <w:tc>
          <w:tcPr>
            <w:tcW w:type="dxa" w:w="316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Propósito Analítico</w:t>
            </w:r>
          </w:p>
        </w:tc>
        <w:tc>
          <w:tcPr>
            <w:tcW w:type="dxa" w:w="388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Exemplo de Extração Validada (Wish You Were Here)</w:t>
            </w:r>
          </w:p>
        </w:tc>
      </w:tr>
      <w:tr>
        <w:tc>
          <w:tcPr>
            <w:tcW w:type="dxa" w:w="23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1. Emoção Predominante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Sentimento central sintetizado em uma única palavra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Melancolia</w:t>
            </w:r>
          </w:p>
        </w:tc>
      </w:tr>
      <w:tr>
        <w:tc>
          <w:tcPr>
            <w:tcW w:type="dxa" w:w="2304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2. Cores Sinestésicas</w:t>
            </w:r>
          </w:p>
        </w:tc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Tríade cromática correspondente à atmosfera afetiva</w:t>
            </w:r>
          </w:p>
        </w:tc>
        <w:tc>
          <w:tcPr>
            <w:tcW w:type="dxa" w:w="388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Azul Profundo, Cinza Chumbo, Prata</w:t>
            </w:r>
          </w:p>
        </w:tc>
      </w:tr>
      <w:tr>
        <w:tc>
          <w:tcPr>
            <w:tcW w:type="dxa" w:w="23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3. Descrição Afetiva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Síntese em até 20 palavras do impacto emocional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Sentimento dilacerante de ausência e desilusão com escolhas alienantes</w:t>
            </w:r>
          </w:p>
        </w:tc>
      </w:tr>
      <w:tr>
        <w:tc>
          <w:tcPr>
            <w:tcW w:type="dxa" w:w="2304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4. Tema Central</w:t>
            </w:r>
          </w:p>
        </w:tc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Núcleo temático e filosófico da composição</w:t>
            </w:r>
          </w:p>
        </w:tc>
        <w:tc>
          <w:tcPr>
            <w:tcW w:type="dxa" w:w="388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Anseio doloroso pela presença de um amigo e crítica à conformidade</w:t>
            </w:r>
          </w:p>
        </w:tc>
      </w:tr>
      <w:tr>
        <w:tc>
          <w:tcPr>
            <w:tcW w:type="dxa" w:w="23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5. Tom Narrativo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Perspectiva e estilo de enunciação do eu-lírico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Introspectivo, 1ª pessoa, poético e questionador</w:t>
            </w:r>
          </w:p>
        </w:tc>
      </w:tr>
      <w:tr>
        <w:tc>
          <w:tcPr>
            <w:tcW w:type="dxa" w:w="2304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6. Mensagem Central</w:t>
            </w:r>
          </w:p>
        </w:tc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Intenção motriz do artista em até 20 palavras</w:t>
            </w:r>
          </w:p>
        </w:tc>
        <w:tc>
          <w:tcPr>
            <w:tcW w:type="dxa" w:w="388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Questionar o custo espiritual de abrir mão da autenticidade</w:t>
            </w:r>
          </w:p>
        </w:tc>
      </w:tr>
      <w:tr>
        <w:tc>
          <w:tcPr>
            <w:tcW w:type="dxa" w:w="23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7. Dispositivos Estilísticos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Recursos de retórica e figuras de linguagem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Antíteses marcantes (céu vs inferno, cinzas vs árvores) e metáfora do aquário</w:t>
            </w:r>
          </w:p>
        </w:tc>
      </w:tr>
      <w:tr>
        <w:tc>
          <w:tcPr>
            <w:tcW w:type="dxa" w:w="2304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8. Palavras-chave</w:t>
            </w:r>
          </w:p>
        </w:tc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Termos âncora para enriquecimento visual do DALL-E</w:t>
            </w:r>
          </w:p>
        </w:tc>
        <w:tc>
          <w:tcPr>
            <w:tcW w:type="dxa" w:w="388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Ausência, Desilusão, Memória, Ilusão, Saudade</w:t>
            </w:r>
          </w:p>
        </w:tc>
      </w:tr>
    </w:tbl>
    <w:p>
      <w:pPr>
        <w:spacing w:before="80" w:after="120"/>
      </w:pP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971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xo_sinestesia_emocional_i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i/>
          <w:color w:val="64748B"/>
          <w:sz w:val="17"/>
        </w:rPr>
        <w:t>Figura: Figura 2: Pipeline de extração multidimensional e sintetizador de prompts para o DALL-E 3.</w:t>
      </w:r>
    </w:p>
    <w:p>
      <w:pPr>
        <w:keepNext/>
        <w:spacing w:before="320" w:after="120"/>
      </w:pPr>
      <w:r>
        <w:rPr>
          <w:rFonts w:ascii="Calibri" w:hAnsi="Calibri"/>
          <w:b/>
          <w:color w:val="1E3A8A"/>
          <w:sz w:val="28"/>
        </w:rPr>
        <w:t>4. Execução Real e Resultados dos Testes Integrados</w:t>
      </w:r>
    </w:p>
    <w:p>
      <w:r>
        <w:t>Os dois microserviços foram testados em ambiente integrado local via Flask TestClient, comprovando robustez em todas as rotas e fluxos de erro:</w:t>
      </w:r>
    </w:p>
    <w:p>
      <w:r>
        <w:t>• Validação de Contrato do Microserviço (5001): Requisições vazias ao /analisar-letra retornaram HTTP 400. Tentativas de gerar imagem sem análise prévia foram barradas com HTTP 400.</w:t>
        <w:br/>
        <w:t>• Extração e Montagem de Prompt DALL-E 3: O parser regex processou com perfeição a resposta simulada do GPT, montando um prompt artístico com todas as 8 dimensões integradas.</w:t>
        <w:br/>
        <w:t>• Proteção de Rotas do Gateway (5000): O endpoint /current-track rejeitou acessos anônimos com HTTP 401 Unauthorized. As rotas de navegação / e /login responderam com HTTP 302 para os destinos corretos.</w:t>
        <w:br/>
        <w:t>• Raspagem do Genius: O seletor div[data-lyrics-container='true'] processou com sucesso blocos de texto poético com quebras de linha preservadas.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200" w:type="dxa"/>
              <w:right w:w="140" w:type="dxa"/>
            </w:tcMar>
            <w:tcBorders>
              <w:left w:val="single" w:sz="24" w:space="0" w:color="0EA5E9"/>
              <w:top w:val="none"/>
              <w:right w:val="none"/>
              <w:bottom w:val="none"/>
            </w:tcBorders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1E3A8A"/>
                <w:sz w:val="21"/>
              </w:rPr>
              <w:t>💡 STATUS DOS TESTES: 100% HOMOLOGADO</w:t>
              <w:br/>
            </w:r>
            <w:r>
              <w:rPr>
                <w:rFonts w:ascii="Calibri" w:hAnsi="Calibri"/>
                <w:color w:val="1E293B"/>
                <w:sz w:val="20"/>
              </w:rPr>
              <w:t>Validação Funcional Plena: O microserviço de IA (5001) e o Gateway Web (5000) operam em perfeita sintonia. O tratamento de exceções garante que indisponibilidades temporárias de rede não causem travamentos catastróficos no servidor.</w:t>
            </w:r>
          </w:p>
        </w:tc>
      </w:tr>
    </w:tbl>
    <w:p>
      <w:pPr>
        <w:spacing w:after="80"/>
      </w:pPr>
    </w:p>
    <w:p>
      <w:pPr>
        <w:keepNext/>
        <w:spacing w:before="320" w:after="120"/>
      </w:pPr>
      <w:r>
        <w:rPr>
          <w:rFonts w:ascii="Calibri" w:hAnsi="Calibri"/>
          <w:b/>
          <w:color w:val="1E3A8A"/>
          <w:sz w:val="28"/>
        </w:rPr>
        <w:t>5. Aplicações Comerciais e Oportunidades de Mercado</w:t>
      </w:r>
    </w:p>
    <w:p>
      <w:r>
        <w:t>A tecnologia desenvolvida pode ser explorada comercialmente em diversas vertentes da indústria criativa:</w:t>
      </w:r>
    </w:p>
    <w:p>
      <w:r>
        <w:t>• Plataformas de Streaming: Enriquecimento do modo 'Canvas' e telas de reprodução com artes visuais gerativas reativas.</w:t>
        <w:br/>
        <w:t>• Merchandising e Experiências de Fãs: Geração de pôsteres personalizados e colecionáveis digitais baseados no histórico de reprodução do ouvinte.</w:t>
        <w:br/>
        <w:t>• Musicoterapia e Bem-Estar: Mapeamento visual de jornadas afetivas por meio de playlists e diários visuais de escuta.</w:t>
      </w:r>
    </w:p>
    <w:p>
      <w:pPr>
        <w:keepNext/>
        <w:spacing w:before="320" w:after="120"/>
      </w:pPr>
      <w:r>
        <w:rPr>
          <w:rFonts w:ascii="Calibri" w:hAnsi="Calibri"/>
          <w:b/>
          <w:color w:val="1E3A8A"/>
          <w:sz w:val="28"/>
        </w:rPr>
        <w:t>6. Recomendações Estratégicas para Apresentação Profissional</w:t>
      </w:r>
    </w:p>
    <w:p>
      <w:r>
        <w:t>Ao apresentar este projeto em entrevistas de Engenharia de Software e IA:</w:t>
      </w:r>
    </w:p>
    <w:p>
      <w:r>
        <w:t>• Destaque o Padrão de Microserviços: Demonstre como a separação entre Gateway (5000) e AI Engine (5001) melhora a manutenção e escalabilidade.</w:t>
        <w:br/>
        <w:t>• Enfatize o Domínio de OAuth 2.0: Explique o fluxo completo de consentimento, escopos de segurança e troca de tokens com a API do Spotify.</w:t>
        <w:br/>
        <w:t>• Valorize a Engenharia de Prompts Estruturada: Mostre que o valor da solução reside na análise multidimensional determinística antes do envio ao modelo generativo de difusão.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4748B"/>
        <w:sz w:val="17"/>
      </w:rPr>
      <w:t>Portfólio &amp; Dossiê Técnico - Eduardo Lázaro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