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EA5E9"/>
          <w:sz w:val="19"/>
        </w:rPr>
        <w:t>RELATÓRIO TÉCNICO EXECUTIVO • P03 • ARTIGO-BD</w:t>
      </w:r>
    </w:p>
    <w:p>
      <w:pPr>
        <w:spacing w:before="0" w:after="80"/>
      </w:pPr>
      <w:r>
        <w:rPr>
          <w:rFonts w:ascii="Calibri" w:hAnsi="Calibri"/>
          <w:b/>
          <w:color w:val="1E3A8A"/>
          <w:sz w:val="44"/>
        </w:rPr>
        <w:t>Persistência Híbrida de Evidências em IA Explicável (XAI)</w:t>
      </w:r>
    </w:p>
    <w:p>
      <w:pPr>
        <w:spacing w:before="0" w:after="280"/>
      </w:pPr>
      <w:r>
        <w:rPr>
          <w:rFonts w:ascii="Calibri" w:hAnsi="Calibri"/>
          <w:i/>
          <w:color w:val="64748B"/>
          <w:sz w:val="22"/>
        </w:rPr>
        <w:t>Artigo Científico de Pós-Graduação (UNESP): Arquitetura Tripartite (MySQL + Qdrant + MinIO) para Auditoria e Busca de Mapas Grad-CAM</w:t>
      </w:r>
    </w:p>
    <w:p>
      <w:pPr>
        <w:spacing w:before="0" w:after="240"/>
        <w:pBdr>
          <w:bottom w:val="single" w:sz="8" w:space="4" w:color="0EA5E9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E3A8A"/>
                <w:sz w:val="21"/>
              </w:rPr>
              <w:t>💡 Síntese Executiva da Proposta Científica</w:t>
              <w:br/>
            </w:r>
            <w:r>
              <w:rPr>
                <w:rFonts w:ascii="Calibri" w:hAnsi="Calibri"/>
                <w:color w:val="1E293B"/>
                <w:sz w:val="20"/>
              </w:rPr>
              <w:t>Sistemas de visão computacional em produção descartam mapas de explicabilidade, tornando auditorias regulatórias e diagnósticos de falha quase impossíveis após a inferência. Este artigo propõe uma arquitetura tripartite inovadora que distribui o armazenamento de acordo com a natureza do dado: MySQL para metadados e parâmetros, Qdrant para embeddings de atenção visual e MinIO para artefatos brutos. No benchmark com 400 inferências e 4 tipos de perturbação, a recuperação por similaridade atingiu média de 31,35 ms sobre 247,64 MB de dados, viabilizando a governança contínua de IA.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1. Contexto Científico e o Problema do Descarte Efêmero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1E293B"/>
          <w:sz w:val="21"/>
        </w:rPr>
        <w:t>A rápida expansão de redes neurais profundas (Deep Learning) em domínios críticos impulsionou o uso de métodos de Inteligência Artificial Explicável (XAI), com destaque para o Grad-CAM. Contudo, na literatura de bancos de dados e engenharia de software, tais explicações são tratadas exclusivamente como artefatos temporários de inspeção humana em notebooks. O artigo aborda a questão central: Como persistir, versionar e recuperar eficientemente evidências explicativas para fins de auditoria?</w:t>
      </w:r>
    </w:p>
    <w:p>
      <w:pPr>
        <w:spacing w:before="0" w:after="120" w:line="276" w:lineRule="auto"/>
      </w:pPr>
      <w:r>
        <w:rPr>
          <w:rFonts w:ascii="Calibri" w:hAnsi="Calibri"/>
          <w:b/>
          <w:color w:val="1E293B"/>
          <w:sz w:val="21"/>
        </w:rPr>
        <w:t xml:space="preserve">Ficha Acadêmica: </w:t>
      </w:r>
      <w:r>
        <w:rPr>
          <w:rFonts w:ascii="Calibri" w:hAnsi="Calibri"/>
          <w:i w:val="0"/>
          <w:color w:val="1E293B"/>
          <w:sz w:val="21"/>
        </w:rPr>
        <w:t>Instituição: Universidade Estadual Paulista (UNESP) - Programa de Pós-Graduação em Ciência da Computação</w:t>
        <w:br/>
        <w:t>Disciplina: Banco de Dados Avançado</w:t>
        <w:br/>
        <w:t>Autor: Eduardo Lázaro Roesler de Oliveira</w:t>
        <w:br/>
        <w:t>Artigo Compilado: Artigo_Banco_Dados_Eduardo_Lazaro.pdf (10 páginas em padrão ABNT)</w:t>
        <w:br/>
        <w:t>Repositório Oficial: https://github.com/EduardoLazaroo/artigo-bd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2. Arquitetura Tripartite de Persistência Híbrida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1E293B"/>
          <w:sz w:val="21"/>
        </w:rPr>
        <w:t>A solução rompe com a tentativa de armazenar tudo em um único SGBD e adota o paradigma de persistência poliglota especializada: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Camada / Motor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Tecnologia Empregada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Estrutura Armazenada</w:t>
            </w:r>
          </w:p>
        </w:tc>
        <w:tc>
          <w:tcPr>
            <w:tcW w:type="dxa" w:w="273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Propósito no Ciclo de XAI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Camada Relacional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MySQL 8.0 (InnoDB)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Tabelas de predições, classes, parâmetros, logs de auditoria e níveis de risco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Consultas estruturadas ACID, filtros relacionais e rastreabilidade temporal</w:t>
            </w:r>
          </w:p>
        </w:tc>
      </w:tr>
      <w:tr>
        <w:tc>
          <w:tcPr>
            <w:tcW w:type="dxa" w:w="216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Camada Vetorial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Qdrant (HNSW Cosine)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Vetores de embedding espacial (512d) extraídos dos mapas de atenção</w:t>
            </w:r>
          </w:p>
        </w:tc>
        <w:tc>
          <w:tcPr>
            <w:tcW w:type="dxa" w:w="273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Busca top-k por similaridade visual de explicações e detecção de anomalias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Armazenamento de Objetos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MinIO (S3-Compatible)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Imagens originais (JPEG), matrizes brutas e heatmaps Grad-CAM renderizados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Armazenamento econômico e de alta taxa de transferência para dados volumosos</w:t>
            </w:r>
          </w:p>
        </w:tc>
      </w:tr>
    </w:tbl>
    <w:p>
      <w:pPr>
        <w:spacing w:before="80" w:after="120"/>
      </w:pP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7"/>
        </w:rPr>
        <w:t>Figura: Figura 3 do Artigo: Fluxo arquitetural integrando inferência ResNet-50, MySQL, Qdrant e MinIO.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3. Metodologia Experimental e Indicadores do Benchmark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1E293B"/>
          <w:sz w:val="21"/>
        </w:rPr>
        <w:t>O experimento avaliou o pipeline sobre 100 imagens do Oxford-IIIT Pet Dataset (11 classes representativas) submetidas a 4 variantes de aquisição: imagem original limpa, ruído Gaussiano aditivo, desfoque óptico e variação de brilho (totalizando 400 inferências):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Métrica Experimental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Valor Obtido</w:t>
            </w:r>
          </w:p>
        </w:tc>
        <w:tc>
          <w:tcPr>
            <w:tcW w:type="dxa" w:w="374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Interpretação Prática</w:t>
            </w:r>
          </w:p>
        </w:tc>
      </w:tr>
      <w:tr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Total de Inferências Auditadas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400 execuções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100 imagens x 4 variantes experimentais</w:t>
            </w:r>
          </w:p>
        </w:tc>
      </w:tr>
      <w:tr>
        <w:tc>
          <w:tcPr>
            <w:tcW w:type="dxa" w:w="302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Tempo Médio de Persistência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9.417,73 ms / lote</w:t>
            </w:r>
          </w:p>
        </w:tc>
        <w:tc>
          <w:tcPr>
            <w:tcW w:type="dxa" w:w="374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Geração do Grad-CAM, hashing, compressão e gravação nos 3 repositórios</w:t>
            </w:r>
          </w:p>
        </w:tc>
      </w:tr>
      <w:tr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Tempo Médio de Recuperação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31,35 ms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Consulta híbrida cruzando SQL relacional e busca de vizinhos no Qdrant</w:t>
            </w:r>
          </w:p>
        </w:tc>
      </w:tr>
      <w:tr>
        <w:tc>
          <w:tcPr>
            <w:tcW w:type="dxa" w:w="302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Volume Total Armazenado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247,64 MB</w:t>
            </w:r>
          </w:p>
        </w:tc>
        <w:tc>
          <w:tcPr>
            <w:tcW w:type="dxa" w:w="374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Armazenamento consolidado das 400 variantes e evidências nos 3 bancos</w:t>
            </w:r>
          </w:p>
        </w:tc>
      </w:tr>
      <w:tr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Índice Médio de Sobreposição (IoU)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0,8456 (84,56%)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Preservação da região focal de atenção mesmo sob perturbações leves</w:t>
            </w:r>
          </w:p>
        </w:tc>
      </w:tr>
      <w:tr>
        <w:tc>
          <w:tcPr>
            <w:tcW w:type="dxa" w:w="302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Classificação de Risco de Falha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20 CRITICAL (6,7%), 7 MODERATE, 273 LOW</w:t>
            </w:r>
          </w:p>
        </w:tc>
        <w:tc>
          <w:tcPr>
            <w:tcW w:type="dxa" w:w="374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Detecção automática de divergência severa induzida por perturbações</w:t>
            </w:r>
          </w:p>
        </w:tc>
      </w:tr>
    </w:tbl>
    <w:p>
      <w:pPr>
        <w:spacing w:before="80"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4. Impacto das Perturbações nos Mapas de Atenção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1E293B"/>
          <w:sz w:val="21"/>
        </w:rPr>
        <w:t>As figuras registradas evidenciam a sensibilidade da ResNet-50 e a capacidade do sistema em auditar a deformação das regiões focais: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14800" cy="476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radcam_origi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7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7"/>
        </w:rPr>
        <w:t>Figura: Grad-CAM Baseline: Foco de atenção concentrado na região facial do animal.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14800" cy="476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gradcam_gaussi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7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7"/>
        </w:rPr>
        <w:t>Figura: Grad-CAM sob Ruído Gaussiano: Dispersão da atenção e perda de coerência semântica.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14800" cy="4762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gradcam_blu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7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7"/>
        </w:rPr>
        <w:t>Figura: Grad-CAM sob Desfoque: Deslocamento parcial da saliência visual para o contorno corporal.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5. Material de Publicação e Portfólio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1E293B"/>
          <w:sz w:val="21"/>
        </w:rPr>
        <w:t>• Título Sugerido: 'Armazenando o Pensamento das Redes Neurais: Uma Arquitetura Híbrida para Auditoria de IA Explicável'</w:t>
        <w:br/>
        <w:t>• Foco da Publicação: Apresentar a engenharia de dados sofisticada (MySQL + Qdrant + MinIO) combinada com pesquisa formal em Deep Learning.</w:t>
        <w:br/>
        <w:t>• Evidências a Anexar: Diagrama de três camadas e comparativo visual de Grad-CAM sob ruído.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7"/>
      </w:rPr>
      <w:t>Portfólio &amp; Dossiê Técnico - Eduardo Lázaro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