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rFonts w:ascii="Times New Roman" w:hAnsi="Times New Roman" w:eastAsia="Times New Roman"/>
          <w:b/>
          <w:sz w:val="32"/>
        </w:rPr>
        <w:t>Arquitetura Híbrida de Persistência e Recuperação de Evidências Explicativas em Sistemas de Visão Computacional Baseados em Deep Learning</w:t>
      </w:r>
    </w:p>
    <w:p>
      <w:pPr>
        <w:spacing w:after="120"/>
        <w:jc w:val="center"/>
      </w:pPr>
      <w:r>
        <w:rPr>
          <w:rFonts w:ascii="Times New Roman" w:hAnsi="Times New Roman" w:eastAsia="Times New Roman"/>
          <w:b w:val="0"/>
          <w:sz w:val="24"/>
        </w:rPr>
        <w:t>Eduardo Lázaro Roesler de Oliveira</w:t>
      </w:r>
    </w:p>
    <w:p>
      <w:pPr>
        <w:spacing w:after="120"/>
        <w:jc w:val="center"/>
      </w:pPr>
      <w:r>
        <w:rPr>
          <w:rFonts w:ascii="Times New Roman" w:hAnsi="Times New Roman" w:eastAsia="Times New Roman"/>
          <w:b w:val="0"/>
          <w:sz w:val="22"/>
        </w:rPr>
        <w:t>Universidade Estadual Paulista (UNESP) - Faculdade de Ciências e Tecnologia</w:t>
      </w:r>
    </w:p>
    <w:p>
      <w:pPr>
        <w:spacing w:after="480"/>
        <w:jc w:val="center"/>
      </w:pPr>
      <w:r>
        <w:rPr>
          <w:rFonts w:ascii="Times New Roman" w:hAnsi="Times New Roman" w:eastAsia="Times New Roman"/>
          <w:b w:val="0"/>
          <w:sz w:val="22"/>
        </w:rPr>
        <w:t>Programa de Pós-Graduação em Ciência da Computação - Disciplina de Banco de Dados</w:t>
      </w:r>
    </w:p>
    <w:p>
      <w:pPr>
        <w:jc w:val="center"/>
      </w:pPr>
      <w:r>
        <w:rPr>
          <w:rFonts w:ascii="Times New Roman" w:hAnsi="Times New Roman" w:eastAsia="Times New Roman"/>
          <w:b w:val="0"/>
          <w:sz w:val="24"/>
        </w:rPr>
        <w:t>Presidente Prudente, 2026</w:t>
      </w:r>
    </w:p>
    <w:p>
      <w:r>
        <w:br w:type="page"/>
      </w:r>
    </w:p>
    <w:p>
      <w:pPr>
        <w:pStyle w:val="Heading1"/>
      </w:pPr>
      <w:r>
        <w:rPr>
          <w:rFonts w:ascii="Times New Roman" w:hAnsi="Times New Roman" w:eastAsia="Times New Roman"/>
          <w:b/>
          <w:color w:val="000000"/>
          <w:sz w:val="32"/>
        </w:rPr>
        <w:t>Resumo</w:t>
      </w:r>
    </w:p>
    <w:p>
      <w:pPr>
        <w:spacing w:after="120" w:line="360" w:lineRule="auto"/>
        <w:ind w:firstLine="709"/>
      </w:pPr>
      <w:r>
        <w:rPr>
          <w:rFonts w:ascii="Times New Roman" w:hAnsi="Times New Roman" w:eastAsia="Times New Roman"/>
          <w:b w:val="0"/>
          <w:i w:val="0"/>
          <w:sz w:val="24"/>
        </w:rPr>
        <w:t>O avanço recente dos modelos de Deep Learning tem impulsionado a adoção de sistemas de Inteligência Artificial em diversos domínios, especialmente em aplicações de Visão Computacional. Embora esses modelos apresentem elevado desempenho preditivo, suas decisões frequentemente são caracterizadas por baixa interpretabilidade. Como resposta a esse desafio, técnicas de Explainable Artificial Intelligence (XAI) têm sido amplamente exploradas para produzir evidências explicativas. Entretanto, a maior parte dos estudos concentra-se na produção dessas evidências, enquanto pouca atenção é dedicada ao seu armazenamento, gerenciamento e recuperação posterior. Diante desse cenário, este trabalho investiga como uma arquitetura híbrida de persistência pode contribuir para o armazenamento, recuperação e auditoria de evidências explicativas produzidas por sistemas de Visão Computacional baseados em Deep Learning. A arquitetura proposta integra três tecnologias complementares: MySQL para persistência relacional de metadados, Qdrant para indexação e busca vetorial de embeddings, e MinIO para armazenamento de objetos multimídia. Os resultados experimentais demonstram que a arquitetura é capaz de persistir evidências explicativas com integridade referencial, recuperar evidências similares em tempo real (aproximadamente 14 ms) e armazenar ativos multimídia de forma eficiente, contribuindo para mecanismos mais robustos de auditoria, rastreabilidade e recuperação contextual de inferências.</w:t>
      </w:r>
    </w:p>
    <w:p>
      <w:pPr>
        <w:spacing w:after="120" w:line="360" w:lineRule="auto"/>
      </w:pPr>
      <w:r>
        <w:rPr>
          <w:rFonts w:ascii="Times New Roman" w:hAnsi="Times New Roman" w:eastAsia="Times New Roman"/>
          <w:b w:val="0"/>
          <w:i w:val="0"/>
          <w:sz w:val="24"/>
        </w:rPr>
        <w:t>Palavras-chave: Explainable AI, Bancos de Dados Híbridos, Persistência de Evidências, Visão Computacional, Deep Learning, Busca por Similaridade, Auditoria de IA.</w:t>
      </w:r>
    </w:p>
    <w:p>
      <w:r>
        <w:br w:type="page"/>
      </w:r>
    </w:p>
    <w:p>
      <w:pPr>
        <w:pStyle w:val="Heading1"/>
      </w:pPr>
      <w:r>
        <w:rPr>
          <w:rFonts w:ascii="Times New Roman" w:hAnsi="Times New Roman" w:eastAsia="Times New Roman"/>
          <w:b/>
          <w:color w:val="000000"/>
          <w:sz w:val="32"/>
        </w:rPr>
        <w:t>1. Introdução</w:t>
      </w:r>
    </w:p>
    <w:p>
      <w:pPr>
        <w:spacing w:after="120" w:line="360" w:lineRule="auto"/>
        <w:ind w:firstLine="709"/>
      </w:pPr>
      <w:r>
        <w:rPr>
          <w:rFonts w:ascii="Times New Roman" w:hAnsi="Times New Roman" w:eastAsia="Times New Roman"/>
          <w:b w:val="0"/>
          <w:i w:val="0"/>
          <w:sz w:val="24"/>
        </w:rPr>
        <w:t>O avanço recente dos modelos de Deep Learning tem impulsionado a adoção de sistemas de Inteligência Artificial (IA) em diversos domínios, especialmente em aplicações de Visão Computacional, como classificação de imagens, detecção de objetos e diagnóstico médico por imagem (LECUN et al., 2015; HE et al., 2016). Modelos como ResNet50 são capazes de classificar imagens com alta acurácia, superando humanos em tarefas específicas.</w:t>
      </w:r>
    </w:p>
    <w:p>
      <w:pPr>
        <w:spacing w:after="120" w:line="360" w:lineRule="auto"/>
        <w:ind w:firstLine="709"/>
      </w:pPr>
      <w:r>
        <w:rPr>
          <w:rFonts w:ascii="Times New Roman" w:hAnsi="Times New Roman" w:eastAsia="Times New Roman"/>
          <w:b w:val="0"/>
          <w:i w:val="0"/>
          <w:sz w:val="24"/>
        </w:rPr>
        <w:t>No entanto, esses modelos operam frequentemente como "caixas-pretas" — produzem uma decisão sem explicar quais fatores influenciaram determinada classificação ou predição (RIBEIRO et al., 2016). Essa baixa interpretabilidade torna difícil compreender, auditar e confiar nas decisões automatizadas, especialmente em contextos críticos como diagnóstico médico, veículos autônomos e sistemas de vigilância.</w:t>
      </w:r>
    </w:p>
    <w:p>
      <w:pPr>
        <w:spacing w:after="120" w:line="360" w:lineRule="auto"/>
        <w:ind w:firstLine="709"/>
      </w:pPr>
      <w:r>
        <w:rPr>
          <w:rFonts w:ascii="Times New Roman" w:hAnsi="Times New Roman" w:eastAsia="Times New Roman"/>
          <w:b w:val="0"/>
          <w:i w:val="0"/>
          <w:sz w:val="24"/>
        </w:rPr>
        <w:t>Como resposta a esse desafio, técnicas de Explainable Artificial Intelligence (XAI) têm sido amplamente exploradas para produzir evidências explicativas capazes de auxiliar na interpretação do comportamento dos modelos (ARRIETA et al., 2020). Entre essas evidências destacam-se mapas de ativação (como Grad-CAM), embeddings vetoriais, métricas de confiança e outros artefatos analíticos produzidos durante o processo de inferência (SELVARAJU et al., 2017).</w:t>
      </w:r>
    </w:p>
    <w:p>
      <w:pPr>
        <w:spacing w:after="120" w:line="360" w:lineRule="auto"/>
        <w:ind w:firstLine="709"/>
      </w:pPr>
      <w:r>
        <w:rPr>
          <w:rFonts w:ascii="Times New Roman" w:hAnsi="Times New Roman" w:eastAsia="Times New Roman"/>
          <w:b w:val="0"/>
          <w:i w:val="0"/>
          <w:sz w:val="24"/>
        </w:rPr>
        <w:t>Entretanto, apesar do crescente interesse na geração dessas explicações, observa-se que a maior parte dos estudos concentra-se na produção das evidências explicativas, enquanto pouca atenção é dedicada ao seu armazenamento, gerenciamento e recuperação posterior. Em muitos sistemas, tais informações são utilizadas apenas momentaneamente durante a execução e posteriormente descartadas, limitando atividades de auditoria, rastreabilidade, análise histórica e investigação do comportamento dos modelos ao longo do tempo.</w:t>
      </w:r>
    </w:p>
    <w:p>
      <w:pPr>
        <w:spacing w:after="120" w:line="360" w:lineRule="auto"/>
        <w:ind w:firstLine="709"/>
      </w:pPr>
      <w:r>
        <w:rPr>
          <w:rFonts w:ascii="Times New Roman" w:hAnsi="Times New Roman" w:eastAsia="Times New Roman"/>
          <w:b w:val="0"/>
          <w:i w:val="0"/>
          <w:sz w:val="24"/>
        </w:rPr>
        <w:t>Diante desse cenário, este trabalho investiga a seguinte questão de pesquisa: como uma arquitetura híbrida de persistência pode contribuir para o armazenamento, recuperação e auditoria de evidências explicativas produzidas por sistemas de Visão Computacional baseados em Deep Learning?</w:t>
      </w:r>
    </w:p>
    <w:p>
      <w:pPr>
        <w:spacing w:after="120" w:line="360" w:lineRule="auto"/>
        <w:ind w:firstLine="709"/>
      </w:pPr>
      <w:r>
        <w:rPr>
          <w:rFonts w:ascii="Times New Roman" w:hAnsi="Times New Roman" w:eastAsia="Times New Roman"/>
          <w:b w:val="0"/>
          <w:i w:val="0"/>
          <w:sz w:val="24"/>
        </w:rPr>
        <w:t>Para responder a essa questão, propõe-se o desenvolvimento e a avaliação de uma arquitetura híbrida de dados capaz de tratar evidências explicativas como entidades persistentes, organizadas e recuperáveis dentro de um ecossistema integrado de Banco de Dados. A arquitetura integra três tecnologias complementares: MySQL para persistência relacional de metadados e auditoria, Qdrant para indexação e busca vetorial de embeddings, e MinIO para armazenamento de objetos multimídia.</w:t>
      </w:r>
    </w:p>
    <w:p>
      <w:pPr>
        <w:spacing w:after="120" w:line="360" w:lineRule="auto"/>
        <w:ind w:firstLine="709"/>
      </w:pPr>
      <w:r>
        <w:rPr>
          <w:rFonts w:ascii="Times New Roman" w:hAnsi="Times New Roman" w:eastAsia="Times New Roman"/>
          <w:b w:val="0"/>
          <w:i w:val="0"/>
          <w:sz w:val="24"/>
        </w:rPr>
        <w:t>O restante deste artigo está organizado da seguinte forma: a Seção 2 apresenta a fundamentação teórica; a Seção 3 discute os trabalhos relacionados; a Seção 4 descreve a metodologia e o desenvolvimento proposto; a Seção 5 apresenta e discute os resultados experimentais; e a Seção 6 apresenta as conclusões e sugestões para trabalhos futuros.</w:t>
      </w:r>
    </w:p>
    <w:p>
      <w:pPr>
        <w:pStyle w:val="Heading1"/>
      </w:pPr>
      <w:r>
        <w:rPr>
          <w:rFonts w:ascii="Times New Roman" w:hAnsi="Times New Roman" w:eastAsia="Times New Roman"/>
          <w:b/>
          <w:color w:val="000000"/>
          <w:sz w:val="32"/>
        </w:rPr>
        <w:t>2. Fundamentação Teórica</w:t>
      </w:r>
    </w:p>
    <w:p>
      <w:pPr>
        <w:pStyle w:val="Heading2"/>
      </w:pPr>
      <w:r>
        <w:rPr>
          <w:rFonts w:ascii="Times New Roman" w:hAnsi="Times New Roman" w:eastAsia="Times New Roman"/>
          <w:b/>
          <w:color w:val="000000"/>
          <w:sz w:val="28"/>
        </w:rPr>
        <w:t>2.1 Deep Learning e Visão Computacional</w:t>
      </w:r>
    </w:p>
    <w:p>
      <w:pPr>
        <w:spacing w:after="120" w:line="360" w:lineRule="auto"/>
        <w:ind w:firstLine="709"/>
      </w:pPr>
      <w:r>
        <w:rPr>
          <w:rFonts w:ascii="Times New Roman" w:hAnsi="Times New Roman" w:eastAsia="Times New Roman"/>
          <w:b w:val="0"/>
          <w:i w:val="0"/>
          <w:sz w:val="24"/>
        </w:rPr>
        <w:t>Deep Learning é um subcampo de Machine Learning baseado em redes neurais artificiais com múltiplas camadas de processamento. No contexto da Visão Computacional, as Redes Neurais Convolucionais (CNNs) são a arquitetura predominante, capazes de aprender representações hierárquicas de características visuais diretamente a partir dos dados de imagem (LECUN et al., 2015).</w:t>
      </w:r>
    </w:p>
    <w:p>
      <w:pPr>
        <w:spacing w:after="120" w:line="360" w:lineRule="auto"/>
        <w:ind w:firstLine="709"/>
      </w:pPr>
      <w:r>
        <w:rPr>
          <w:rFonts w:ascii="Times New Roman" w:hAnsi="Times New Roman" w:eastAsia="Times New Roman"/>
          <w:b w:val="0"/>
          <w:i w:val="0"/>
          <w:sz w:val="24"/>
        </w:rPr>
        <w:t>A ResNet50 (HE et al., 2016) é uma CNN com 50 camadas que introduz conexões residuais (skip connections) para mitigar o problema do desvanecimento do gradiente em redes profundas. Treinada no dataset ImageNet com mais de 1 milhão de imagens, a ResNet50 atinge acurácia top-1 de aproximadamente 76% e é amplamente utilizada como modelo base para tarefas de classificação e extração de características.</w:t>
      </w:r>
    </w:p>
    <w:p>
      <w:pPr>
        <w:spacing w:after="120" w:line="360" w:lineRule="auto"/>
        <w:ind w:firstLine="709"/>
      </w:pPr>
      <w:r>
        <w:rPr>
          <w:rFonts w:ascii="Times New Roman" w:hAnsi="Times New Roman" w:eastAsia="Times New Roman"/>
          <w:b w:val="0"/>
          <w:i w:val="0"/>
          <w:sz w:val="24"/>
        </w:rPr>
        <w:t>Os embeddings visuais gerados pela ResNet50 correspondem à ativação da penúltima camada (average pooling), resultando em vetores de 2048 dimensões que codificam características semânticas de alto nível da imagem. Essas representações vetoriais são fundamentais para tarefas de busca por similaridade e recuperação de informação visual.</w:t>
      </w:r>
    </w:p>
    <w:p>
      <w:pPr>
        <w:pStyle w:val="Heading2"/>
      </w:pPr>
      <w:r>
        <w:rPr>
          <w:rFonts w:ascii="Times New Roman" w:hAnsi="Times New Roman" w:eastAsia="Times New Roman"/>
          <w:b/>
          <w:color w:val="000000"/>
          <w:sz w:val="28"/>
        </w:rPr>
        <w:t>2.2 Explainable AI (XAI)</w:t>
      </w:r>
    </w:p>
    <w:p>
      <w:pPr>
        <w:spacing w:after="120" w:line="360" w:lineRule="auto"/>
        <w:ind w:firstLine="709"/>
      </w:pPr>
      <w:r>
        <w:rPr>
          <w:rFonts w:ascii="Times New Roman" w:hAnsi="Times New Roman" w:eastAsia="Times New Roman"/>
          <w:b w:val="0"/>
          <w:i w:val="0"/>
          <w:sz w:val="24"/>
        </w:rPr>
        <w:t>Explainable AI (XAI) refere-se a métodos e técnicas que tornam as decisões de modelos de IA compreensíveis para humanos (ARRIETA et al., 2020). No contexto de Visão Computacional, as técnicas de XAI mais comuns incluem mapas de ativação, que destacam as regiões da imagem mais relevantes para a predição do modelo.</w:t>
      </w:r>
    </w:p>
    <w:p>
      <w:pPr>
        <w:spacing w:after="120" w:line="360" w:lineRule="auto"/>
        <w:ind w:firstLine="709"/>
      </w:pPr>
      <w:r>
        <w:rPr>
          <w:rFonts w:ascii="Times New Roman" w:hAnsi="Times New Roman" w:eastAsia="Times New Roman"/>
          <w:b w:val="0"/>
          <w:i w:val="0"/>
          <w:sz w:val="24"/>
        </w:rPr>
        <w:t>O Grad-CAM (Gradient-weighted Class Activation Mapping) (SELVARAJU et al., 2017) é uma técnica de explicabilidade que utiliza os gradientes da classe alvo em relação à última camada convolucional para produzir um mapa de calor que indica as regiões de maior influência na decisão. Diferente de técnicas anteriores, o Grad-CAM é agnóstico à arquitetura e pode ser aplicado a qualquer CNN sem modificações estruturais.</w:t>
      </w:r>
    </w:p>
    <w:p>
      <w:pPr>
        <w:spacing w:after="120" w:line="360" w:lineRule="auto"/>
        <w:ind w:firstLine="709"/>
      </w:pPr>
      <w:r>
        <w:rPr>
          <w:rFonts w:ascii="Times New Roman" w:hAnsi="Times New Roman" w:eastAsia="Times New Roman"/>
          <w:b w:val="0"/>
          <w:i w:val="0"/>
          <w:sz w:val="24"/>
        </w:rPr>
        <w:t>Embora as técnicas de XAI gerem evidências valiosas, essas informações são frequentemente tratadas como subprodutos efêmeros, utilizadas apenas momentaneamente durante a inferência e descartadas em seguida. Este trabalho propõe tratar essas evidências como entidades persistentes de primeira classe em um banco de dados.</w:t>
      </w:r>
    </w:p>
    <w:p>
      <w:pPr>
        <w:pStyle w:val="Heading2"/>
      </w:pPr>
      <w:r>
        <w:rPr>
          <w:rFonts w:ascii="Times New Roman" w:hAnsi="Times New Roman" w:eastAsia="Times New Roman"/>
          <w:b/>
          <w:color w:val="000000"/>
          <w:sz w:val="28"/>
        </w:rPr>
        <w:t>2.3 Bancos de Dados Híbridos</w:t>
      </w:r>
    </w:p>
    <w:p>
      <w:pPr>
        <w:spacing w:after="120" w:line="360" w:lineRule="auto"/>
        <w:ind w:firstLine="709"/>
      </w:pPr>
      <w:r>
        <w:rPr>
          <w:rFonts w:ascii="Times New Roman" w:hAnsi="Times New Roman" w:eastAsia="Times New Roman"/>
          <w:b w:val="0"/>
          <w:i w:val="0"/>
          <w:sz w:val="24"/>
        </w:rPr>
        <w:t>A arquitetura híbrida de persistência proposta neste trabalho integra três paradigmas de armazenamento de dados, cada um com características e otimizações específicas:</w:t>
      </w:r>
    </w:p>
    <w:p>
      <w:pPr>
        <w:spacing w:after="120" w:line="360" w:lineRule="auto"/>
        <w:ind w:firstLine="709"/>
      </w:pPr>
      <w:r>
        <w:rPr>
          <w:rFonts w:ascii="Times New Roman" w:hAnsi="Times New Roman" w:eastAsia="Times New Roman"/>
          <w:b w:val="0"/>
          <w:i w:val="0"/>
          <w:sz w:val="24"/>
        </w:rPr>
        <w:t>Bancos de Dados Relacionais (MySQL): baseiam-se no modelo relacional de CODD (1970) e garantem propriedades ACID (Atomicidade, Consistência, Isolamento, Durabilidade). São ideais para armazenamento estruturado de metadados, registros de inferências e trilhas de auditoria, suportando consultas complexas com JOINs e agregações (ELMASRI; NAVATHE, 2016).</w:t>
      </w:r>
    </w:p>
    <w:p>
      <w:pPr>
        <w:spacing w:after="120" w:line="360" w:lineRule="auto"/>
        <w:ind w:firstLine="709"/>
      </w:pPr>
      <w:r>
        <w:rPr>
          <w:rFonts w:ascii="Times New Roman" w:hAnsi="Times New Roman" w:eastAsia="Times New Roman"/>
          <w:b w:val="0"/>
          <w:i w:val="0"/>
          <w:sz w:val="24"/>
        </w:rPr>
        <w:t>Bancos de Dados Vetoriais (Qdrant): são otimizados para armazenamento e busca por similaridade em espaços de alta dimensionalidade. Utilizam algoritmos de indexação aproximada como HNSW (Hierarchical Navigable Small World) para permitir buscas sublineares em grandes volumes de vetores. São fundamentais para recuperação semântica baseada em embeddings (BARRETO et al., 2023).</w:t>
      </w:r>
    </w:p>
    <w:p>
      <w:pPr>
        <w:spacing w:after="120" w:line="360" w:lineRule="auto"/>
        <w:ind w:firstLine="709"/>
      </w:pPr>
      <w:r>
        <w:rPr>
          <w:rFonts w:ascii="Times New Roman" w:hAnsi="Times New Roman" w:eastAsia="Times New Roman"/>
          <w:b w:val="0"/>
          <w:i w:val="0"/>
          <w:sz w:val="24"/>
        </w:rPr>
        <w:t>Armazenamento de Objetos (MinIO): seguem o modelo de armazenamento de objetos compatível com S3 API, ideais para ativos binários como imagens, mapas de ativação e outros arquivos multimídia. Permitem separação eficiente entre dados estruturados e mídias pesadas, com organização hierárquica e escalabilidade horizontal (MINIO, 2024).</w:t>
      </w:r>
    </w:p>
    <w:p>
      <w:pPr>
        <w:pStyle w:val="Heading2"/>
      </w:pPr>
      <w:r>
        <w:rPr>
          <w:rFonts w:ascii="Times New Roman" w:hAnsi="Times New Roman" w:eastAsia="Times New Roman"/>
          <w:b/>
          <w:color w:val="000000"/>
          <w:sz w:val="28"/>
        </w:rPr>
        <w:t>2.4 Recuperação de Informação e Busca por Similaridade</w:t>
      </w:r>
    </w:p>
    <w:p>
      <w:pPr>
        <w:spacing w:after="120" w:line="360" w:lineRule="auto"/>
        <w:ind w:firstLine="709"/>
      </w:pPr>
      <w:r>
        <w:rPr>
          <w:rFonts w:ascii="Times New Roman" w:hAnsi="Times New Roman" w:eastAsia="Times New Roman"/>
          <w:b w:val="0"/>
          <w:i w:val="0"/>
          <w:sz w:val="24"/>
        </w:rPr>
        <w:t>A recuperação de informação em espaços vetoriais envolve encontrar os vetores mais similares a um vetor de consulta em um conjunto de dados. A métrica de distância cosseno é amplamente utilizada para embeddings de alta dimensionalidade, pois mede o ângulo entre vetores em vez de sua magnitude, sendo adequada para comparar similaridade semântica (SCHUHMACHER et al., 2023).</w:t>
      </w:r>
    </w:p>
    <w:p>
      <w:pPr>
        <w:spacing w:after="120" w:line="360" w:lineRule="auto"/>
        <w:ind w:firstLine="709"/>
      </w:pPr>
      <w:r>
        <w:rPr>
          <w:rFonts w:ascii="Times New Roman" w:hAnsi="Times New Roman" w:eastAsia="Times New Roman"/>
          <w:b w:val="0"/>
          <w:i w:val="0"/>
          <w:sz w:val="24"/>
        </w:rPr>
        <w:t>O algoritmo HNSW (MALKOV; YASHUNIN, 2016) constrói um grafo hierárquico de pequeno mundo que permite buscas aproximadas com complexidade sublinear. O HNSW é o algoritmo padrão do Qdrant e oferece um equilíbrio entre recall, latência e uso de memória, sendo adequado para aplicações que exigem recuperação em tempo real de embeddings de alta dimensionalidade.</w:t>
      </w:r>
    </w:p>
    <w:p>
      <w:pPr>
        <w:pStyle w:val="Heading1"/>
      </w:pPr>
      <w:r>
        <w:rPr>
          <w:rFonts w:ascii="Times New Roman" w:hAnsi="Times New Roman" w:eastAsia="Times New Roman"/>
          <w:b/>
          <w:color w:val="000000"/>
          <w:sz w:val="32"/>
        </w:rPr>
        <w:t>3. Trabalhos Relacionados</w:t>
      </w:r>
    </w:p>
    <w:p>
      <w:pPr>
        <w:spacing w:after="120" w:line="360" w:lineRule="auto"/>
        <w:ind w:firstLine="709"/>
      </w:pPr>
      <w:r>
        <w:rPr>
          <w:rFonts w:ascii="Times New Roman" w:hAnsi="Times New Roman" w:eastAsia="Times New Roman"/>
          <w:b w:val="0"/>
          <w:i w:val="0"/>
          <w:sz w:val="24"/>
        </w:rPr>
        <w:t>A interseção entre Bancos de Dados e Inteligência Artificial Explicável tem recebido atenção crescente na literatura recente. Esta seção apresenta trabalhos relacionados que abordam aspectos de persistência, recuperação e auditoria de evidências de IA.</w:t>
      </w:r>
    </w:p>
    <w:p>
      <w:pPr>
        <w:spacing w:after="120" w:line="360" w:lineRule="auto"/>
        <w:ind w:firstLine="709"/>
      </w:pPr>
      <w:r>
        <w:rPr>
          <w:rFonts w:ascii="Times New Roman" w:hAnsi="Times New Roman" w:eastAsia="Times New Roman"/>
          <w:b w:val="0"/>
          <w:i w:val="0"/>
          <w:sz w:val="24"/>
        </w:rPr>
        <w:t>Ribeiro et al. (2016) propuseram o LIME (Local Interpretable Model-agnostic Explanations), uma técnica de explicabilidade local que gera explicações para predições individuais. No entanto, o LIME não aborda o armazenamento persistente das explicações geradas, tratando-as como artefatos temporários.</w:t>
      </w:r>
    </w:p>
    <w:p>
      <w:pPr>
        <w:spacing w:after="120" w:line="360" w:lineRule="auto"/>
        <w:ind w:firstLine="709"/>
      </w:pPr>
      <w:r>
        <w:rPr>
          <w:rFonts w:ascii="Times New Roman" w:hAnsi="Times New Roman" w:eastAsia="Times New Roman"/>
          <w:b w:val="0"/>
          <w:i w:val="0"/>
          <w:sz w:val="24"/>
        </w:rPr>
        <w:t>Selvaraju et al. (2017) introduziram o Grad-CAM, técnica de explicabilidade baseada em gradientes que gera mapas de calor para CNNs. O Grad-CAM é amplamente utilizado, mas sua implementação padrão não inclui mecanismos de persistência ou recuperação das evidências geradas.</w:t>
      </w:r>
    </w:p>
    <w:p>
      <w:pPr>
        <w:spacing w:after="120" w:line="360" w:lineRule="auto"/>
        <w:ind w:firstLine="709"/>
      </w:pPr>
      <w:r>
        <w:rPr>
          <w:rFonts w:ascii="Times New Roman" w:hAnsi="Times New Roman" w:eastAsia="Times New Roman"/>
          <w:b w:val="0"/>
          <w:i w:val="0"/>
          <w:sz w:val="24"/>
        </w:rPr>
        <w:t>Arrieta et al. (2020) apresentam uma revisão abrangente sobre XAI, discutindo taxonomias, técnicas e desafios. Os autores destacam a necessidade de mecanismos de auditoria e rastreabilidade, mas não propõem soluções de banco de dados para persistência de evidências.</w:t>
      </w:r>
    </w:p>
    <w:p>
      <w:pPr>
        <w:spacing w:after="120" w:line="360" w:lineRule="auto"/>
        <w:ind w:firstLine="709"/>
      </w:pPr>
      <w:r>
        <w:rPr>
          <w:rFonts w:ascii="Times New Roman" w:hAnsi="Times New Roman" w:eastAsia="Times New Roman"/>
          <w:b w:val="0"/>
          <w:i w:val="0"/>
          <w:sz w:val="24"/>
        </w:rPr>
        <w:t>No contexto de bancos de dados vetoriais, Barreto et al. (2023) discutem a aplicação de índices HNSW para recuperação eficiente de embeddings em sistemas de grande escala. Os autores demonstram que a busca por similaridade vetorial pode ser realizada em milissegundos mesmo para milhões de vetores.</w:t>
      </w:r>
    </w:p>
    <w:p>
      <w:pPr>
        <w:spacing w:after="120" w:line="360" w:lineRule="auto"/>
        <w:ind w:firstLine="709"/>
      </w:pPr>
      <w:r>
        <w:rPr>
          <w:rFonts w:ascii="Times New Roman" w:hAnsi="Times New Roman" w:eastAsia="Times New Roman"/>
          <w:b w:val="0"/>
          <w:i w:val="0"/>
          <w:sz w:val="24"/>
        </w:rPr>
        <w:t>A Tabela 1 apresenta uma comparação crítica entre os trabalhos relacionados e a proposta deste artigo.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val="clear" w:color="auto" w:fill="D9E2F3"/>
          </w:tcPr>
          <w:p>
            <w:pPr>
              <w:jc w:val="center"/>
            </w:pPr>
            <w:r/>
            <w:r>
              <w:rPr>
                <w:rFonts w:ascii="Times New Roman" w:hAnsi="Times New Roman" w:eastAsia="Times New Roman"/>
                <w:b/>
                <w:sz w:val="20"/>
              </w:rPr>
              <w:t>Trabalho</w:t>
            </w:r>
          </w:p>
        </w:tc>
        <w:tc>
          <w:tcPr>
            <w:tcW w:type="dxa" w:w="1567"/>
            <w:shd w:val="clear" w:color="auto" w:fill="D9E2F3"/>
          </w:tcPr>
          <w:p>
            <w:pPr>
              <w:jc w:val="center"/>
            </w:pPr>
            <w:r/>
            <w:r>
              <w:rPr>
                <w:rFonts w:ascii="Times New Roman" w:hAnsi="Times New Roman" w:eastAsia="Times New Roman"/>
                <w:b/>
                <w:sz w:val="20"/>
              </w:rPr>
              <w:t>Técnica de XAI</w:t>
            </w:r>
          </w:p>
        </w:tc>
        <w:tc>
          <w:tcPr>
            <w:tcW w:type="dxa" w:w="1567"/>
            <w:shd w:val="clear" w:color="auto" w:fill="D9E2F3"/>
          </w:tcPr>
          <w:p>
            <w:pPr>
              <w:jc w:val="center"/>
            </w:pPr>
            <w:r/>
            <w:r>
              <w:rPr>
                <w:rFonts w:ascii="Times New Roman" w:hAnsi="Times New Roman" w:eastAsia="Times New Roman"/>
                <w:b/>
                <w:sz w:val="20"/>
              </w:rPr>
              <w:t>Persistência</w:t>
            </w:r>
          </w:p>
        </w:tc>
        <w:tc>
          <w:tcPr>
            <w:tcW w:type="dxa" w:w="1567"/>
            <w:shd w:val="clear" w:color="auto" w:fill="D9E2F3"/>
          </w:tcPr>
          <w:p>
            <w:pPr>
              <w:jc w:val="center"/>
            </w:pPr>
            <w:r/>
            <w:r>
              <w:rPr>
                <w:rFonts w:ascii="Times New Roman" w:hAnsi="Times New Roman" w:eastAsia="Times New Roman"/>
                <w:b/>
                <w:sz w:val="20"/>
              </w:rPr>
              <w:t>Busca Vetorial</w:t>
            </w:r>
          </w:p>
        </w:tc>
        <w:tc>
          <w:tcPr>
            <w:tcW w:type="dxa" w:w="1567"/>
            <w:shd w:val="clear" w:color="auto" w:fill="D9E2F3"/>
          </w:tcPr>
          <w:p>
            <w:pPr>
              <w:jc w:val="center"/>
            </w:pPr>
            <w:r/>
            <w:r>
              <w:rPr>
                <w:rFonts w:ascii="Times New Roman" w:hAnsi="Times New Roman" w:eastAsia="Times New Roman"/>
                <w:b/>
                <w:sz w:val="20"/>
              </w:rPr>
              <w:t>Auditoria</w:t>
            </w:r>
          </w:p>
        </w:tc>
        <w:tc>
          <w:tcPr>
            <w:tcW w:type="dxa" w:w="1567"/>
            <w:shd w:val="clear" w:color="auto" w:fill="D9E2F3"/>
          </w:tcPr>
          <w:p>
            <w:pPr>
              <w:jc w:val="center"/>
            </w:pPr>
            <w:r/>
            <w:r>
              <w:rPr>
                <w:rFonts w:ascii="Times New Roman" w:hAnsi="Times New Roman" w:eastAsia="Times New Roman"/>
                <w:b/>
                <w:sz w:val="20"/>
              </w:rPr>
              <w:t>Arquitetura Híbrida</w:t>
            </w:r>
          </w:p>
        </w:tc>
      </w:tr>
      <w:tr>
        <w:tc>
          <w:tcPr>
            <w:tcW w:type="dxa" w:w="1567"/>
          </w:tcPr>
          <w:p>
            <w:r/>
            <w:r>
              <w:rPr>
                <w:rFonts w:ascii="Times New Roman" w:hAnsi="Times New Roman" w:eastAsia="Times New Roman"/>
                <w:b w:val="0"/>
                <w:sz w:val="20"/>
              </w:rPr>
              <w:t>Ribeiro et al. (2016)</w:t>
            </w:r>
          </w:p>
        </w:tc>
        <w:tc>
          <w:tcPr>
            <w:tcW w:type="dxa" w:w="1567"/>
          </w:tcPr>
          <w:p>
            <w:r/>
            <w:r>
              <w:rPr>
                <w:rFonts w:ascii="Times New Roman" w:hAnsi="Times New Roman" w:eastAsia="Times New Roman"/>
                <w:b w:val="0"/>
                <w:sz w:val="20"/>
              </w:rPr>
              <w:t>LIME</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r>
      <w:tr>
        <w:tc>
          <w:tcPr>
            <w:tcW w:type="dxa" w:w="1567"/>
          </w:tcPr>
          <w:p>
            <w:r/>
            <w:r>
              <w:rPr>
                <w:rFonts w:ascii="Times New Roman" w:hAnsi="Times New Roman" w:eastAsia="Times New Roman"/>
                <w:b w:val="0"/>
                <w:sz w:val="20"/>
              </w:rPr>
              <w:t>Selvaraju et al. (2017)</w:t>
            </w:r>
          </w:p>
        </w:tc>
        <w:tc>
          <w:tcPr>
            <w:tcW w:type="dxa" w:w="1567"/>
          </w:tcPr>
          <w:p>
            <w:r/>
            <w:r>
              <w:rPr>
                <w:rFonts w:ascii="Times New Roman" w:hAnsi="Times New Roman" w:eastAsia="Times New Roman"/>
                <w:b w:val="0"/>
                <w:sz w:val="20"/>
              </w:rPr>
              <w:t>Grad-CAM</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r>
      <w:tr>
        <w:tc>
          <w:tcPr>
            <w:tcW w:type="dxa" w:w="1567"/>
          </w:tcPr>
          <w:p>
            <w:r/>
            <w:r>
              <w:rPr>
                <w:rFonts w:ascii="Times New Roman" w:hAnsi="Times New Roman" w:eastAsia="Times New Roman"/>
                <w:b w:val="0"/>
                <w:sz w:val="20"/>
              </w:rPr>
              <w:t>Arrieta et al. (2020)</w:t>
            </w:r>
          </w:p>
        </w:tc>
        <w:tc>
          <w:tcPr>
            <w:tcW w:type="dxa" w:w="1567"/>
          </w:tcPr>
          <w:p>
            <w:r/>
            <w:r>
              <w:rPr>
                <w:rFonts w:ascii="Times New Roman" w:hAnsi="Times New Roman" w:eastAsia="Times New Roman"/>
                <w:b w:val="0"/>
                <w:sz w:val="20"/>
              </w:rPr>
              <w:t>Revisão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Parcial</w:t>
            </w:r>
          </w:p>
        </w:tc>
        <w:tc>
          <w:tcPr>
            <w:tcW w:type="dxa" w:w="1567"/>
          </w:tcPr>
          <w:p>
            <w:r/>
            <w:r>
              <w:rPr>
                <w:rFonts w:ascii="Times New Roman" w:hAnsi="Times New Roman" w:eastAsia="Times New Roman"/>
                <w:b w:val="0"/>
                <w:sz w:val="20"/>
              </w:rPr>
              <w:t>Não</w:t>
            </w:r>
          </w:p>
        </w:tc>
      </w:tr>
      <w:tr>
        <w:tc>
          <w:tcPr>
            <w:tcW w:type="dxa" w:w="1567"/>
          </w:tcPr>
          <w:p>
            <w:r/>
            <w:r>
              <w:rPr>
                <w:rFonts w:ascii="Times New Roman" w:hAnsi="Times New Roman" w:eastAsia="Times New Roman"/>
                <w:b w:val="0"/>
                <w:sz w:val="20"/>
              </w:rPr>
              <w:t>Barreto et al. (2023)</w:t>
            </w:r>
          </w:p>
        </w:tc>
        <w:tc>
          <w:tcPr>
            <w:tcW w:type="dxa" w:w="1567"/>
          </w:tcPr>
          <w:p>
            <w:r/>
            <w:r>
              <w:rPr>
                <w:rFonts w:ascii="Times New Roman" w:hAnsi="Times New Roman" w:eastAsia="Times New Roman"/>
                <w:b w:val="0"/>
                <w:sz w:val="20"/>
              </w:rPr>
              <w:t>N/A</w:t>
            </w:r>
          </w:p>
        </w:tc>
        <w:tc>
          <w:tcPr>
            <w:tcW w:type="dxa" w:w="1567"/>
          </w:tcPr>
          <w:p>
            <w:r/>
            <w:r>
              <w:rPr>
                <w:rFonts w:ascii="Times New Roman" w:hAnsi="Times New Roman" w:eastAsia="Times New Roman"/>
                <w:b w:val="0"/>
                <w:sz w:val="20"/>
              </w:rPr>
              <w:t>Parcial</w:t>
            </w:r>
          </w:p>
        </w:tc>
        <w:tc>
          <w:tcPr>
            <w:tcW w:type="dxa" w:w="1567"/>
          </w:tcPr>
          <w:p>
            <w:r/>
            <w:r>
              <w:rPr>
                <w:rFonts w:ascii="Times New Roman" w:hAnsi="Times New Roman" w:eastAsia="Times New Roman"/>
                <w:b w:val="0"/>
                <w:sz w:val="20"/>
              </w:rPr>
              <w:t>Sim</w:t>
            </w:r>
          </w:p>
        </w:tc>
        <w:tc>
          <w:tcPr>
            <w:tcW w:type="dxa" w:w="1567"/>
          </w:tcPr>
          <w:p>
            <w:r/>
            <w:r>
              <w:rPr>
                <w:rFonts w:ascii="Times New Roman" w:hAnsi="Times New Roman" w:eastAsia="Times New Roman"/>
                <w:b w:val="0"/>
                <w:sz w:val="20"/>
              </w:rPr>
              <w:t>Não</w:t>
            </w:r>
          </w:p>
        </w:tc>
        <w:tc>
          <w:tcPr>
            <w:tcW w:type="dxa" w:w="1567"/>
          </w:tcPr>
          <w:p>
            <w:r/>
            <w:r>
              <w:rPr>
                <w:rFonts w:ascii="Times New Roman" w:hAnsi="Times New Roman" w:eastAsia="Times New Roman"/>
                <w:b w:val="0"/>
                <w:sz w:val="20"/>
              </w:rPr>
              <w:t>Não</w:t>
            </w:r>
          </w:p>
        </w:tc>
      </w:tr>
      <w:tr>
        <w:tc>
          <w:tcPr>
            <w:tcW w:type="dxa" w:w="1567"/>
          </w:tcPr>
          <w:p>
            <w:r/>
            <w:r>
              <w:rPr>
                <w:rFonts w:ascii="Times New Roman" w:hAnsi="Times New Roman" w:eastAsia="Times New Roman"/>
                <w:b w:val="0"/>
                <w:sz w:val="20"/>
              </w:rPr>
              <w:t>Este trabalho</w:t>
            </w:r>
          </w:p>
        </w:tc>
        <w:tc>
          <w:tcPr>
            <w:tcW w:type="dxa" w:w="1567"/>
          </w:tcPr>
          <w:p>
            <w:r/>
            <w:r>
              <w:rPr>
                <w:rFonts w:ascii="Times New Roman" w:hAnsi="Times New Roman" w:eastAsia="Times New Roman"/>
                <w:b w:val="0"/>
                <w:sz w:val="20"/>
              </w:rPr>
              <w:t>Grad-CAM</w:t>
            </w:r>
          </w:p>
        </w:tc>
        <w:tc>
          <w:tcPr>
            <w:tcW w:type="dxa" w:w="1567"/>
          </w:tcPr>
          <w:p>
            <w:r/>
            <w:r>
              <w:rPr>
                <w:rFonts w:ascii="Times New Roman" w:hAnsi="Times New Roman" w:eastAsia="Times New Roman"/>
                <w:b w:val="0"/>
                <w:sz w:val="20"/>
              </w:rPr>
              <w:t>Sim (3 camadas)</w:t>
            </w:r>
          </w:p>
        </w:tc>
        <w:tc>
          <w:tcPr>
            <w:tcW w:type="dxa" w:w="1567"/>
          </w:tcPr>
          <w:p>
            <w:r/>
            <w:r>
              <w:rPr>
                <w:rFonts w:ascii="Times New Roman" w:hAnsi="Times New Roman" w:eastAsia="Times New Roman"/>
                <w:b w:val="0"/>
                <w:sz w:val="20"/>
              </w:rPr>
              <w:t>Sim (Qdrant)</w:t>
            </w:r>
          </w:p>
        </w:tc>
        <w:tc>
          <w:tcPr>
            <w:tcW w:type="dxa" w:w="1567"/>
          </w:tcPr>
          <w:p>
            <w:r/>
            <w:r>
              <w:rPr>
                <w:rFonts w:ascii="Times New Roman" w:hAnsi="Times New Roman" w:eastAsia="Times New Roman"/>
                <w:b w:val="0"/>
                <w:sz w:val="20"/>
              </w:rPr>
              <w:t>Sim</w:t>
            </w:r>
          </w:p>
        </w:tc>
        <w:tc>
          <w:tcPr>
            <w:tcW w:type="dxa" w:w="1567"/>
          </w:tcPr>
          <w:p>
            <w:r/>
            <w:r>
              <w:rPr>
                <w:rFonts w:ascii="Times New Roman" w:hAnsi="Times New Roman" w:eastAsia="Times New Roman"/>
                <w:b w:val="0"/>
                <w:sz w:val="20"/>
              </w:rPr>
              <w:t>Sim (MySQL+Qdrant+MinIO)</w:t>
            </w:r>
          </w:p>
        </w:tc>
      </w:tr>
    </w:tbl>
    <w:p/>
    <w:p>
      <w:pPr>
        <w:spacing w:after="120" w:line="360" w:lineRule="auto"/>
      </w:pPr>
      <w:r>
        <w:rPr>
          <w:rFonts w:ascii="Times New Roman" w:hAnsi="Times New Roman" w:eastAsia="Times New Roman"/>
          <w:b w:val="0"/>
          <w:i w:val="0"/>
          <w:sz w:val="24"/>
        </w:rPr>
        <w:t>Tabela 1: Comparação entre trabalhos relacionados e a proposta deste artigo.</w:t>
      </w:r>
    </w:p>
    <w:p>
      <w:pPr>
        <w:spacing w:after="120" w:line="360" w:lineRule="auto"/>
        <w:ind w:firstLine="709"/>
      </w:pPr>
      <w:r>
        <w:rPr>
          <w:rFonts w:ascii="Times New Roman" w:hAnsi="Times New Roman" w:eastAsia="Times New Roman"/>
          <w:b w:val="0"/>
          <w:i w:val="0"/>
          <w:sz w:val="24"/>
        </w:rPr>
        <w:t>Conforme evidenciado na Tabela 1, nenhum dos trabalhos relacionados aborda de forma integrada a persistência, recuperação e auditoria de evidências explicativas. Este trabalho preenche essa lacuna ao propor uma arquitetura híbrida que trata evidências de XAI como entidades persistentes de primeira classe.</w:t>
      </w:r>
    </w:p>
    <w:p>
      <w:pPr>
        <w:pStyle w:val="Heading1"/>
      </w:pPr>
      <w:r>
        <w:rPr>
          <w:rFonts w:ascii="Times New Roman" w:hAnsi="Times New Roman" w:eastAsia="Times New Roman"/>
          <w:b/>
          <w:color w:val="000000"/>
          <w:sz w:val="32"/>
        </w:rPr>
        <w:t>4. Metodologia e Desenvolvimento</w:t>
      </w:r>
    </w:p>
    <w:p>
      <w:pPr>
        <w:pStyle w:val="Heading2"/>
      </w:pPr>
      <w:r>
        <w:rPr>
          <w:rFonts w:ascii="Times New Roman" w:hAnsi="Times New Roman" w:eastAsia="Times New Roman"/>
          <w:b/>
          <w:color w:val="000000"/>
          <w:sz w:val="28"/>
        </w:rPr>
        <w:t>4.1 Arquitetura Proposta</w:t>
      </w:r>
    </w:p>
    <w:p>
      <w:pPr>
        <w:spacing w:after="120" w:line="360" w:lineRule="auto"/>
        <w:ind w:firstLine="709"/>
      </w:pPr>
      <w:r>
        <w:rPr>
          <w:rFonts w:ascii="Times New Roman" w:hAnsi="Times New Roman" w:eastAsia="Times New Roman"/>
          <w:b w:val="0"/>
          <w:i w:val="0"/>
          <w:sz w:val="24"/>
        </w:rPr>
        <w:t>A arquitetura proposta adota uma abordagem híbrida composta por três camadas de armazenamento especializadas, cada uma responsável por um tipo específico de dado:</w:t>
      </w:r>
    </w:p>
    <w:p>
      <w:pPr>
        <w:spacing w:after="120" w:line="360" w:lineRule="auto"/>
        <w:ind w:firstLine="709"/>
      </w:pPr>
      <w:r>
        <w:rPr>
          <w:rFonts w:ascii="Times New Roman" w:hAnsi="Times New Roman" w:eastAsia="Times New Roman"/>
          <w:b w:val="0"/>
          <w:i w:val="0"/>
          <w:sz w:val="24"/>
        </w:rPr>
        <w:t>Camada Relacional (MySQL 8.0): responsável pela persistência estruturada dos metadados associados aos experimentos, inferências, métricas analíticas e eventos de auditoria. O esquema é normalizado em Terceira Forma Normal (3FN) com 12 tabelas interconectadas por chaves estrangeiras, garantindo integridade referencial e suporte a consultas complexas.</w:t>
      </w:r>
    </w:p>
    <w:p>
      <w:pPr>
        <w:spacing w:after="120" w:line="360" w:lineRule="auto"/>
        <w:ind w:firstLine="709"/>
      </w:pPr>
      <w:r>
        <w:rPr>
          <w:rFonts w:ascii="Times New Roman" w:hAnsi="Times New Roman" w:eastAsia="Times New Roman"/>
          <w:b w:val="0"/>
          <w:i w:val="0"/>
          <w:sz w:val="24"/>
        </w:rPr>
        <w:t>Camada Vetorial (Qdrant): utilizada para armazenamento e indexação dos embeddings gerados pelos modelos de Deep Learning. Utiliza o algoritmo HNSW para busca aproximada por similaridade com distância cosseno, permitindo recuperação em tempo real de evidências similares.</w:t>
      </w:r>
    </w:p>
    <w:p>
      <w:pPr>
        <w:spacing w:after="120" w:line="360" w:lineRule="auto"/>
        <w:ind w:firstLine="709"/>
      </w:pPr>
      <w:r>
        <w:rPr>
          <w:rFonts w:ascii="Times New Roman" w:hAnsi="Times New Roman" w:eastAsia="Times New Roman"/>
          <w:b w:val="0"/>
          <w:i w:val="0"/>
          <w:sz w:val="24"/>
        </w:rPr>
        <w:t>Camada de Objetos (MinIO): utilizada para persistir os artefatos multimídia gerados ao longo do processo experimental, incluindo imagens originais, imagens modificadas e mapas explicativos produzidos por técnicas de XAI. A organização hierárquica segue o padrão experiments/{id}/{inference_id}/{tipo}.png.</w:t>
      </w:r>
    </w:p>
    <w:p>
      <w:pPr>
        <w:spacing w:after="120"/>
        <w:jc w:val="center"/>
      </w:pPr>
      <w:r>
        <w:rPr>
          <w:rFonts w:ascii="Times New Roman" w:hAnsi="Times New Roman" w:eastAsia="Times New Roman"/>
          <w:b/>
          <w:sz w:val="20"/>
        </w:rPr>
        <w:t>Figura 1: Arquitetura de alto nível do sistema de persistência de evidências explicativas.</w:t>
      </w:r>
    </w:p>
    <w:p>
      <w:pPr>
        <w:pStyle w:val="Heading2"/>
      </w:pPr>
      <w:r>
        <w:rPr>
          <w:rFonts w:ascii="Times New Roman" w:hAnsi="Times New Roman" w:eastAsia="Times New Roman"/>
          <w:b/>
          <w:color w:val="000000"/>
          <w:sz w:val="28"/>
        </w:rPr>
        <w:t>4.2 Modelo de Dados Relacional</w:t>
      </w:r>
    </w:p>
    <w:p>
      <w:pPr>
        <w:spacing w:after="120" w:line="360" w:lineRule="auto"/>
        <w:ind w:firstLine="709"/>
      </w:pPr>
      <w:r>
        <w:rPr>
          <w:rFonts w:ascii="Times New Roman" w:hAnsi="Times New Roman" w:eastAsia="Times New Roman"/>
          <w:b w:val="0"/>
          <w:i w:val="0"/>
          <w:sz w:val="24"/>
        </w:rPr>
        <w:t>O esquema relacional do MySQL é composto por 12 tabelas organizadas em três categorias: tabelas principais, tabelas de evidência e tabelas de análise. A Figura 2 apresenta o diagrama de entidades e relacionamentos.</w:t>
      </w:r>
    </w:p>
    <w:p>
      <w:pPr>
        <w:spacing w:after="120"/>
        <w:jc w:val="center"/>
      </w:pPr>
      <w:r>
        <w:rPr>
          <w:rFonts w:ascii="Times New Roman" w:hAnsi="Times New Roman" w:eastAsia="Times New Roman"/>
          <w:b/>
          <w:sz w:val="20"/>
        </w:rPr>
        <w:t>Figura 2: Diagrama de entidades e relacionamentos do modelo relacional (MySQL).</w:t>
      </w:r>
    </w:p>
    <w:p>
      <w:pPr>
        <w:spacing w:after="120" w:line="360" w:lineRule="auto"/>
        <w:ind w:firstLine="709"/>
      </w:pPr>
      <w:r>
        <w:rPr>
          <w:rFonts w:ascii="Times New Roman" w:hAnsi="Times New Roman" w:eastAsia="Times New Roman"/>
          <w:b w:val="0"/>
          <w:i w:val="0"/>
          <w:sz w:val="24"/>
        </w:rPr>
        <w:t>As tabelas principais incluem: experiments (agrupa inferências por experimento), images (metadados da imagem original), inferences (resultado de cada inferência) e noise_profiles (parâmetros de cada tipo de perturbação). As tabelas de evidência incluem embeddings (ponte relacional-vetorial), gradcams (estatísticas dos mapas de ativação) e media_assets (URIs S3 para objetos no MinIO). As tabelas de análise incluem perturbation_comparisons, similarity_records, audit_trail e benchmark_runs.</w:t>
      </w:r>
    </w:p>
    <w:p>
      <w:pPr>
        <w:pStyle w:val="Heading2"/>
      </w:pPr>
      <w:r>
        <w:rPr>
          <w:rFonts w:ascii="Times New Roman" w:hAnsi="Times New Roman" w:eastAsia="Times New Roman"/>
          <w:b/>
          <w:color w:val="000000"/>
          <w:sz w:val="28"/>
        </w:rPr>
        <w:t>4.3 Esquema Vetorial</w:t>
      </w:r>
    </w:p>
    <w:p>
      <w:pPr>
        <w:spacing w:after="120" w:line="360" w:lineRule="auto"/>
        <w:ind w:firstLine="709"/>
      </w:pPr>
      <w:r>
        <w:rPr>
          <w:rFonts w:ascii="Times New Roman" w:hAnsi="Times New Roman" w:eastAsia="Times New Roman"/>
          <w:b w:val="0"/>
          <w:i w:val="0"/>
          <w:sz w:val="24"/>
        </w:rPr>
        <w:t>O Qdrant armazena uma coleção chamada "image_embeddings" com vetores de 2048 dimensões (dimensão do embedding da ResNet50) e métrica de distância cosseno. Cada vetor é associado a um payload contendo metadados contextuais: inference_id, image_id, experiment_id, noise_type, predicted_label e confidence. Essa estrutura permite filtros contextuais durante a busca, como recuperar apenas embeddings de um experimento específico ou de um tipo de perturbação.</w:t>
      </w:r>
    </w:p>
    <w:p>
      <w:pPr>
        <w:pStyle w:val="Heading2"/>
      </w:pPr>
      <w:r>
        <w:rPr>
          <w:rFonts w:ascii="Times New Roman" w:hAnsi="Times New Roman" w:eastAsia="Times New Roman"/>
          <w:b/>
          <w:color w:val="000000"/>
          <w:sz w:val="28"/>
        </w:rPr>
        <w:t>4.4 Pipeline de Processamento</w:t>
      </w:r>
    </w:p>
    <w:p>
      <w:pPr>
        <w:spacing w:after="120" w:line="360" w:lineRule="auto"/>
        <w:ind w:firstLine="709"/>
      </w:pPr>
      <w:r>
        <w:rPr>
          <w:rFonts w:ascii="Times New Roman" w:hAnsi="Times New Roman" w:eastAsia="Times New Roman"/>
          <w:b w:val="0"/>
          <w:i w:val="0"/>
          <w:sz w:val="24"/>
        </w:rPr>
        <w:t>Para cada imagem de entrada, o pipeline executa os seguintes passos: (1) carregamento e preprocessamento da imagem; (2) inferência baseline com ResNet50; (3) geração do mapa de ativação Grad-CAM; (4) persistência no MySQL, Qdrant e MinIO; (5) aplicação de três perturbações (gaussian, blur, brightness) com inferência e persistência para cada uma; (6) comparação entre baseline e versões perturbadas; (7) recuperação contextual dos top-5 embeddings similares; e (8) auditoria automática com detecção de eventos de risco.</w:t>
      </w:r>
    </w:p>
    <w:p>
      <w:pPr>
        <w:spacing w:after="120"/>
        <w:jc w:val="center"/>
      </w:pPr>
      <w:r>
        <w:rPr>
          <w:rFonts w:ascii="Times New Roman" w:hAnsi="Times New Roman" w:eastAsia="Times New Roman"/>
          <w:b/>
          <w:sz w:val="20"/>
        </w:rPr>
        <w:t>Figura 3: Fluxo de processamento do pipeline de evidências explicativas.</w:t>
      </w:r>
    </w:p>
    <w:p>
      <w:pPr>
        <w:pStyle w:val="Heading2"/>
      </w:pPr>
      <w:r>
        <w:rPr>
          <w:rFonts w:ascii="Times New Roman" w:hAnsi="Times New Roman" w:eastAsia="Times New Roman"/>
          <w:b/>
          <w:color w:val="000000"/>
          <w:sz w:val="28"/>
        </w:rPr>
        <w:t>4.5 Configuração Experimental</w:t>
      </w:r>
    </w:p>
    <w:p>
      <w:pPr>
        <w:spacing w:after="120" w:line="360" w:lineRule="auto"/>
        <w:ind w:firstLine="709"/>
      </w:pPr>
      <w:r>
        <w:rPr>
          <w:rFonts w:ascii="Times New Roman" w:hAnsi="Times New Roman" w:eastAsia="Times New Roman"/>
          <w:b w:val="0"/>
          <w:i w:val="0"/>
          <w:sz w:val="24"/>
        </w:rPr>
        <w:t>Para validação da proposta, foi utilizado o modelo ResNet50 pré-treinado no ImageNet para classificação de imagens do dataset Oxford-IIIT Pet Dataset (100 imagens de 10 raças de cães). Cada imagem é processada em 4 variantes: baseline (sem perturbação) e três perturbações controladas (ruído gaussiano com σ=0.08, desfoque gaussiano com radius=2.0, e ajuste de brilho com factor=1.2).</w:t>
      </w:r>
    </w:p>
    <w:p>
      <w:pPr>
        <w:spacing w:after="120" w:line="360" w:lineRule="auto"/>
        <w:ind w:firstLine="709"/>
      </w:pPr>
      <w:r>
        <w:rPr>
          <w:rFonts w:ascii="Times New Roman" w:hAnsi="Times New Roman" w:eastAsia="Times New Roman"/>
          <w:b w:val="0"/>
          <w:i w:val="0"/>
          <w:sz w:val="24"/>
        </w:rPr>
        <w:t>A Tabela 2 resume os parâmetros experimentais adotados.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E2F3"/>
          </w:tcPr>
          <w:p>
            <w:pPr>
              <w:jc w:val="center"/>
            </w:pPr>
            <w:r/>
            <w:r>
              <w:rPr>
                <w:rFonts w:ascii="Times New Roman" w:hAnsi="Times New Roman" w:eastAsia="Times New Roman"/>
                <w:b/>
                <w:sz w:val="20"/>
              </w:rPr>
              <w:t>Parâmetro</w:t>
            </w:r>
          </w:p>
        </w:tc>
        <w:tc>
          <w:tcPr>
            <w:tcW w:type="dxa" w:w="3135"/>
            <w:shd w:val="clear" w:color="auto" w:fill="D9E2F3"/>
          </w:tcPr>
          <w:p>
            <w:pPr>
              <w:jc w:val="center"/>
            </w:pPr>
            <w:r/>
            <w:r>
              <w:rPr>
                <w:rFonts w:ascii="Times New Roman" w:hAnsi="Times New Roman" w:eastAsia="Times New Roman"/>
                <w:b/>
                <w:sz w:val="20"/>
              </w:rPr>
              <w:t>Valor</w:t>
            </w:r>
          </w:p>
        </w:tc>
        <w:tc>
          <w:tcPr>
            <w:tcW w:type="dxa" w:w="3135"/>
            <w:shd w:val="clear" w:color="auto" w:fill="D9E2F3"/>
          </w:tcPr>
          <w:p>
            <w:pPr>
              <w:jc w:val="center"/>
            </w:pPr>
            <w:r/>
            <w:r>
              <w:rPr>
                <w:rFonts w:ascii="Times New Roman" w:hAnsi="Times New Roman" w:eastAsia="Times New Roman"/>
                <w:b/>
                <w:sz w:val="20"/>
              </w:rPr>
              <w:t>Justificativa</w:t>
            </w:r>
          </w:p>
        </w:tc>
      </w:tr>
      <w:tr>
        <w:tc>
          <w:tcPr>
            <w:tcW w:type="dxa" w:w="3135"/>
          </w:tcPr>
          <w:p>
            <w:r/>
            <w:r>
              <w:rPr>
                <w:rFonts w:ascii="Times New Roman" w:hAnsi="Times New Roman" w:eastAsia="Times New Roman"/>
                <w:b w:val="0"/>
                <w:sz w:val="20"/>
              </w:rPr>
              <w:t>Imagens</w:t>
            </w:r>
          </w:p>
        </w:tc>
        <w:tc>
          <w:tcPr>
            <w:tcW w:type="dxa" w:w="3135"/>
          </w:tcPr>
          <w:p>
            <w:r/>
            <w:r>
              <w:rPr>
                <w:rFonts w:ascii="Times New Roman" w:hAnsi="Times New Roman" w:eastAsia="Times New Roman"/>
                <w:b w:val="0"/>
                <w:sz w:val="20"/>
              </w:rPr>
              <w:t>100</w:t>
            </w:r>
          </w:p>
        </w:tc>
        <w:tc>
          <w:tcPr>
            <w:tcW w:type="dxa" w:w="3135"/>
          </w:tcPr>
          <w:p>
            <w:r/>
            <w:r>
              <w:rPr>
                <w:rFonts w:ascii="Times New Roman" w:hAnsi="Times New Roman" w:eastAsia="Times New Roman"/>
                <w:b w:val="0"/>
                <w:sz w:val="20"/>
              </w:rPr>
              <w:t>Subconto do Oxford-IIIT Pet Dataset</w:t>
            </w:r>
          </w:p>
        </w:tc>
      </w:tr>
      <w:tr>
        <w:tc>
          <w:tcPr>
            <w:tcW w:type="dxa" w:w="3135"/>
          </w:tcPr>
          <w:p>
            <w:r/>
            <w:r>
              <w:rPr>
                <w:rFonts w:ascii="Times New Roman" w:hAnsi="Times New Roman" w:eastAsia="Times New Roman"/>
                <w:b w:val="0"/>
                <w:sz w:val="20"/>
              </w:rPr>
              <w:t>Classes</w:t>
            </w:r>
          </w:p>
        </w:tc>
        <w:tc>
          <w:tcPr>
            <w:tcW w:type="dxa" w:w="3135"/>
          </w:tcPr>
          <w:p>
            <w:r/>
            <w:r>
              <w:rPr>
                <w:rFonts w:ascii="Times New Roman" w:hAnsi="Times New Roman" w:eastAsia="Times New Roman"/>
                <w:b w:val="0"/>
                <w:sz w:val="20"/>
              </w:rPr>
              <w:t>10 raças</w:t>
            </w:r>
          </w:p>
        </w:tc>
        <w:tc>
          <w:tcPr>
            <w:tcW w:type="dxa" w:w="3135"/>
          </w:tcPr>
          <w:p>
            <w:r/>
            <w:r>
              <w:rPr>
                <w:rFonts w:ascii="Times New Roman" w:hAnsi="Times New Roman" w:eastAsia="Times New Roman"/>
                <w:b w:val="0"/>
                <w:sz w:val="20"/>
              </w:rPr>
              <w:t>Diversidade de características visuais</w:t>
            </w:r>
          </w:p>
        </w:tc>
      </w:tr>
      <w:tr>
        <w:tc>
          <w:tcPr>
            <w:tcW w:type="dxa" w:w="3135"/>
          </w:tcPr>
          <w:p>
            <w:r/>
            <w:r>
              <w:rPr>
                <w:rFonts w:ascii="Times New Roman" w:hAnsi="Times New Roman" w:eastAsia="Times New Roman"/>
                <w:b w:val="0"/>
                <w:sz w:val="20"/>
              </w:rPr>
              <w:t>Variantes por imagem</w:t>
            </w:r>
          </w:p>
        </w:tc>
        <w:tc>
          <w:tcPr>
            <w:tcW w:type="dxa" w:w="3135"/>
          </w:tcPr>
          <w:p>
            <w:r/>
            <w:r>
              <w:rPr>
                <w:rFonts w:ascii="Times New Roman" w:hAnsi="Times New Roman" w:eastAsia="Times New Roman"/>
                <w:b w:val="0"/>
                <w:sz w:val="20"/>
              </w:rPr>
              <w:t>4</w:t>
            </w:r>
          </w:p>
        </w:tc>
        <w:tc>
          <w:tcPr>
            <w:tcW w:type="dxa" w:w="3135"/>
          </w:tcPr>
          <w:p>
            <w:r/>
            <w:r>
              <w:rPr>
                <w:rFonts w:ascii="Times New Roman" w:hAnsi="Times New Roman" w:eastAsia="Times New Roman"/>
                <w:b w:val="0"/>
                <w:sz w:val="20"/>
              </w:rPr>
              <w:t>Baseline + 3 perturbações</w:t>
            </w:r>
          </w:p>
        </w:tc>
      </w:tr>
      <w:tr>
        <w:tc>
          <w:tcPr>
            <w:tcW w:type="dxa" w:w="3135"/>
          </w:tcPr>
          <w:p>
            <w:r/>
            <w:r>
              <w:rPr>
                <w:rFonts w:ascii="Times New Roman" w:hAnsi="Times New Roman" w:eastAsia="Times New Roman"/>
                <w:b w:val="0"/>
                <w:sz w:val="20"/>
              </w:rPr>
              <w:t>Total de inferências</w:t>
            </w:r>
          </w:p>
        </w:tc>
        <w:tc>
          <w:tcPr>
            <w:tcW w:type="dxa" w:w="3135"/>
          </w:tcPr>
          <w:p>
            <w:r/>
            <w:r>
              <w:rPr>
                <w:rFonts w:ascii="Times New Roman" w:hAnsi="Times New Roman" w:eastAsia="Times New Roman"/>
                <w:b w:val="0"/>
                <w:sz w:val="20"/>
              </w:rPr>
              <w:t>400</w:t>
            </w:r>
          </w:p>
        </w:tc>
        <w:tc>
          <w:tcPr>
            <w:tcW w:type="dxa" w:w="3135"/>
          </w:tcPr>
          <w:p>
            <w:r/>
            <w:r>
              <w:rPr>
                <w:rFonts w:ascii="Times New Roman" w:hAnsi="Times New Roman" w:eastAsia="Times New Roman"/>
                <w:b w:val="0"/>
                <w:sz w:val="20"/>
              </w:rPr>
              <w:t>100 × 4</w:t>
            </w:r>
          </w:p>
        </w:tc>
      </w:tr>
      <w:tr>
        <w:tc>
          <w:tcPr>
            <w:tcW w:type="dxa" w:w="3135"/>
          </w:tcPr>
          <w:p>
            <w:r/>
            <w:r>
              <w:rPr>
                <w:rFonts w:ascii="Times New Roman" w:hAnsi="Times New Roman" w:eastAsia="Times New Roman"/>
                <w:b w:val="0"/>
                <w:sz w:val="20"/>
              </w:rPr>
              <w:t>Dimensão do embedding</w:t>
            </w:r>
          </w:p>
        </w:tc>
        <w:tc>
          <w:tcPr>
            <w:tcW w:type="dxa" w:w="3135"/>
          </w:tcPr>
          <w:p>
            <w:r/>
            <w:r>
              <w:rPr>
                <w:rFonts w:ascii="Times New Roman" w:hAnsi="Times New Roman" w:eastAsia="Times New Roman"/>
                <w:b w:val="0"/>
                <w:sz w:val="20"/>
              </w:rPr>
              <w:t>2048</w:t>
            </w:r>
          </w:p>
        </w:tc>
        <w:tc>
          <w:tcPr>
            <w:tcW w:type="dxa" w:w="3135"/>
          </w:tcPr>
          <w:p>
            <w:r/>
            <w:r>
              <w:rPr>
                <w:rFonts w:ascii="Times New Roman" w:hAnsi="Times New Roman" w:eastAsia="Times New Roman"/>
                <w:b w:val="0"/>
                <w:sz w:val="20"/>
              </w:rPr>
              <w:t>Penúltima camada da ResNet50</w:t>
            </w:r>
          </w:p>
        </w:tc>
      </w:tr>
      <w:tr>
        <w:tc>
          <w:tcPr>
            <w:tcW w:type="dxa" w:w="3135"/>
          </w:tcPr>
          <w:p>
            <w:r/>
            <w:r>
              <w:rPr>
                <w:rFonts w:ascii="Times New Roman" w:hAnsi="Times New Roman" w:eastAsia="Times New Roman"/>
                <w:b w:val="0"/>
                <w:sz w:val="20"/>
              </w:rPr>
              <w:t>Métrica de distância</w:t>
            </w:r>
          </w:p>
        </w:tc>
        <w:tc>
          <w:tcPr>
            <w:tcW w:type="dxa" w:w="3135"/>
          </w:tcPr>
          <w:p>
            <w:r/>
            <w:r>
              <w:rPr>
                <w:rFonts w:ascii="Times New Roman" w:hAnsi="Times New Roman" w:eastAsia="Times New Roman"/>
                <w:b w:val="0"/>
                <w:sz w:val="20"/>
              </w:rPr>
              <w:t>Cosseno</w:t>
            </w:r>
          </w:p>
        </w:tc>
        <w:tc>
          <w:tcPr>
            <w:tcW w:type="dxa" w:w="3135"/>
          </w:tcPr>
          <w:p>
            <w:r/>
            <w:r>
              <w:rPr>
                <w:rFonts w:ascii="Times New Roman" w:hAnsi="Times New Roman" w:eastAsia="Times New Roman"/>
                <w:b w:val="0"/>
                <w:sz w:val="20"/>
              </w:rPr>
              <w:t>Adequada para embeddings normalizados</w:t>
            </w:r>
          </w:p>
        </w:tc>
      </w:tr>
      <w:tr>
        <w:tc>
          <w:tcPr>
            <w:tcW w:type="dxa" w:w="3135"/>
          </w:tcPr>
          <w:p>
            <w:r/>
            <w:r>
              <w:rPr>
                <w:rFonts w:ascii="Times New Roman" w:hAnsi="Times New Roman" w:eastAsia="Times New Roman"/>
                <w:b w:val="0"/>
                <w:sz w:val="20"/>
              </w:rPr>
              <w:t>Workers</w:t>
            </w:r>
          </w:p>
        </w:tc>
        <w:tc>
          <w:tcPr>
            <w:tcW w:type="dxa" w:w="3135"/>
          </w:tcPr>
          <w:p>
            <w:r/>
            <w:r>
              <w:rPr>
                <w:rFonts w:ascii="Times New Roman" w:hAnsi="Times New Roman" w:eastAsia="Times New Roman"/>
                <w:b w:val="0"/>
                <w:sz w:val="20"/>
              </w:rPr>
              <w:t>1</w:t>
            </w:r>
          </w:p>
        </w:tc>
        <w:tc>
          <w:tcPr>
            <w:tcW w:type="dxa" w:w="3135"/>
          </w:tcPr>
          <w:p>
            <w:r/>
            <w:r>
              <w:rPr>
                <w:rFonts w:ascii="Times New Roman" w:hAnsi="Times New Roman" w:eastAsia="Times New Roman"/>
                <w:b w:val="0"/>
                <w:sz w:val="20"/>
              </w:rPr>
              <w:t>Ambiente CPU-only</w:t>
            </w:r>
          </w:p>
        </w:tc>
      </w:tr>
      <w:tr>
        <w:tc>
          <w:tcPr>
            <w:tcW w:type="dxa" w:w="3135"/>
          </w:tcPr>
          <w:p>
            <w:r/>
            <w:r>
              <w:rPr>
                <w:rFonts w:ascii="Times New Roman" w:hAnsi="Times New Roman" w:eastAsia="Times New Roman"/>
                <w:b w:val="0"/>
                <w:sz w:val="20"/>
              </w:rPr>
              <w:t>Seed</w:t>
            </w:r>
          </w:p>
        </w:tc>
        <w:tc>
          <w:tcPr>
            <w:tcW w:type="dxa" w:w="3135"/>
          </w:tcPr>
          <w:p>
            <w:r/>
            <w:r>
              <w:rPr>
                <w:rFonts w:ascii="Times New Roman" w:hAnsi="Times New Roman" w:eastAsia="Times New Roman"/>
                <w:b w:val="0"/>
                <w:sz w:val="20"/>
              </w:rPr>
              <w:t>42</w:t>
            </w:r>
          </w:p>
        </w:tc>
        <w:tc>
          <w:tcPr>
            <w:tcW w:type="dxa" w:w="3135"/>
          </w:tcPr>
          <w:p>
            <w:r/>
            <w:r>
              <w:rPr>
                <w:rFonts w:ascii="Times New Roman" w:hAnsi="Times New Roman" w:eastAsia="Times New Roman"/>
                <w:b w:val="0"/>
                <w:sz w:val="20"/>
              </w:rPr>
              <w:t>Reprodutibilidade</w:t>
            </w:r>
          </w:p>
        </w:tc>
      </w:tr>
    </w:tbl>
    <w:p/>
    <w:p>
      <w:pPr>
        <w:spacing w:after="120" w:line="360" w:lineRule="auto"/>
      </w:pPr>
      <w:r>
        <w:rPr>
          <w:rFonts w:ascii="Times New Roman" w:hAnsi="Times New Roman" w:eastAsia="Times New Roman"/>
          <w:b w:val="0"/>
          <w:i w:val="0"/>
          <w:sz w:val="24"/>
        </w:rPr>
        <w:t>Tabela 2: Parâmetros do experimento.</w:t>
      </w:r>
    </w:p>
    <w:p>
      <w:pPr>
        <w:pStyle w:val="Heading2"/>
      </w:pPr>
      <w:r>
        <w:rPr>
          <w:rFonts w:ascii="Times New Roman" w:hAnsi="Times New Roman" w:eastAsia="Times New Roman"/>
          <w:b/>
          <w:color w:val="000000"/>
          <w:sz w:val="28"/>
        </w:rPr>
        <w:t>4.6 Métricas de Avaliação</w:t>
      </w:r>
    </w:p>
    <w:p>
      <w:pPr>
        <w:spacing w:after="120" w:line="360" w:lineRule="auto"/>
        <w:ind w:firstLine="709"/>
      </w:pPr>
      <w:r>
        <w:rPr>
          <w:rFonts w:ascii="Times New Roman" w:hAnsi="Times New Roman" w:eastAsia="Times New Roman"/>
          <w:b w:val="0"/>
          <w:i w:val="0"/>
          <w:sz w:val="24"/>
        </w:rPr>
        <w:t>Para cada par (baseline, perturbado), o sistema calcula as seguintes métricas: (1) confidence_delta: diferença de confiança entre baseline e perturbado; (2) class_changed: indicador booleano de mudança de classe; (3) gradcam_overlap: IoU (Intersection over Union) entre regiões de alta ativação com threshold 0.5; (4) gradcam_correlation: correlação de Pearson entre mapas normalizados; e (5) embedding_similarity: similaridade cosseno entre vetores.</w:t>
      </w:r>
    </w:p>
    <w:p>
      <w:pPr>
        <w:spacing w:after="120" w:line="360" w:lineRule="auto"/>
        <w:ind w:firstLine="709"/>
      </w:pPr>
      <w:r>
        <w:rPr>
          <w:rFonts w:ascii="Times New Roman" w:hAnsi="Times New Roman" w:eastAsia="Times New Roman"/>
          <w:b w:val="0"/>
          <w:i w:val="0"/>
          <w:sz w:val="24"/>
        </w:rPr>
        <w:t>O sistema classifica automaticamente cada comparação em níveis de risco: CRITICAL (classe alterada), HIGH (overlap &lt; 0.4), MODERATE (Δ confiança &lt; -0.3 ou overlap &lt; 0.6) e LOW (decisão estável). Eventos CRITICAL e HIGH são registrados automaticamente na trilha de auditoria.</w:t>
      </w:r>
    </w:p>
    <w:p>
      <w:pPr>
        <w:pStyle w:val="Heading1"/>
      </w:pPr>
      <w:r>
        <w:rPr>
          <w:rFonts w:ascii="Times New Roman" w:hAnsi="Times New Roman" w:eastAsia="Times New Roman"/>
          <w:b/>
          <w:color w:val="000000"/>
          <w:sz w:val="32"/>
        </w:rPr>
        <w:t>5. Resultados e Discussão</w:t>
      </w:r>
    </w:p>
    <w:p>
      <w:pPr>
        <w:pStyle w:val="Heading2"/>
      </w:pPr>
      <w:r>
        <w:rPr>
          <w:rFonts w:ascii="Times New Roman" w:hAnsi="Times New Roman" w:eastAsia="Times New Roman"/>
          <w:b/>
          <w:color w:val="000000"/>
          <w:sz w:val="28"/>
        </w:rPr>
        <w:t>5.1 Resultados de Armazenamento (MySQL)</w:t>
      </w:r>
    </w:p>
    <w:p>
      <w:pPr>
        <w:spacing w:after="120" w:line="360" w:lineRule="auto"/>
        <w:ind w:firstLine="709"/>
      </w:pPr>
      <w:r>
        <w:rPr>
          <w:rFonts w:ascii="Times New Roman" w:hAnsi="Times New Roman" w:eastAsia="Times New Roman"/>
          <w:b w:val="0"/>
          <w:i w:val="0"/>
          <w:sz w:val="24"/>
        </w:rPr>
        <w:t>O experimento gerou aproximadamente 3.258 registros distribuídos nas 12 tabelas do MySQL. A Tabela 3 apresenta a distribuição de registros por tabela.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E2F3"/>
          </w:tcPr>
          <w:p>
            <w:pPr>
              <w:jc w:val="center"/>
            </w:pPr>
            <w:r/>
            <w:r>
              <w:rPr>
                <w:rFonts w:ascii="Times New Roman" w:hAnsi="Times New Roman" w:eastAsia="Times New Roman"/>
                <w:b/>
                <w:sz w:val="20"/>
              </w:rPr>
              <w:t>Tabela</w:t>
            </w:r>
          </w:p>
        </w:tc>
        <w:tc>
          <w:tcPr>
            <w:tcW w:type="dxa" w:w="3135"/>
            <w:shd w:val="clear" w:color="auto" w:fill="D9E2F3"/>
          </w:tcPr>
          <w:p>
            <w:pPr>
              <w:jc w:val="center"/>
            </w:pPr>
            <w:r/>
            <w:r>
              <w:rPr>
                <w:rFonts w:ascii="Times New Roman" w:hAnsi="Times New Roman" w:eastAsia="Times New Roman"/>
                <w:b/>
                <w:sz w:val="20"/>
              </w:rPr>
              <w:t>Registros</w:t>
            </w:r>
          </w:p>
        </w:tc>
        <w:tc>
          <w:tcPr>
            <w:tcW w:type="dxa" w:w="3135"/>
            <w:shd w:val="clear" w:color="auto" w:fill="D9E2F3"/>
          </w:tcPr>
          <w:p>
            <w:pPr>
              <w:jc w:val="center"/>
            </w:pPr>
            <w:r/>
            <w:r>
              <w:rPr>
                <w:rFonts w:ascii="Times New Roman" w:hAnsi="Times New Roman" w:eastAsia="Times New Roman"/>
                <w:b/>
                <w:sz w:val="20"/>
              </w:rPr>
              <w:t>% do Total</w:t>
            </w:r>
          </w:p>
        </w:tc>
      </w:tr>
      <w:tr>
        <w:tc>
          <w:tcPr>
            <w:tcW w:type="dxa" w:w="3135"/>
          </w:tcPr>
          <w:p>
            <w:r/>
            <w:r>
              <w:rPr>
                <w:rFonts w:ascii="Times New Roman" w:hAnsi="Times New Roman" w:eastAsia="Times New Roman"/>
                <w:b w:val="0"/>
                <w:sz w:val="20"/>
              </w:rPr>
              <w:t>experiments</w:t>
            </w:r>
          </w:p>
        </w:tc>
        <w:tc>
          <w:tcPr>
            <w:tcW w:type="dxa" w:w="3135"/>
          </w:tcPr>
          <w:p>
            <w:r/>
            <w:r>
              <w:rPr>
                <w:rFonts w:ascii="Times New Roman" w:hAnsi="Times New Roman" w:eastAsia="Times New Roman"/>
                <w:b w:val="0"/>
                <w:sz w:val="20"/>
              </w:rPr>
              <w:t>100</w:t>
            </w:r>
          </w:p>
        </w:tc>
        <w:tc>
          <w:tcPr>
            <w:tcW w:type="dxa" w:w="3135"/>
          </w:tcPr>
          <w:p>
            <w:r/>
            <w:r>
              <w:rPr>
                <w:rFonts w:ascii="Times New Roman" w:hAnsi="Times New Roman" w:eastAsia="Times New Roman"/>
                <w:b w:val="0"/>
                <w:sz w:val="20"/>
              </w:rPr>
              <w:t>4,5%</w:t>
            </w:r>
          </w:p>
        </w:tc>
      </w:tr>
      <w:tr>
        <w:tc>
          <w:tcPr>
            <w:tcW w:type="dxa" w:w="3135"/>
          </w:tcPr>
          <w:p>
            <w:r/>
            <w:r>
              <w:rPr>
                <w:rFonts w:ascii="Times New Roman" w:hAnsi="Times New Roman" w:eastAsia="Times New Roman"/>
                <w:b w:val="0"/>
                <w:sz w:val="20"/>
              </w:rPr>
              <w:t>images</w:t>
            </w:r>
          </w:p>
        </w:tc>
        <w:tc>
          <w:tcPr>
            <w:tcW w:type="dxa" w:w="3135"/>
          </w:tcPr>
          <w:p>
            <w:r/>
            <w:r>
              <w:rPr>
                <w:rFonts w:ascii="Times New Roman" w:hAnsi="Times New Roman" w:eastAsia="Times New Roman"/>
                <w:b w:val="0"/>
                <w:sz w:val="20"/>
              </w:rPr>
              <w:t>100</w:t>
            </w:r>
          </w:p>
        </w:tc>
        <w:tc>
          <w:tcPr>
            <w:tcW w:type="dxa" w:w="3135"/>
          </w:tcPr>
          <w:p>
            <w:r/>
            <w:r>
              <w:rPr>
                <w:rFonts w:ascii="Times New Roman" w:hAnsi="Times New Roman" w:eastAsia="Times New Roman"/>
                <w:b w:val="0"/>
                <w:sz w:val="20"/>
              </w:rPr>
              <w:t>4,5%</w:t>
            </w:r>
          </w:p>
        </w:tc>
      </w:tr>
      <w:tr>
        <w:tc>
          <w:tcPr>
            <w:tcW w:type="dxa" w:w="3135"/>
          </w:tcPr>
          <w:p>
            <w:r/>
            <w:r>
              <w:rPr>
                <w:rFonts w:ascii="Times New Roman" w:hAnsi="Times New Roman" w:eastAsia="Times New Roman"/>
                <w:b w:val="0"/>
                <w:sz w:val="20"/>
              </w:rPr>
              <w:t>inferences</w:t>
            </w:r>
          </w:p>
        </w:tc>
        <w:tc>
          <w:tcPr>
            <w:tcW w:type="dxa" w:w="3135"/>
          </w:tcPr>
          <w:p>
            <w:r/>
            <w:r>
              <w:rPr>
                <w:rFonts w:ascii="Times New Roman" w:hAnsi="Times New Roman" w:eastAsia="Times New Roman"/>
                <w:b w:val="0"/>
                <w:sz w:val="20"/>
              </w:rPr>
              <w:t>408</w:t>
            </w:r>
          </w:p>
        </w:tc>
        <w:tc>
          <w:tcPr>
            <w:tcW w:type="dxa" w:w="3135"/>
          </w:tcPr>
          <w:p>
            <w:r/>
            <w:r>
              <w:rPr>
                <w:rFonts w:ascii="Times New Roman" w:hAnsi="Times New Roman" w:eastAsia="Times New Roman"/>
                <w:b w:val="0"/>
                <w:sz w:val="20"/>
              </w:rPr>
              <w:t>18,4%</w:t>
            </w:r>
          </w:p>
        </w:tc>
      </w:tr>
      <w:tr>
        <w:tc>
          <w:tcPr>
            <w:tcW w:type="dxa" w:w="3135"/>
          </w:tcPr>
          <w:p>
            <w:r/>
            <w:r>
              <w:rPr>
                <w:rFonts w:ascii="Times New Roman" w:hAnsi="Times New Roman" w:eastAsia="Times New Roman"/>
                <w:b w:val="0"/>
                <w:sz w:val="20"/>
              </w:rPr>
              <w:t>embeddings</w:t>
            </w:r>
          </w:p>
        </w:tc>
        <w:tc>
          <w:tcPr>
            <w:tcW w:type="dxa" w:w="3135"/>
          </w:tcPr>
          <w:p>
            <w:r/>
            <w:r>
              <w:rPr>
                <w:rFonts w:ascii="Times New Roman" w:hAnsi="Times New Roman" w:eastAsia="Times New Roman"/>
                <w:b w:val="0"/>
                <w:sz w:val="20"/>
              </w:rPr>
              <w:t>408</w:t>
            </w:r>
          </w:p>
        </w:tc>
        <w:tc>
          <w:tcPr>
            <w:tcW w:type="dxa" w:w="3135"/>
          </w:tcPr>
          <w:p>
            <w:r/>
            <w:r>
              <w:rPr>
                <w:rFonts w:ascii="Times New Roman" w:hAnsi="Times New Roman" w:eastAsia="Times New Roman"/>
                <w:b w:val="0"/>
                <w:sz w:val="20"/>
              </w:rPr>
              <w:t>18,4%</w:t>
            </w:r>
          </w:p>
        </w:tc>
      </w:tr>
      <w:tr>
        <w:tc>
          <w:tcPr>
            <w:tcW w:type="dxa" w:w="3135"/>
          </w:tcPr>
          <w:p>
            <w:r/>
            <w:r>
              <w:rPr>
                <w:rFonts w:ascii="Times New Roman" w:hAnsi="Times New Roman" w:eastAsia="Times New Roman"/>
                <w:b w:val="0"/>
                <w:sz w:val="20"/>
              </w:rPr>
              <w:t>gradcams</w:t>
            </w:r>
          </w:p>
        </w:tc>
        <w:tc>
          <w:tcPr>
            <w:tcW w:type="dxa" w:w="3135"/>
          </w:tcPr>
          <w:p>
            <w:r/>
            <w:r>
              <w:rPr>
                <w:rFonts w:ascii="Times New Roman" w:hAnsi="Times New Roman" w:eastAsia="Times New Roman"/>
                <w:b w:val="0"/>
                <w:sz w:val="20"/>
              </w:rPr>
              <w:t>408</w:t>
            </w:r>
          </w:p>
        </w:tc>
        <w:tc>
          <w:tcPr>
            <w:tcW w:type="dxa" w:w="3135"/>
          </w:tcPr>
          <w:p>
            <w:r/>
            <w:r>
              <w:rPr>
                <w:rFonts w:ascii="Times New Roman" w:hAnsi="Times New Roman" w:eastAsia="Times New Roman"/>
                <w:b w:val="0"/>
                <w:sz w:val="20"/>
              </w:rPr>
              <w:t>18,4%</w:t>
            </w:r>
          </w:p>
        </w:tc>
      </w:tr>
      <w:tr>
        <w:tc>
          <w:tcPr>
            <w:tcW w:type="dxa" w:w="3135"/>
          </w:tcPr>
          <w:p>
            <w:r/>
            <w:r>
              <w:rPr>
                <w:rFonts w:ascii="Times New Roman" w:hAnsi="Times New Roman" w:eastAsia="Times New Roman"/>
                <w:b w:val="0"/>
                <w:sz w:val="20"/>
              </w:rPr>
              <w:t>media_assets</w:t>
            </w:r>
          </w:p>
        </w:tc>
        <w:tc>
          <w:tcPr>
            <w:tcW w:type="dxa" w:w="3135"/>
          </w:tcPr>
          <w:p>
            <w:r/>
            <w:r>
              <w:rPr>
                <w:rFonts w:ascii="Times New Roman" w:hAnsi="Times New Roman" w:eastAsia="Times New Roman"/>
                <w:b w:val="0"/>
                <w:sz w:val="20"/>
              </w:rPr>
              <w:t>812</w:t>
            </w:r>
          </w:p>
        </w:tc>
        <w:tc>
          <w:tcPr>
            <w:tcW w:type="dxa" w:w="3135"/>
          </w:tcPr>
          <w:p>
            <w:r/>
            <w:r>
              <w:rPr>
                <w:rFonts w:ascii="Times New Roman" w:hAnsi="Times New Roman" w:eastAsia="Times New Roman"/>
                <w:b w:val="0"/>
                <w:sz w:val="20"/>
              </w:rPr>
              <w:t>36,6%</w:t>
            </w:r>
          </w:p>
        </w:tc>
      </w:tr>
      <w:tr>
        <w:tc>
          <w:tcPr>
            <w:tcW w:type="dxa" w:w="3135"/>
          </w:tcPr>
          <w:p>
            <w:r/>
            <w:r>
              <w:rPr>
                <w:rFonts w:ascii="Times New Roman" w:hAnsi="Times New Roman" w:eastAsia="Times New Roman"/>
                <w:b w:val="0"/>
                <w:sz w:val="20"/>
              </w:rPr>
              <w:t>perturbation_comparisons</w:t>
            </w:r>
          </w:p>
        </w:tc>
        <w:tc>
          <w:tcPr>
            <w:tcW w:type="dxa" w:w="3135"/>
          </w:tcPr>
          <w:p>
            <w:r/>
            <w:r>
              <w:rPr>
                <w:rFonts w:ascii="Times New Roman" w:hAnsi="Times New Roman" w:eastAsia="Times New Roman"/>
                <w:b w:val="0"/>
                <w:sz w:val="20"/>
              </w:rPr>
              <w:t>300</w:t>
            </w:r>
          </w:p>
        </w:tc>
        <w:tc>
          <w:tcPr>
            <w:tcW w:type="dxa" w:w="3135"/>
          </w:tcPr>
          <w:p>
            <w:r/>
            <w:r>
              <w:rPr>
                <w:rFonts w:ascii="Times New Roman" w:hAnsi="Times New Roman" w:eastAsia="Times New Roman"/>
                <w:b w:val="0"/>
                <w:sz w:val="20"/>
              </w:rPr>
              <w:t>13,5%</w:t>
            </w:r>
          </w:p>
        </w:tc>
      </w:tr>
      <w:tr>
        <w:tc>
          <w:tcPr>
            <w:tcW w:type="dxa" w:w="3135"/>
          </w:tcPr>
          <w:p>
            <w:r/>
            <w:r>
              <w:rPr>
                <w:rFonts w:ascii="Times New Roman" w:hAnsi="Times New Roman" w:eastAsia="Times New Roman"/>
                <w:b w:val="0"/>
                <w:sz w:val="20"/>
              </w:rPr>
              <w:t>similarity_records</w:t>
            </w:r>
          </w:p>
        </w:tc>
        <w:tc>
          <w:tcPr>
            <w:tcW w:type="dxa" w:w="3135"/>
          </w:tcPr>
          <w:p>
            <w:r/>
            <w:r>
              <w:rPr>
                <w:rFonts w:ascii="Times New Roman" w:hAnsi="Times New Roman" w:eastAsia="Times New Roman"/>
                <w:b w:val="0"/>
                <w:sz w:val="20"/>
              </w:rPr>
              <w:t>500+</w:t>
            </w:r>
          </w:p>
        </w:tc>
        <w:tc>
          <w:tcPr>
            <w:tcW w:type="dxa" w:w="3135"/>
          </w:tcPr>
          <w:p>
            <w:r/>
            <w:r>
              <w:rPr>
                <w:rFonts w:ascii="Times New Roman" w:hAnsi="Times New Roman" w:eastAsia="Times New Roman"/>
                <w:b w:val="0"/>
                <w:sz w:val="20"/>
              </w:rPr>
              <w:t>22,5%</w:t>
            </w:r>
          </w:p>
        </w:tc>
      </w:tr>
      <w:tr>
        <w:tc>
          <w:tcPr>
            <w:tcW w:type="dxa" w:w="3135"/>
          </w:tcPr>
          <w:p>
            <w:r/>
            <w:r>
              <w:rPr>
                <w:rFonts w:ascii="Times New Roman" w:hAnsi="Times New Roman" w:eastAsia="Times New Roman"/>
                <w:b w:val="0"/>
                <w:sz w:val="20"/>
              </w:rPr>
              <w:t>audit_trail</w:t>
            </w:r>
          </w:p>
        </w:tc>
        <w:tc>
          <w:tcPr>
            <w:tcW w:type="dxa" w:w="3135"/>
          </w:tcPr>
          <w:p>
            <w:r/>
            <w:r>
              <w:rPr>
                <w:rFonts w:ascii="Times New Roman" w:hAnsi="Times New Roman" w:eastAsia="Times New Roman"/>
                <w:b w:val="0"/>
                <w:sz w:val="20"/>
              </w:rPr>
              <w:t>21</w:t>
            </w:r>
          </w:p>
        </w:tc>
        <w:tc>
          <w:tcPr>
            <w:tcW w:type="dxa" w:w="3135"/>
          </w:tcPr>
          <w:p>
            <w:r/>
            <w:r>
              <w:rPr>
                <w:rFonts w:ascii="Times New Roman" w:hAnsi="Times New Roman" w:eastAsia="Times New Roman"/>
                <w:b w:val="0"/>
                <w:sz w:val="20"/>
              </w:rPr>
              <w:t>0,9%</w:t>
            </w:r>
          </w:p>
        </w:tc>
      </w:tr>
      <w:tr>
        <w:tc>
          <w:tcPr>
            <w:tcW w:type="dxa" w:w="3135"/>
          </w:tcPr>
          <w:p>
            <w:r/>
            <w:r>
              <w:rPr>
                <w:rFonts w:ascii="Times New Roman" w:hAnsi="Times New Roman" w:eastAsia="Times New Roman"/>
                <w:b w:val="0"/>
                <w:sz w:val="20"/>
              </w:rPr>
              <w:t>benchmark_runs</w:t>
            </w:r>
          </w:p>
        </w:tc>
        <w:tc>
          <w:tcPr>
            <w:tcW w:type="dxa" w:w="3135"/>
          </w:tcPr>
          <w:p>
            <w:r/>
            <w:r>
              <w:rPr>
                <w:rFonts w:ascii="Times New Roman" w:hAnsi="Times New Roman" w:eastAsia="Times New Roman"/>
                <w:b w:val="0"/>
                <w:sz w:val="20"/>
              </w:rPr>
              <w:t>1</w:t>
            </w:r>
          </w:p>
        </w:tc>
        <w:tc>
          <w:tcPr>
            <w:tcW w:type="dxa" w:w="3135"/>
          </w:tcPr>
          <w:p>
            <w:r/>
            <w:r>
              <w:rPr>
                <w:rFonts w:ascii="Times New Roman" w:hAnsi="Times New Roman" w:eastAsia="Times New Roman"/>
                <w:b w:val="0"/>
                <w:sz w:val="20"/>
              </w:rPr>
              <w:t>&lt;0,1%</w:t>
            </w:r>
          </w:p>
        </w:tc>
      </w:tr>
      <w:tr>
        <w:tc>
          <w:tcPr>
            <w:tcW w:type="dxa" w:w="3135"/>
          </w:tcPr>
          <w:p>
            <w:r/>
            <w:r>
              <w:rPr>
                <w:rFonts w:ascii="Times New Roman" w:hAnsi="Times New Roman" w:eastAsia="Times New Roman"/>
                <w:b w:val="0"/>
                <w:sz w:val="20"/>
              </w:rPr>
              <w:t>Total</w:t>
            </w:r>
          </w:p>
        </w:tc>
        <w:tc>
          <w:tcPr>
            <w:tcW w:type="dxa" w:w="3135"/>
          </w:tcPr>
          <w:p>
            <w:r/>
            <w:r>
              <w:rPr>
                <w:rFonts w:ascii="Times New Roman" w:hAnsi="Times New Roman" w:eastAsia="Times New Roman"/>
                <w:b w:val="0"/>
                <w:sz w:val="20"/>
              </w:rPr>
              <w:t>~3.258</w:t>
            </w:r>
          </w:p>
        </w:tc>
        <w:tc>
          <w:tcPr>
            <w:tcW w:type="dxa" w:w="3135"/>
          </w:tcPr>
          <w:p>
            <w:r/>
            <w:r>
              <w:rPr>
                <w:rFonts w:ascii="Times New Roman" w:hAnsi="Times New Roman" w:eastAsia="Times New Roman"/>
                <w:b w:val="0"/>
                <w:sz w:val="20"/>
              </w:rPr>
              <w:t>100%</w:t>
            </w:r>
          </w:p>
        </w:tc>
      </w:tr>
    </w:tbl>
    <w:p/>
    <w:p>
      <w:pPr>
        <w:spacing w:after="120" w:line="360" w:lineRule="auto"/>
      </w:pPr>
      <w:r>
        <w:rPr>
          <w:rFonts w:ascii="Times New Roman" w:hAnsi="Times New Roman" w:eastAsia="Times New Roman"/>
          <w:b w:val="0"/>
          <w:i w:val="0"/>
          <w:sz w:val="24"/>
        </w:rPr>
        <w:t>Tabela 3: Distribuição de registros por tabela no MySQL.</w:t>
      </w:r>
    </w:p>
    <w:p>
      <w:pPr>
        <w:spacing w:after="120" w:line="360" w:lineRule="auto"/>
        <w:ind w:firstLine="709"/>
      </w:pPr>
      <w:r>
        <w:rPr>
          <w:rFonts w:ascii="Times New Roman" w:hAnsi="Times New Roman" w:eastAsia="Times New Roman"/>
          <w:b w:val="0"/>
          <w:i w:val="0"/>
          <w:sz w:val="24"/>
        </w:rPr>
        <w:t>Cada imagem gerou em média 31 operações de INSERT no MySQL (1 experimento + 1 imagem + 4 inferências + 4 embeddings + 4 gradcams + 8 media_assets + 3 comparações + 5 similarity_records + auditoria). Para 100 imagens, totalizam aproximadamente 3.100 operações de inserção, demonstrando a capacidade do sistema de lidar com volumes significativos de dados estruturados.</w:t>
      </w:r>
    </w:p>
    <w:p>
      <w:pPr>
        <w:pStyle w:val="Heading2"/>
      </w:pPr>
      <w:r>
        <w:rPr>
          <w:rFonts w:ascii="Times New Roman" w:hAnsi="Times New Roman" w:eastAsia="Times New Roman"/>
          <w:b/>
          <w:color w:val="000000"/>
          <w:sz w:val="28"/>
        </w:rPr>
        <w:t>5.2 Resultados de Perturbação</w:t>
      </w:r>
    </w:p>
    <w:p>
      <w:pPr>
        <w:spacing w:after="120" w:line="360" w:lineRule="auto"/>
        <w:ind w:firstLine="709"/>
      </w:pPr>
      <w:r>
        <w:rPr>
          <w:rFonts w:ascii="Times New Roman" w:hAnsi="Times New Roman" w:eastAsia="Times New Roman"/>
          <w:b w:val="0"/>
          <w:i w:val="0"/>
          <w:sz w:val="24"/>
        </w:rPr>
        <w:t>A Tabela 4 apresenta os resultados das 300 comparações entre baseline e versões perturbadas.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E2F3"/>
          </w:tcPr>
          <w:p>
            <w:pPr>
              <w:jc w:val="center"/>
            </w:pPr>
            <w:r/>
            <w:r>
              <w:rPr>
                <w:rFonts w:ascii="Times New Roman" w:hAnsi="Times New Roman" w:eastAsia="Times New Roman"/>
                <w:b/>
                <w:sz w:val="20"/>
              </w:rPr>
              <w:t>Perturbação</w:t>
            </w:r>
          </w:p>
        </w:tc>
        <w:tc>
          <w:tcPr>
            <w:tcW w:type="dxa" w:w="2351"/>
            <w:shd w:val="clear" w:color="auto" w:fill="D9E2F3"/>
          </w:tcPr>
          <w:p>
            <w:pPr>
              <w:jc w:val="center"/>
            </w:pPr>
            <w:r/>
            <w:r>
              <w:rPr>
                <w:rFonts w:ascii="Times New Roman" w:hAnsi="Times New Roman" w:eastAsia="Times New Roman"/>
                <w:b/>
                <w:sz w:val="20"/>
              </w:rPr>
              <w:t>Comparações</w:t>
            </w:r>
          </w:p>
        </w:tc>
        <w:tc>
          <w:tcPr>
            <w:tcW w:type="dxa" w:w="2351"/>
            <w:shd w:val="clear" w:color="auto" w:fill="D9E2F3"/>
          </w:tcPr>
          <w:p>
            <w:pPr>
              <w:jc w:val="center"/>
            </w:pPr>
            <w:r/>
            <w:r>
              <w:rPr>
                <w:rFonts w:ascii="Times New Roman" w:hAnsi="Times New Roman" w:eastAsia="Times New Roman"/>
                <w:b/>
                <w:sz w:val="20"/>
              </w:rPr>
              <w:t>Mudanças de Classe</w:t>
            </w:r>
          </w:p>
        </w:tc>
        <w:tc>
          <w:tcPr>
            <w:tcW w:type="dxa" w:w="2351"/>
            <w:shd w:val="clear" w:color="auto" w:fill="D9E2F3"/>
          </w:tcPr>
          <w:p>
            <w:pPr>
              <w:jc w:val="center"/>
            </w:pPr>
            <w:r/>
            <w:r>
              <w:rPr>
                <w:rFonts w:ascii="Times New Roman" w:hAnsi="Times New Roman" w:eastAsia="Times New Roman"/>
                <w:b/>
                <w:sz w:val="20"/>
              </w:rPr>
              <w:t>Taxa</w:t>
            </w:r>
          </w:p>
        </w:tc>
      </w:tr>
      <w:tr>
        <w:tc>
          <w:tcPr>
            <w:tcW w:type="dxa" w:w="2351"/>
          </w:tcPr>
          <w:p>
            <w:r/>
            <w:r>
              <w:rPr>
                <w:rFonts w:ascii="Times New Roman" w:hAnsi="Times New Roman" w:eastAsia="Times New Roman"/>
                <w:b w:val="0"/>
                <w:sz w:val="20"/>
              </w:rPr>
              <w:t>Gaussiana</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7</w:t>
            </w:r>
          </w:p>
        </w:tc>
        <w:tc>
          <w:tcPr>
            <w:tcW w:type="dxa" w:w="2351"/>
          </w:tcPr>
          <w:p>
            <w:r/>
            <w:r>
              <w:rPr>
                <w:rFonts w:ascii="Times New Roman" w:hAnsi="Times New Roman" w:eastAsia="Times New Roman"/>
                <w:b w:val="0"/>
                <w:sz w:val="20"/>
              </w:rPr>
              <w:t>7,0%</w:t>
            </w:r>
          </w:p>
        </w:tc>
      </w:tr>
      <w:tr>
        <w:tc>
          <w:tcPr>
            <w:tcW w:type="dxa" w:w="2351"/>
          </w:tcPr>
          <w:p>
            <w:r/>
            <w:r>
              <w:rPr>
                <w:rFonts w:ascii="Times New Roman" w:hAnsi="Times New Roman" w:eastAsia="Times New Roman"/>
                <w:b w:val="0"/>
                <w:sz w:val="20"/>
              </w:rPr>
              <w:t>Blur</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11</w:t>
            </w:r>
          </w:p>
        </w:tc>
        <w:tc>
          <w:tcPr>
            <w:tcW w:type="dxa" w:w="2351"/>
          </w:tcPr>
          <w:p>
            <w:r/>
            <w:r>
              <w:rPr>
                <w:rFonts w:ascii="Times New Roman" w:hAnsi="Times New Roman" w:eastAsia="Times New Roman"/>
                <w:b w:val="0"/>
                <w:sz w:val="20"/>
              </w:rPr>
              <w:t>11,0%</w:t>
            </w:r>
          </w:p>
        </w:tc>
      </w:tr>
      <w:tr>
        <w:tc>
          <w:tcPr>
            <w:tcW w:type="dxa" w:w="2351"/>
          </w:tcPr>
          <w:p>
            <w:r/>
            <w:r>
              <w:rPr>
                <w:rFonts w:ascii="Times New Roman" w:hAnsi="Times New Roman" w:eastAsia="Times New Roman"/>
                <w:b w:val="0"/>
                <w:sz w:val="20"/>
              </w:rPr>
              <w:t>Brilho</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3</w:t>
            </w:r>
          </w:p>
        </w:tc>
        <w:tc>
          <w:tcPr>
            <w:tcW w:type="dxa" w:w="2351"/>
          </w:tcPr>
          <w:p>
            <w:r/>
            <w:r>
              <w:rPr>
                <w:rFonts w:ascii="Times New Roman" w:hAnsi="Times New Roman" w:eastAsia="Times New Roman"/>
                <w:b w:val="0"/>
                <w:sz w:val="20"/>
              </w:rPr>
              <w:t>3,0%</w:t>
            </w:r>
          </w:p>
        </w:tc>
      </w:tr>
      <w:tr>
        <w:tc>
          <w:tcPr>
            <w:tcW w:type="dxa" w:w="2351"/>
          </w:tcPr>
          <w:p>
            <w:r/>
            <w:r>
              <w:rPr>
                <w:rFonts w:ascii="Times New Roman" w:hAnsi="Times New Roman" w:eastAsia="Times New Roman"/>
                <w:b w:val="0"/>
                <w:sz w:val="20"/>
              </w:rPr>
              <w:t>Total</w:t>
            </w:r>
          </w:p>
        </w:tc>
        <w:tc>
          <w:tcPr>
            <w:tcW w:type="dxa" w:w="2351"/>
          </w:tcPr>
          <w:p>
            <w:r/>
            <w:r>
              <w:rPr>
                <w:rFonts w:ascii="Times New Roman" w:hAnsi="Times New Roman" w:eastAsia="Times New Roman"/>
                <w:b w:val="0"/>
                <w:sz w:val="20"/>
              </w:rPr>
              <w:t>300</w:t>
            </w:r>
          </w:p>
        </w:tc>
        <w:tc>
          <w:tcPr>
            <w:tcW w:type="dxa" w:w="2351"/>
          </w:tcPr>
          <w:p>
            <w:r/>
            <w:r>
              <w:rPr>
                <w:rFonts w:ascii="Times New Roman" w:hAnsi="Times New Roman" w:eastAsia="Times New Roman"/>
                <w:b w:val="0"/>
                <w:sz w:val="20"/>
              </w:rPr>
              <w:t>21</w:t>
            </w:r>
          </w:p>
        </w:tc>
        <w:tc>
          <w:tcPr>
            <w:tcW w:type="dxa" w:w="2351"/>
          </w:tcPr>
          <w:p>
            <w:r/>
            <w:r>
              <w:rPr>
                <w:rFonts w:ascii="Times New Roman" w:hAnsi="Times New Roman" w:eastAsia="Times New Roman"/>
                <w:b w:val="0"/>
                <w:sz w:val="20"/>
              </w:rPr>
              <w:t>7,0%</w:t>
            </w:r>
          </w:p>
        </w:tc>
      </w:tr>
    </w:tbl>
    <w:p/>
    <w:p>
      <w:pPr>
        <w:spacing w:after="120" w:line="360" w:lineRule="auto"/>
      </w:pPr>
      <w:r>
        <w:rPr>
          <w:rFonts w:ascii="Times New Roman" w:hAnsi="Times New Roman" w:eastAsia="Times New Roman"/>
          <w:b w:val="0"/>
          <w:i w:val="0"/>
          <w:sz w:val="24"/>
        </w:rPr>
        <w:t>Tabela 4: Resultados de mudança de classe por tipo de perturbação.</w:t>
      </w:r>
    </w:p>
    <w:p>
      <w:pPr>
        <w:spacing w:after="120" w:line="360" w:lineRule="auto"/>
        <w:ind w:firstLine="709"/>
      </w:pPr>
      <w:r>
        <w:rPr>
          <w:rFonts w:ascii="Times New Roman" w:hAnsi="Times New Roman" w:eastAsia="Times New Roman"/>
          <w:b w:val="0"/>
          <w:i w:val="0"/>
          <w:sz w:val="24"/>
        </w:rPr>
        <w:t>A taxa global de 7,0% de mudança de classe indica que o ResNet50 é moderadamente robusto às perturbações aplicadas. O ruído gaussiano e o desfoque foram mais problemáticos, provavelmente porque removem detalhes finos que são discriminantes para algumas classes, como diferenças entre raças de cães com pelagem similar.</w:t>
      </w:r>
    </w:p>
    <w:p>
      <w:pPr>
        <w:pStyle w:val="Heading2"/>
      </w:pPr>
      <w:r>
        <w:rPr>
          <w:rFonts w:ascii="Times New Roman" w:hAnsi="Times New Roman" w:eastAsia="Times New Roman"/>
          <w:b/>
          <w:color w:val="000000"/>
          <w:sz w:val="28"/>
        </w:rPr>
        <w:t>5.3 Resultados Vetoriais (Qdrant)</w:t>
      </w:r>
    </w:p>
    <w:p>
      <w:pPr>
        <w:spacing w:after="120" w:line="360" w:lineRule="auto"/>
        <w:ind w:firstLine="709"/>
      </w:pPr>
      <w:r>
        <w:rPr>
          <w:rFonts w:ascii="Times New Roman" w:hAnsi="Times New Roman" w:eastAsia="Times New Roman"/>
          <w:b w:val="0"/>
          <w:i w:val="0"/>
          <w:sz w:val="24"/>
        </w:rPr>
        <w:t>O Qdrant indexou 408 embeddings (2048 dimensões) com índice HNSW e métrica de distância cosseno. O tempo médio de busca por similaridade (top-5) foi de 13,82 ms, com mínimo de 8,1 ms e máximo de 22,4 ms, resultando em throughput efetivo de aproximadamente 72 consultas/segundo.</w:t>
      </w:r>
    </w:p>
    <w:p>
      <w:pPr>
        <w:spacing w:after="120" w:line="360" w:lineRule="auto"/>
        <w:ind w:firstLine="709"/>
      </w:pPr>
      <w:r>
        <w:rPr>
          <w:rFonts w:ascii="Times New Roman" w:hAnsi="Times New Roman" w:eastAsia="Times New Roman"/>
          <w:b w:val="0"/>
          <w:i w:val="0"/>
          <w:sz w:val="24"/>
        </w:rPr>
        <w:t>A Tabela 5 apresenta a similaridade cosseno média dos embeddings por tipo de perturbação.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9E2F3"/>
          </w:tcPr>
          <w:p>
            <w:pPr>
              <w:jc w:val="center"/>
            </w:pPr>
            <w:r/>
            <w:r>
              <w:rPr>
                <w:rFonts w:ascii="Times New Roman" w:hAnsi="Times New Roman" w:eastAsia="Times New Roman"/>
                <w:b/>
                <w:sz w:val="20"/>
              </w:rPr>
              <w:t>Perturbação</w:t>
            </w:r>
          </w:p>
        </w:tc>
        <w:tc>
          <w:tcPr>
            <w:tcW w:type="dxa" w:w="3135"/>
            <w:shd w:val="clear" w:color="auto" w:fill="D9E2F3"/>
          </w:tcPr>
          <w:p>
            <w:pPr>
              <w:jc w:val="center"/>
            </w:pPr>
            <w:r/>
            <w:r>
              <w:rPr>
                <w:rFonts w:ascii="Times New Roman" w:hAnsi="Times New Roman" w:eastAsia="Times New Roman"/>
                <w:b/>
                <w:sz w:val="20"/>
              </w:rPr>
              <w:t>Similaridade Cosseno (média)</w:t>
            </w:r>
          </w:p>
        </w:tc>
        <w:tc>
          <w:tcPr>
            <w:tcW w:type="dxa" w:w="3135"/>
            <w:shd w:val="clear" w:color="auto" w:fill="D9E2F3"/>
          </w:tcPr>
          <w:p>
            <w:pPr>
              <w:jc w:val="center"/>
            </w:pPr>
            <w:r/>
            <w:r>
              <w:rPr>
                <w:rFonts w:ascii="Times New Roman" w:hAnsi="Times New Roman" w:eastAsia="Times New Roman"/>
                <w:b/>
                <w:sz w:val="20"/>
              </w:rPr>
              <w:t>Interpretação</w:t>
            </w:r>
          </w:p>
        </w:tc>
      </w:tr>
      <w:tr>
        <w:tc>
          <w:tcPr>
            <w:tcW w:type="dxa" w:w="3135"/>
          </w:tcPr>
          <w:p>
            <w:r/>
            <w:r>
              <w:rPr>
                <w:rFonts w:ascii="Times New Roman" w:hAnsi="Times New Roman" w:eastAsia="Times New Roman"/>
                <w:b w:val="0"/>
                <w:sz w:val="20"/>
              </w:rPr>
              <w:t>Gaussiana</w:t>
            </w:r>
          </w:p>
        </w:tc>
        <w:tc>
          <w:tcPr>
            <w:tcW w:type="dxa" w:w="3135"/>
          </w:tcPr>
          <w:p>
            <w:r/>
            <w:r>
              <w:rPr>
                <w:rFonts w:ascii="Times New Roman" w:hAnsi="Times New Roman" w:eastAsia="Times New Roman"/>
                <w:b w:val="0"/>
                <w:sz w:val="20"/>
              </w:rPr>
              <w:t>0,9398</w:t>
            </w:r>
          </w:p>
        </w:tc>
        <w:tc>
          <w:tcPr>
            <w:tcW w:type="dxa" w:w="3135"/>
          </w:tcPr>
          <w:p>
            <w:r/>
            <w:r>
              <w:rPr>
                <w:rFonts w:ascii="Times New Roman" w:hAnsi="Times New Roman" w:eastAsia="Times New Roman"/>
                <w:b w:val="0"/>
                <w:sz w:val="20"/>
              </w:rPr>
              <w:t>Alta similaridade — embedding preserva estrutura</w:t>
            </w:r>
          </w:p>
        </w:tc>
      </w:tr>
      <w:tr>
        <w:tc>
          <w:tcPr>
            <w:tcW w:type="dxa" w:w="3135"/>
          </w:tcPr>
          <w:p>
            <w:r/>
            <w:r>
              <w:rPr>
                <w:rFonts w:ascii="Times New Roman" w:hAnsi="Times New Roman" w:eastAsia="Times New Roman"/>
                <w:b w:val="0"/>
                <w:sz w:val="20"/>
              </w:rPr>
              <w:t>Blur</w:t>
            </w:r>
          </w:p>
        </w:tc>
        <w:tc>
          <w:tcPr>
            <w:tcW w:type="dxa" w:w="3135"/>
          </w:tcPr>
          <w:p>
            <w:r/>
            <w:r>
              <w:rPr>
                <w:rFonts w:ascii="Times New Roman" w:hAnsi="Times New Roman" w:eastAsia="Times New Roman"/>
                <w:b w:val="0"/>
                <w:sz w:val="20"/>
              </w:rPr>
              <w:t>0,8932</w:t>
            </w:r>
          </w:p>
        </w:tc>
        <w:tc>
          <w:tcPr>
            <w:tcW w:type="dxa" w:w="3135"/>
          </w:tcPr>
          <w:p>
            <w:r/>
            <w:r>
              <w:rPr>
                <w:rFonts w:ascii="Times New Roman" w:hAnsi="Times New Roman" w:eastAsia="Times New Roman"/>
                <w:b w:val="0"/>
                <w:sz w:val="20"/>
              </w:rPr>
              <w:t>Similaridade moderada — detalhes perdidos</w:t>
            </w:r>
          </w:p>
        </w:tc>
      </w:tr>
      <w:tr>
        <w:tc>
          <w:tcPr>
            <w:tcW w:type="dxa" w:w="3135"/>
          </w:tcPr>
          <w:p>
            <w:r/>
            <w:r>
              <w:rPr>
                <w:rFonts w:ascii="Times New Roman" w:hAnsi="Times New Roman" w:eastAsia="Times New Roman"/>
                <w:b w:val="0"/>
                <w:sz w:val="20"/>
              </w:rPr>
              <w:t>Brilho</w:t>
            </w:r>
          </w:p>
        </w:tc>
        <w:tc>
          <w:tcPr>
            <w:tcW w:type="dxa" w:w="3135"/>
          </w:tcPr>
          <w:p>
            <w:r/>
            <w:r>
              <w:rPr>
                <w:rFonts w:ascii="Times New Roman" w:hAnsi="Times New Roman" w:eastAsia="Times New Roman"/>
                <w:b w:val="0"/>
                <w:sz w:val="20"/>
              </w:rPr>
              <w:t>0,9923</w:t>
            </w:r>
          </w:p>
        </w:tc>
        <w:tc>
          <w:tcPr>
            <w:tcW w:type="dxa" w:w="3135"/>
          </w:tcPr>
          <w:p>
            <w:r/>
            <w:r>
              <w:rPr>
                <w:rFonts w:ascii="Times New Roman" w:hAnsi="Times New Roman" w:eastAsia="Times New Roman"/>
                <w:b w:val="0"/>
                <w:sz w:val="20"/>
              </w:rPr>
              <w:t>Muito alta similaridade — preserva quase tudo</w:t>
            </w:r>
          </w:p>
        </w:tc>
      </w:tr>
    </w:tbl>
    <w:p/>
    <w:p>
      <w:pPr>
        <w:spacing w:after="120" w:line="360" w:lineRule="auto"/>
      </w:pPr>
      <w:r>
        <w:rPr>
          <w:rFonts w:ascii="Times New Roman" w:hAnsi="Times New Roman" w:eastAsia="Times New Roman"/>
          <w:b w:val="0"/>
          <w:i w:val="0"/>
          <w:sz w:val="24"/>
        </w:rPr>
        <w:t>Tabela 5: Similaridade cosseno média dos embeddings por tipo de perturbação.</w:t>
      </w:r>
    </w:p>
    <w:p>
      <w:pPr>
        <w:spacing w:after="120" w:line="360" w:lineRule="auto"/>
        <w:ind w:firstLine="709"/>
      </w:pPr>
      <w:r>
        <w:rPr>
          <w:rFonts w:ascii="Times New Roman" w:hAnsi="Times New Roman" w:eastAsia="Times New Roman"/>
          <w:b w:val="0"/>
          <w:i w:val="0"/>
          <w:sz w:val="24"/>
        </w:rPr>
        <w:t>A similaridade de 0,9923 para brilho indica que a direção do embedding é quase idêntica, confirmando que a alteração de luminosidade não afeta significativamente a representação interna do modelo. A queda para 0,8932 no blur sugere que a perda de detalhes finos afeta a representação vetorial de forma mais significativa.</w:t>
      </w:r>
    </w:p>
    <w:p>
      <w:pPr>
        <w:pStyle w:val="Heading2"/>
      </w:pPr>
      <w:r>
        <w:rPr>
          <w:rFonts w:ascii="Times New Roman" w:hAnsi="Times New Roman" w:eastAsia="Times New Roman"/>
          <w:b/>
          <w:color w:val="000000"/>
          <w:sz w:val="28"/>
        </w:rPr>
        <w:t>5.4 Estabilidade das Explicações (Grad-CAM)</w:t>
      </w:r>
    </w:p>
    <w:p>
      <w:pPr>
        <w:spacing w:after="120" w:line="360" w:lineRule="auto"/>
        <w:ind w:firstLine="709"/>
      </w:pPr>
      <w:r>
        <w:rPr>
          <w:rFonts w:ascii="Times New Roman" w:hAnsi="Times New Roman" w:eastAsia="Times New Roman"/>
          <w:b w:val="0"/>
          <w:i w:val="0"/>
          <w:sz w:val="24"/>
        </w:rPr>
        <w:t>A Tabela 6 apresenta as métricas de estabilidade dos mapas de ativação Grad-CAM por tipo de perturbação.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9E2F3"/>
          </w:tcPr>
          <w:p>
            <w:pPr>
              <w:jc w:val="center"/>
            </w:pPr>
            <w:r/>
            <w:r>
              <w:rPr>
                <w:rFonts w:ascii="Times New Roman" w:hAnsi="Times New Roman" w:eastAsia="Times New Roman"/>
                <w:b/>
                <w:sz w:val="20"/>
              </w:rPr>
              <w:t>Perturbação</w:t>
            </w:r>
          </w:p>
        </w:tc>
        <w:tc>
          <w:tcPr>
            <w:tcW w:type="dxa" w:w="1881"/>
            <w:shd w:val="clear" w:color="auto" w:fill="D9E2F3"/>
          </w:tcPr>
          <w:p>
            <w:pPr>
              <w:jc w:val="center"/>
            </w:pPr>
            <w:r/>
            <w:r>
              <w:rPr>
                <w:rFonts w:ascii="Times New Roman" w:hAnsi="Times New Roman" w:eastAsia="Times New Roman"/>
                <w:b/>
                <w:sz w:val="20"/>
              </w:rPr>
              <w:t>Δ Confiança</w:t>
            </w:r>
          </w:p>
        </w:tc>
        <w:tc>
          <w:tcPr>
            <w:tcW w:type="dxa" w:w="1881"/>
            <w:shd w:val="clear" w:color="auto" w:fill="D9E2F3"/>
          </w:tcPr>
          <w:p>
            <w:pPr>
              <w:jc w:val="center"/>
            </w:pPr>
            <w:r/>
            <w:r>
              <w:rPr>
                <w:rFonts w:ascii="Times New Roman" w:hAnsi="Times New Roman" w:eastAsia="Times New Roman"/>
                <w:b/>
                <w:sz w:val="20"/>
              </w:rPr>
              <w:t>Embedding Sim.</w:t>
            </w:r>
          </w:p>
        </w:tc>
        <w:tc>
          <w:tcPr>
            <w:tcW w:type="dxa" w:w="1881"/>
            <w:shd w:val="clear" w:color="auto" w:fill="D9E2F3"/>
          </w:tcPr>
          <w:p>
            <w:pPr>
              <w:jc w:val="center"/>
            </w:pPr>
            <w:r/>
            <w:r>
              <w:rPr>
                <w:rFonts w:ascii="Times New Roman" w:hAnsi="Times New Roman" w:eastAsia="Times New Roman"/>
                <w:b/>
                <w:sz w:val="20"/>
              </w:rPr>
              <w:t>Grad-CAM IoU</w:t>
            </w:r>
          </w:p>
        </w:tc>
        <w:tc>
          <w:tcPr>
            <w:tcW w:type="dxa" w:w="1881"/>
            <w:shd w:val="clear" w:color="auto" w:fill="D9E2F3"/>
          </w:tcPr>
          <w:p>
            <w:pPr>
              <w:jc w:val="center"/>
            </w:pPr>
            <w:r/>
            <w:r>
              <w:rPr>
                <w:rFonts w:ascii="Times New Roman" w:hAnsi="Times New Roman" w:eastAsia="Times New Roman"/>
                <w:b/>
                <w:sz w:val="20"/>
              </w:rPr>
              <w:t>Grad-CAM Corr.</w:t>
            </w:r>
          </w:p>
        </w:tc>
      </w:tr>
      <w:tr>
        <w:tc>
          <w:tcPr>
            <w:tcW w:type="dxa" w:w="1881"/>
          </w:tcPr>
          <w:p>
            <w:r/>
            <w:r>
              <w:rPr>
                <w:rFonts w:ascii="Times New Roman" w:hAnsi="Times New Roman" w:eastAsia="Times New Roman"/>
                <w:b w:val="0"/>
                <w:sz w:val="20"/>
              </w:rPr>
              <w:t>Gaussiana</w:t>
            </w:r>
          </w:p>
        </w:tc>
        <w:tc>
          <w:tcPr>
            <w:tcW w:type="dxa" w:w="1881"/>
          </w:tcPr>
          <w:p>
            <w:r/>
            <w:r>
              <w:rPr>
                <w:rFonts w:ascii="Times New Roman" w:hAnsi="Times New Roman" w:eastAsia="Times New Roman"/>
                <w:b w:val="0"/>
                <w:sz w:val="20"/>
              </w:rPr>
              <w:t>+0,0029</w:t>
            </w:r>
          </w:p>
        </w:tc>
        <w:tc>
          <w:tcPr>
            <w:tcW w:type="dxa" w:w="1881"/>
          </w:tcPr>
          <w:p>
            <w:r/>
            <w:r>
              <w:rPr>
                <w:rFonts w:ascii="Times New Roman" w:hAnsi="Times New Roman" w:eastAsia="Times New Roman"/>
                <w:b w:val="0"/>
                <w:sz w:val="20"/>
              </w:rPr>
              <w:t>0,9398</w:t>
            </w:r>
          </w:p>
        </w:tc>
        <w:tc>
          <w:tcPr>
            <w:tcW w:type="dxa" w:w="1881"/>
          </w:tcPr>
          <w:p>
            <w:r/>
            <w:r>
              <w:rPr>
                <w:rFonts w:ascii="Times New Roman" w:hAnsi="Times New Roman" w:eastAsia="Times New Roman"/>
                <w:b w:val="0"/>
                <w:sz w:val="20"/>
              </w:rPr>
              <w:t>0,8245</w:t>
            </w:r>
          </w:p>
        </w:tc>
        <w:tc>
          <w:tcPr>
            <w:tcW w:type="dxa" w:w="1881"/>
          </w:tcPr>
          <w:p>
            <w:r/>
            <w:r>
              <w:rPr>
                <w:rFonts w:ascii="Times New Roman" w:hAnsi="Times New Roman" w:eastAsia="Times New Roman"/>
                <w:b w:val="0"/>
                <w:sz w:val="20"/>
              </w:rPr>
              <w:t>0,9880</w:t>
            </w:r>
          </w:p>
        </w:tc>
      </w:tr>
      <w:tr>
        <w:tc>
          <w:tcPr>
            <w:tcW w:type="dxa" w:w="1881"/>
          </w:tcPr>
          <w:p>
            <w:r/>
            <w:r>
              <w:rPr>
                <w:rFonts w:ascii="Times New Roman" w:hAnsi="Times New Roman" w:eastAsia="Times New Roman"/>
                <w:b w:val="0"/>
                <w:sz w:val="20"/>
              </w:rPr>
              <w:t>Blur</w:t>
            </w:r>
          </w:p>
        </w:tc>
        <w:tc>
          <w:tcPr>
            <w:tcW w:type="dxa" w:w="1881"/>
          </w:tcPr>
          <w:p>
            <w:r/>
            <w:r>
              <w:rPr>
                <w:rFonts w:ascii="Times New Roman" w:hAnsi="Times New Roman" w:eastAsia="Times New Roman"/>
                <w:b w:val="0"/>
                <w:sz w:val="20"/>
              </w:rPr>
              <w:t>+0,0012</w:t>
            </w:r>
          </w:p>
        </w:tc>
        <w:tc>
          <w:tcPr>
            <w:tcW w:type="dxa" w:w="1881"/>
          </w:tcPr>
          <w:p>
            <w:r/>
            <w:r>
              <w:rPr>
                <w:rFonts w:ascii="Times New Roman" w:hAnsi="Times New Roman" w:eastAsia="Times New Roman"/>
                <w:b w:val="0"/>
                <w:sz w:val="20"/>
              </w:rPr>
              <w:t>0,8932</w:t>
            </w:r>
          </w:p>
        </w:tc>
        <w:tc>
          <w:tcPr>
            <w:tcW w:type="dxa" w:w="1881"/>
          </w:tcPr>
          <w:p>
            <w:r/>
            <w:r>
              <w:rPr>
                <w:rFonts w:ascii="Times New Roman" w:hAnsi="Times New Roman" w:eastAsia="Times New Roman"/>
                <w:b w:val="0"/>
                <w:sz w:val="20"/>
              </w:rPr>
              <w:t>0,7165</w:t>
            </w:r>
          </w:p>
        </w:tc>
        <w:tc>
          <w:tcPr>
            <w:tcW w:type="dxa" w:w="1881"/>
          </w:tcPr>
          <w:p>
            <w:r/>
            <w:r>
              <w:rPr>
                <w:rFonts w:ascii="Times New Roman" w:hAnsi="Times New Roman" w:eastAsia="Times New Roman"/>
                <w:b w:val="0"/>
                <w:sz w:val="20"/>
              </w:rPr>
              <w:t>0,9705</w:t>
            </w:r>
          </w:p>
        </w:tc>
      </w:tr>
      <w:tr>
        <w:tc>
          <w:tcPr>
            <w:tcW w:type="dxa" w:w="1881"/>
          </w:tcPr>
          <w:p>
            <w:r/>
            <w:r>
              <w:rPr>
                <w:rFonts w:ascii="Times New Roman" w:hAnsi="Times New Roman" w:eastAsia="Times New Roman"/>
                <w:b w:val="0"/>
                <w:sz w:val="20"/>
              </w:rPr>
              <w:t>Brilho</w:t>
            </w:r>
          </w:p>
        </w:tc>
        <w:tc>
          <w:tcPr>
            <w:tcW w:type="dxa" w:w="1881"/>
          </w:tcPr>
          <w:p>
            <w:r/>
            <w:r>
              <w:rPr>
                <w:rFonts w:ascii="Times New Roman" w:hAnsi="Times New Roman" w:eastAsia="Times New Roman"/>
                <w:b w:val="0"/>
                <w:sz w:val="20"/>
              </w:rPr>
              <w:t>+0,0004</w:t>
            </w:r>
          </w:p>
        </w:tc>
        <w:tc>
          <w:tcPr>
            <w:tcW w:type="dxa" w:w="1881"/>
          </w:tcPr>
          <w:p>
            <w:r/>
            <w:r>
              <w:rPr>
                <w:rFonts w:ascii="Times New Roman" w:hAnsi="Times New Roman" w:eastAsia="Times New Roman"/>
                <w:b w:val="0"/>
                <w:sz w:val="20"/>
              </w:rPr>
              <w:t>0,9923</w:t>
            </w:r>
          </w:p>
        </w:tc>
        <w:tc>
          <w:tcPr>
            <w:tcW w:type="dxa" w:w="1881"/>
          </w:tcPr>
          <w:p>
            <w:r/>
            <w:r>
              <w:rPr>
                <w:rFonts w:ascii="Times New Roman" w:hAnsi="Times New Roman" w:eastAsia="Times New Roman"/>
                <w:b w:val="0"/>
                <w:sz w:val="20"/>
              </w:rPr>
              <w:t>0,9432</w:t>
            </w:r>
          </w:p>
        </w:tc>
        <w:tc>
          <w:tcPr>
            <w:tcW w:type="dxa" w:w="1881"/>
          </w:tcPr>
          <w:p>
            <w:r/>
            <w:r>
              <w:rPr>
                <w:rFonts w:ascii="Times New Roman" w:hAnsi="Times New Roman" w:eastAsia="Times New Roman"/>
                <w:b w:val="0"/>
                <w:sz w:val="20"/>
              </w:rPr>
              <w:t>0,9985</w:t>
            </w:r>
          </w:p>
        </w:tc>
      </w:tr>
    </w:tbl>
    <w:p/>
    <w:p>
      <w:pPr>
        <w:spacing w:after="120" w:line="360" w:lineRule="auto"/>
      </w:pPr>
      <w:r>
        <w:rPr>
          <w:rFonts w:ascii="Times New Roman" w:hAnsi="Times New Roman" w:eastAsia="Times New Roman"/>
          <w:b w:val="0"/>
          <w:i w:val="0"/>
          <w:sz w:val="24"/>
        </w:rPr>
        <w:t>Tabela 6: Métricas de estabilidade das explicações por tipo de perturbação.</w:t>
      </w:r>
    </w:p>
    <w:p>
      <w:pPr>
        <w:spacing w:after="120" w:line="360" w:lineRule="auto"/>
        <w:ind w:firstLine="709"/>
      </w:pPr>
      <w:r>
        <w:rPr>
          <w:rFonts w:ascii="Times New Roman" w:hAnsi="Times New Roman" w:eastAsia="Times New Roman"/>
          <w:b w:val="0"/>
          <w:i w:val="0"/>
          <w:sz w:val="24"/>
        </w:rPr>
        <w:t>O Grad-CAM IoU mede o overlap espacial entre regiões de alta ativação (threshold 0,5). Valores acima de 0,8 indicam alta estabilidade. O blur (0,7165) apresenta degradação significativa, indicando que o desfoque altera quais regiões o modelo considera importantes. A correlação de Pearson acima de 0,97 para todas as perturbações indica que a distribuição espacial de ativação é preservada, mesmo quando o overlap (IoU) é menor.</w:t>
      </w:r>
    </w:p>
    <w:p>
      <w:pPr>
        <w:pStyle w:val="Heading2"/>
      </w:pPr>
      <w:r>
        <w:rPr>
          <w:rFonts w:ascii="Times New Roman" w:hAnsi="Times New Roman" w:eastAsia="Times New Roman"/>
          <w:b/>
          <w:color w:val="000000"/>
          <w:sz w:val="28"/>
        </w:rPr>
        <w:t>5.5 Resultados Multimídia (MinIO)</w:t>
      </w:r>
    </w:p>
    <w:p>
      <w:pPr>
        <w:spacing w:after="120" w:line="360" w:lineRule="auto"/>
        <w:ind w:firstLine="709"/>
      </w:pPr>
      <w:r>
        <w:rPr>
          <w:rFonts w:ascii="Times New Roman" w:hAnsi="Times New Roman" w:eastAsia="Times New Roman"/>
          <w:b w:val="0"/>
          <w:i w:val="0"/>
          <w:sz w:val="24"/>
        </w:rPr>
        <w:t>O MinIO armazenou 812 objetos no bucket "evidence-assets", totalizando 251,73 MB. A distribuição por tipo de ativo é apresentada na Tabela 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9E2F3"/>
          </w:tcPr>
          <w:p>
            <w:pPr>
              <w:jc w:val="center"/>
            </w:pPr>
            <w:r/>
            <w:r>
              <w:rPr>
                <w:rFonts w:ascii="Times New Roman" w:hAnsi="Times New Roman" w:eastAsia="Times New Roman"/>
                <w:b/>
                <w:sz w:val="20"/>
              </w:rPr>
              <w:t>Tipo</w:t>
            </w:r>
          </w:p>
        </w:tc>
        <w:tc>
          <w:tcPr>
            <w:tcW w:type="dxa" w:w="2351"/>
            <w:shd w:val="clear" w:color="auto" w:fill="D9E2F3"/>
          </w:tcPr>
          <w:p>
            <w:pPr>
              <w:jc w:val="center"/>
            </w:pPr>
            <w:r/>
            <w:r>
              <w:rPr>
                <w:rFonts w:ascii="Times New Roman" w:hAnsi="Times New Roman" w:eastAsia="Times New Roman"/>
                <w:b/>
                <w:sz w:val="20"/>
              </w:rPr>
              <w:t>Quantidade</w:t>
            </w:r>
          </w:p>
        </w:tc>
        <w:tc>
          <w:tcPr>
            <w:tcW w:type="dxa" w:w="2351"/>
            <w:shd w:val="clear" w:color="auto" w:fill="D9E2F3"/>
          </w:tcPr>
          <w:p>
            <w:pPr>
              <w:jc w:val="center"/>
            </w:pPr>
            <w:r/>
            <w:r>
              <w:rPr>
                <w:rFonts w:ascii="Times New Roman" w:hAnsi="Times New Roman" w:eastAsia="Times New Roman"/>
                <w:b/>
                <w:sz w:val="20"/>
              </w:rPr>
              <w:t>Volume Estimado</w:t>
            </w:r>
          </w:p>
        </w:tc>
        <w:tc>
          <w:tcPr>
            <w:tcW w:type="dxa" w:w="2351"/>
            <w:shd w:val="clear" w:color="auto" w:fill="D9E2F3"/>
          </w:tcPr>
          <w:p>
            <w:pPr>
              <w:jc w:val="center"/>
            </w:pPr>
            <w:r/>
            <w:r>
              <w:rPr>
                <w:rFonts w:ascii="Times New Roman" w:hAnsi="Times New Roman" w:eastAsia="Times New Roman"/>
                <w:b/>
                <w:sz w:val="20"/>
              </w:rPr>
              <w:t>Tamanho Médio</w:t>
            </w:r>
          </w:p>
        </w:tc>
      </w:tr>
      <w:tr>
        <w:tc>
          <w:tcPr>
            <w:tcW w:type="dxa" w:w="2351"/>
          </w:tcPr>
          <w:p>
            <w:r/>
            <w:r>
              <w:rPr>
                <w:rFonts w:ascii="Times New Roman" w:hAnsi="Times New Roman" w:eastAsia="Times New Roman"/>
                <w:b w:val="0"/>
                <w:sz w:val="20"/>
              </w:rPr>
              <w:t>original.png</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~45 MB</w:t>
            </w:r>
          </w:p>
        </w:tc>
        <w:tc>
          <w:tcPr>
            <w:tcW w:type="dxa" w:w="2351"/>
          </w:tcPr>
          <w:p>
            <w:r/>
            <w:r>
              <w:rPr>
                <w:rFonts w:ascii="Times New Roman" w:hAnsi="Times New Roman" w:eastAsia="Times New Roman"/>
                <w:b w:val="0"/>
                <w:sz w:val="20"/>
              </w:rPr>
              <w:t>~450 KB</w:t>
            </w:r>
          </w:p>
        </w:tc>
      </w:tr>
      <w:tr>
        <w:tc>
          <w:tcPr>
            <w:tcW w:type="dxa" w:w="2351"/>
          </w:tcPr>
          <w:p>
            <w:r/>
            <w:r>
              <w:rPr>
                <w:rFonts w:ascii="Times New Roman" w:hAnsi="Times New Roman" w:eastAsia="Times New Roman"/>
                <w:b w:val="0"/>
                <w:sz w:val="20"/>
              </w:rPr>
              <w:t>noisy_gaussian.png</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~52 MB</w:t>
            </w:r>
          </w:p>
        </w:tc>
        <w:tc>
          <w:tcPr>
            <w:tcW w:type="dxa" w:w="2351"/>
          </w:tcPr>
          <w:p>
            <w:r/>
            <w:r>
              <w:rPr>
                <w:rFonts w:ascii="Times New Roman" w:hAnsi="Times New Roman" w:eastAsia="Times New Roman"/>
                <w:b w:val="0"/>
                <w:sz w:val="20"/>
              </w:rPr>
              <w:t>~520 KB</w:t>
            </w:r>
          </w:p>
        </w:tc>
      </w:tr>
      <w:tr>
        <w:tc>
          <w:tcPr>
            <w:tcW w:type="dxa" w:w="2351"/>
          </w:tcPr>
          <w:p>
            <w:r/>
            <w:r>
              <w:rPr>
                <w:rFonts w:ascii="Times New Roman" w:hAnsi="Times New Roman" w:eastAsia="Times New Roman"/>
                <w:b w:val="0"/>
                <w:sz w:val="20"/>
              </w:rPr>
              <w:t>noisy_blur.png</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~48 MB</w:t>
            </w:r>
          </w:p>
        </w:tc>
        <w:tc>
          <w:tcPr>
            <w:tcW w:type="dxa" w:w="2351"/>
          </w:tcPr>
          <w:p>
            <w:r/>
            <w:r>
              <w:rPr>
                <w:rFonts w:ascii="Times New Roman" w:hAnsi="Times New Roman" w:eastAsia="Times New Roman"/>
                <w:b w:val="0"/>
                <w:sz w:val="20"/>
              </w:rPr>
              <w:t>~480 KB</w:t>
            </w:r>
          </w:p>
        </w:tc>
      </w:tr>
      <w:tr>
        <w:tc>
          <w:tcPr>
            <w:tcW w:type="dxa" w:w="2351"/>
          </w:tcPr>
          <w:p>
            <w:r/>
            <w:r>
              <w:rPr>
                <w:rFonts w:ascii="Times New Roman" w:hAnsi="Times New Roman" w:eastAsia="Times New Roman"/>
                <w:b w:val="0"/>
                <w:sz w:val="20"/>
              </w:rPr>
              <w:t>noisy_brightness.png</w:t>
            </w:r>
          </w:p>
        </w:tc>
        <w:tc>
          <w:tcPr>
            <w:tcW w:type="dxa" w:w="2351"/>
          </w:tcPr>
          <w:p>
            <w:r/>
            <w:r>
              <w:rPr>
                <w:rFonts w:ascii="Times New Roman" w:hAnsi="Times New Roman" w:eastAsia="Times New Roman"/>
                <w:b w:val="0"/>
                <w:sz w:val="20"/>
              </w:rPr>
              <w:t>100</w:t>
            </w:r>
          </w:p>
        </w:tc>
        <w:tc>
          <w:tcPr>
            <w:tcW w:type="dxa" w:w="2351"/>
          </w:tcPr>
          <w:p>
            <w:r/>
            <w:r>
              <w:rPr>
                <w:rFonts w:ascii="Times New Roman" w:hAnsi="Times New Roman" w:eastAsia="Times New Roman"/>
                <w:b w:val="0"/>
                <w:sz w:val="20"/>
              </w:rPr>
              <w:t>~46 MB</w:t>
            </w:r>
          </w:p>
        </w:tc>
        <w:tc>
          <w:tcPr>
            <w:tcW w:type="dxa" w:w="2351"/>
          </w:tcPr>
          <w:p>
            <w:r/>
            <w:r>
              <w:rPr>
                <w:rFonts w:ascii="Times New Roman" w:hAnsi="Times New Roman" w:eastAsia="Times New Roman"/>
                <w:b w:val="0"/>
                <w:sz w:val="20"/>
              </w:rPr>
              <w:t>~460 KB</w:t>
            </w:r>
          </w:p>
        </w:tc>
      </w:tr>
      <w:tr>
        <w:tc>
          <w:tcPr>
            <w:tcW w:type="dxa" w:w="2351"/>
          </w:tcPr>
          <w:p>
            <w:r/>
            <w:r>
              <w:rPr>
                <w:rFonts w:ascii="Times New Roman" w:hAnsi="Times New Roman" w:eastAsia="Times New Roman"/>
                <w:b w:val="0"/>
                <w:sz w:val="20"/>
              </w:rPr>
              <w:t>gradcam.png</w:t>
            </w:r>
          </w:p>
        </w:tc>
        <w:tc>
          <w:tcPr>
            <w:tcW w:type="dxa" w:w="2351"/>
          </w:tcPr>
          <w:p>
            <w:r/>
            <w:r>
              <w:rPr>
                <w:rFonts w:ascii="Times New Roman" w:hAnsi="Times New Roman" w:eastAsia="Times New Roman"/>
                <w:b w:val="0"/>
                <w:sz w:val="20"/>
              </w:rPr>
              <w:t>408</w:t>
            </w:r>
          </w:p>
        </w:tc>
        <w:tc>
          <w:tcPr>
            <w:tcW w:type="dxa" w:w="2351"/>
          </w:tcPr>
          <w:p>
            <w:r/>
            <w:r>
              <w:rPr>
                <w:rFonts w:ascii="Times New Roman" w:hAnsi="Times New Roman" w:eastAsia="Times New Roman"/>
                <w:b w:val="0"/>
                <w:sz w:val="20"/>
              </w:rPr>
              <w:t>~60 MB</w:t>
            </w:r>
          </w:p>
        </w:tc>
        <w:tc>
          <w:tcPr>
            <w:tcW w:type="dxa" w:w="2351"/>
          </w:tcPr>
          <w:p>
            <w:r/>
            <w:r>
              <w:rPr>
                <w:rFonts w:ascii="Times New Roman" w:hAnsi="Times New Roman" w:eastAsia="Times New Roman"/>
                <w:b w:val="0"/>
                <w:sz w:val="20"/>
              </w:rPr>
              <w:t>~150 KB</w:t>
            </w:r>
          </w:p>
        </w:tc>
      </w:tr>
      <w:tr>
        <w:tc>
          <w:tcPr>
            <w:tcW w:type="dxa" w:w="2351"/>
          </w:tcPr>
          <w:p>
            <w:r/>
            <w:r>
              <w:rPr>
                <w:rFonts w:ascii="Times New Roman" w:hAnsi="Times New Roman" w:eastAsia="Times New Roman"/>
                <w:b w:val="0"/>
                <w:sz w:val="20"/>
              </w:rPr>
              <w:t>Total</w:t>
            </w:r>
          </w:p>
        </w:tc>
        <w:tc>
          <w:tcPr>
            <w:tcW w:type="dxa" w:w="2351"/>
          </w:tcPr>
          <w:p>
            <w:r/>
            <w:r>
              <w:rPr>
                <w:rFonts w:ascii="Times New Roman" w:hAnsi="Times New Roman" w:eastAsia="Times New Roman"/>
                <w:b w:val="0"/>
                <w:sz w:val="20"/>
              </w:rPr>
              <w:t>812</w:t>
            </w:r>
          </w:p>
        </w:tc>
        <w:tc>
          <w:tcPr>
            <w:tcW w:type="dxa" w:w="2351"/>
          </w:tcPr>
          <w:p>
            <w:r/>
            <w:r>
              <w:rPr>
                <w:rFonts w:ascii="Times New Roman" w:hAnsi="Times New Roman" w:eastAsia="Times New Roman"/>
                <w:b w:val="0"/>
                <w:sz w:val="20"/>
              </w:rPr>
              <w:t>~251 MB</w:t>
            </w:r>
          </w:p>
        </w:tc>
        <w:tc>
          <w:tcPr>
            <w:tcW w:type="dxa" w:w="2351"/>
          </w:tcPr>
          <w:p>
            <w:r/>
            <w:r>
              <w:rPr>
                <w:rFonts w:ascii="Times New Roman" w:hAnsi="Times New Roman" w:eastAsia="Times New Roman"/>
                <w:b w:val="0"/>
                <w:sz w:val="20"/>
              </w:rPr>
              <w:t>—</w:t>
            </w:r>
          </w:p>
        </w:tc>
      </w:tr>
    </w:tbl>
    <w:p/>
    <w:p>
      <w:pPr>
        <w:spacing w:after="120" w:line="360" w:lineRule="auto"/>
      </w:pPr>
      <w:r>
        <w:rPr>
          <w:rFonts w:ascii="Times New Roman" w:hAnsi="Times New Roman" w:eastAsia="Times New Roman"/>
          <w:b w:val="0"/>
          <w:i w:val="0"/>
          <w:sz w:val="24"/>
        </w:rPr>
        <w:t>Tabela 7: Distribuição de objetos no MinIO por tipo de ativo.</w:t>
      </w:r>
    </w:p>
    <w:p>
      <w:pPr>
        <w:spacing w:after="120" w:line="360" w:lineRule="auto"/>
        <w:ind w:firstLine="709"/>
      </w:pPr>
      <w:r>
        <w:rPr>
          <w:rFonts w:ascii="Times New Roman" w:hAnsi="Times New Roman" w:eastAsia="Times New Roman"/>
          <w:b w:val="0"/>
          <w:i w:val="0"/>
          <w:sz w:val="24"/>
        </w:rPr>
        <w:t>A separação do armazenamento de objetos do banco relacional mantém o MySQL leve: se os BLOBs de imagens fossem armazenados diretamente no MySQL (LONGBLOB), o banco teria ~251 MB apenas de imagens. Com o MinIO, o MySQL armazena apenas URIs (strings de ~100 bytes), representando uma economia estimada de ~250 MB.</w:t>
      </w:r>
    </w:p>
    <w:p>
      <w:pPr>
        <w:pStyle w:val="Heading2"/>
      </w:pPr>
      <w:r>
        <w:rPr>
          <w:rFonts w:ascii="Times New Roman" w:hAnsi="Times New Roman" w:eastAsia="Times New Roman"/>
          <w:b/>
          <w:color w:val="000000"/>
          <w:sz w:val="28"/>
        </w:rPr>
        <w:t>5.6 Avaliação de Risco e Auditoria</w:t>
      </w:r>
    </w:p>
    <w:p>
      <w:pPr>
        <w:spacing w:after="120" w:line="360" w:lineRule="auto"/>
        <w:ind w:firstLine="709"/>
      </w:pPr>
      <w:r>
        <w:rPr>
          <w:rFonts w:ascii="Times New Roman" w:hAnsi="Times New Roman" w:eastAsia="Times New Roman"/>
          <w:b w:val="0"/>
          <w:i w:val="0"/>
          <w:sz w:val="24"/>
        </w:rPr>
        <w:t>O sistema detectou 21 eventos de risco CRITICAL (classe alterada sob perturbação), conforme a Tabela 8.</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D9E2F3"/>
          </w:tcPr>
          <w:p>
            <w:pPr>
              <w:jc w:val="center"/>
            </w:pPr>
            <w:r/>
            <w:r>
              <w:rPr>
                <w:rFonts w:ascii="Times New Roman" w:hAnsi="Times New Roman" w:eastAsia="Times New Roman"/>
                <w:b/>
                <w:sz w:val="20"/>
              </w:rPr>
              <w:t>Tipo de Evento</w:t>
            </w:r>
          </w:p>
        </w:tc>
        <w:tc>
          <w:tcPr>
            <w:tcW w:type="dxa" w:w="4702"/>
            <w:shd w:val="clear" w:color="auto" w:fill="D9E2F3"/>
          </w:tcPr>
          <w:p>
            <w:pPr>
              <w:jc w:val="center"/>
            </w:pPr>
            <w:r/>
            <w:r>
              <w:rPr>
                <w:rFonts w:ascii="Times New Roman" w:hAnsi="Times New Roman" w:eastAsia="Times New Roman"/>
                <w:b/>
                <w:sz w:val="20"/>
              </w:rPr>
              <w:t>Ocorrências</w:t>
            </w:r>
          </w:p>
        </w:tc>
      </w:tr>
      <w:tr>
        <w:tc>
          <w:tcPr>
            <w:tcW w:type="dxa" w:w="4702"/>
          </w:tcPr>
          <w:p>
            <w:r/>
            <w:r>
              <w:rPr>
                <w:rFonts w:ascii="Times New Roman" w:hAnsi="Times New Roman" w:eastAsia="Times New Roman"/>
                <w:b w:val="0"/>
                <w:sz w:val="20"/>
              </w:rPr>
              <w:t>Classe alterada (gaussian)</w:t>
            </w:r>
          </w:p>
        </w:tc>
        <w:tc>
          <w:tcPr>
            <w:tcW w:type="dxa" w:w="4702"/>
          </w:tcPr>
          <w:p>
            <w:r/>
            <w:r>
              <w:rPr>
                <w:rFonts w:ascii="Times New Roman" w:hAnsi="Times New Roman" w:eastAsia="Times New Roman"/>
                <w:b w:val="0"/>
                <w:sz w:val="20"/>
              </w:rPr>
              <w:t>7</w:t>
            </w:r>
          </w:p>
        </w:tc>
      </w:tr>
      <w:tr>
        <w:tc>
          <w:tcPr>
            <w:tcW w:type="dxa" w:w="4702"/>
          </w:tcPr>
          <w:p>
            <w:r/>
            <w:r>
              <w:rPr>
                <w:rFonts w:ascii="Times New Roman" w:hAnsi="Times New Roman" w:eastAsia="Times New Roman"/>
                <w:b w:val="0"/>
                <w:sz w:val="20"/>
              </w:rPr>
              <w:t>Classe alterada (blur)</w:t>
            </w:r>
          </w:p>
        </w:tc>
        <w:tc>
          <w:tcPr>
            <w:tcW w:type="dxa" w:w="4702"/>
          </w:tcPr>
          <w:p>
            <w:r/>
            <w:r>
              <w:rPr>
                <w:rFonts w:ascii="Times New Roman" w:hAnsi="Times New Roman" w:eastAsia="Times New Roman"/>
                <w:b w:val="0"/>
                <w:sz w:val="20"/>
              </w:rPr>
              <w:t>11</w:t>
            </w:r>
          </w:p>
        </w:tc>
      </w:tr>
      <w:tr>
        <w:tc>
          <w:tcPr>
            <w:tcW w:type="dxa" w:w="4702"/>
          </w:tcPr>
          <w:p>
            <w:r/>
            <w:r>
              <w:rPr>
                <w:rFonts w:ascii="Times New Roman" w:hAnsi="Times New Roman" w:eastAsia="Times New Roman"/>
                <w:b w:val="0"/>
                <w:sz w:val="20"/>
              </w:rPr>
              <w:t>Classe alterada (brightness)</w:t>
            </w:r>
          </w:p>
        </w:tc>
        <w:tc>
          <w:tcPr>
            <w:tcW w:type="dxa" w:w="4702"/>
          </w:tcPr>
          <w:p>
            <w:r/>
            <w:r>
              <w:rPr>
                <w:rFonts w:ascii="Times New Roman" w:hAnsi="Times New Roman" w:eastAsia="Times New Roman"/>
                <w:b w:val="0"/>
                <w:sz w:val="20"/>
              </w:rPr>
              <w:t>3</w:t>
            </w:r>
          </w:p>
        </w:tc>
      </w:tr>
      <w:tr>
        <w:tc>
          <w:tcPr>
            <w:tcW w:type="dxa" w:w="4702"/>
          </w:tcPr>
          <w:p>
            <w:r/>
            <w:r>
              <w:rPr>
                <w:rFonts w:ascii="Times New Roman" w:hAnsi="Times New Roman" w:eastAsia="Times New Roman"/>
                <w:b w:val="0"/>
                <w:sz w:val="20"/>
              </w:rPr>
              <w:t>Total</w:t>
            </w:r>
          </w:p>
        </w:tc>
        <w:tc>
          <w:tcPr>
            <w:tcW w:type="dxa" w:w="4702"/>
          </w:tcPr>
          <w:p>
            <w:r/>
            <w:r>
              <w:rPr>
                <w:rFonts w:ascii="Times New Roman" w:hAnsi="Times New Roman" w:eastAsia="Times New Roman"/>
                <w:b w:val="0"/>
                <w:sz w:val="20"/>
              </w:rPr>
              <w:t>21</w:t>
            </w:r>
          </w:p>
        </w:tc>
      </w:tr>
    </w:tbl>
    <w:p/>
    <w:p>
      <w:pPr>
        <w:spacing w:after="120" w:line="360" w:lineRule="auto"/>
      </w:pPr>
      <w:r>
        <w:rPr>
          <w:rFonts w:ascii="Times New Roman" w:hAnsi="Times New Roman" w:eastAsia="Times New Roman"/>
          <w:b w:val="0"/>
          <w:i w:val="0"/>
          <w:sz w:val="24"/>
        </w:rPr>
        <w:t>Tabela 8: Eventos de risco detectados automaticamente.</w:t>
      </w:r>
    </w:p>
    <w:p>
      <w:pPr>
        <w:spacing w:after="120" w:line="360" w:lineRule="auto"/>
        <w:ind w:firstLine="709"/>
      </w:pPr>
      <w:r>
        <w:rPr>
          <w:rFonts w:ascii="Times New Roman" w:hAnsi="Times New Roman" w:eastAsia="Times New Roman"/>
          <w:b w:val="0"/>
          <w:i w:val="0"/>
          <w:sz w:val="24"/>
        </w:rPr>
        <w:t>A distribuição de riscos indica que 90,7% das decisões foram classificadas como LOW (estáveis), 2,3% como MODERATE e 7,0% como CRITICAL. Não houve eventos HIGH (overlap &lt; 0,4), demonstrando que o modelo é robusto às perturbações aplicadas. A trilha de auditoria registra 100% das decisões, permitindo rastreabilidade completa do processo de inferência.</w:t>
      </w:r>
    </w:p>
    <w:p>
      <w:pPr>
        <w:pStyle w:val="Heading2"/>
      </w:pPr>
      <w:r>
        <w:rPr>
          <w:rFonts w:ascii="Times New Roman" w:hAnsi="Times New Roman" w:eastAsia="Times New Roman"/>
          <w:b/>
          <w:color w:val="000000"/>
          <w:sz w:val="28"/>
        </w:rPr>
        <w:t>5.7 Análise por Classe</w:t>
      </w:r>
    </w:p>
    <w:p>
      <w:pPr>
        <w:spacing w:after="120" w:line="360" w:lineRule="auto"/>
        <w:ind w:firstLine="709"/>
      </w:pPr>
      <w:r>
        <w:rPr>
          <w:rFonts w:ascii="Times New Roman" w:hAnsi="Times New Roman" w:eastAsia="Times New Roman"/>
          <w:b w:val="0"/>
          <w:i w:val="0"/>
          <w:sz w:val="24"/>
        </w:rPr>
        <w:t>A Tabela 9 apresenta a análise de suscetibilidade a perturbações por classe.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9E2F3"/>
          </w:tcPr>
          <w:p>
            <w:pPr>
              <w:jc w:val="center"/>
            </w:pPr>
            <w:r/>
            <w:r>
              <w:rPr>
                <w:rFonts w:ascii="Times New Roman" w:hAnsi="Times New Roman" w:eastAsia="Times New Roman"/>
                <w:b/>
                <w:sz w:val="20"/>
              </w:rPr>
              <w:t>Classe</w:t>
            </w:r>
          </w:p>
        </w:tc>
        <w:tc>
          <w:tcPr>
            <w:tcW w:type="dxa" w:w="1881"/>
            <w:shd w:val="clear" w:color="auto" w:fill="D9E2F3"/>
          </w:tcPr>
          <w:p>
            <w:pPr>
              <w:jc w:val="center"/>
            </w:pPr>
            <w:r/>
            <w:r>
              <w:rPr>
                <w:rFonts w:ascii="Times New Roman" w:hAnsi="Times New Roman" w:eastAsia="Times New Roman"/>
                <w:b/>
                <w:sz w:val="20"/>
              </w:rPr>
              <w:t>Imagens</w:t>
            </w:r>
          </w:p>
        </w:tc>
        <w:tc>
          <w:tcPr>
            <w:tcW w:type="dxa" w:w="1881"/>
            <w:shd w:val="clear" w:color="auto" w:fill="D9E2F3"/>
          </w:tcPr>
          <w:p>
            <w:pPr>
              <w:jc w:val="center"/>
            </w:pPr>
            <w:r/>
            <w:r>
              <w:rPr>
                <w:rFonts w:ascii="Times New Roman" w:hAnsi="Times New Roman" w:eastAsia="Times New Roman"/>
                <w:b/>
                <w:sz w:val="20"/>
              </w:rPr>
              <w:t>Confiança Média</w:t>
            </w:r>
          </w:p>
        </w:tc>
        <w:tc>
          <w:tcPr>
            <w:tcW w:type="dxa" w:w="1881"/>
            <w:shd w:val="clear" w:color="auto" w:fill="D9E2F3"/>
          </w:tcPr>
          <w:p>
            <w:pPr>
              <w:jc w:val="center"/>
            </w:pPr>
            <w:r/>
            <w:r>
              <w:rPr>
                <w:rFonts w:ascii="Times New Roman" w:hAnsi="Times New Roman" w:eastAsia="Times New Roman"/>
                <w:b/>
                <w:sz w:val="20"/>
              </w:rPr>
              <w:t>Mudanças de Classe</w:t>
            </w:r>
          </w:p>
        </w:tc>
        <w:tc>
          <w:tcPr>
            <w:tcW w:type="dxa" w:w="1881"/>
            <w:shd w:val="clear" w:color="auto" w:fill="D9E2F3"/>
          </w:tcPr>
          <w:p>
            <w:pPr>
              <w:jc w:val="center"/>
            </w:pPr>
            <w:r/>
            <w:r>
              <w:rPr>
                <w:rFonts w:ascii="Times New Roman" w:hAnsi="Times New Roman" w:eastAsia="Times New Roman"/>
                <w:b/>
                <w:sz w:val="20"/>
              </w:rPr>
              <w:t>Taxa</w:t>
            </w:r>
          </w:p>
        </w:tc>
      </w:tr>
      <w:tr>
        <w:tc>
          <w:tcPr>
            <w:tcW w:type="dxa" w:w="1881"/>
          </w:tcPr>
          <w:p>
            <w:r/>
            <w:r>
              <w:rPr>
                <w:rFonts w:ascii="Times New Roman" w:hAnsi="Times New Roman" w:eastAsia="Times New Roman"/>
                <w:b w:val="0"/>
                <w:sz w:val="20"/>
              </w:rPr>
              <w:t>Staffordshire Bull Terrier</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0,22</w:t>
            </w:r>
          </w:p>
        </w:tc>
        <w:tc>
          <w:tcPr>
            <w:tcW w:type="dxa" w:w="1881"/>
          </w:tcPr>
          <w:p>
            <w:r/>
            <w:r>
              <w:rPr>
                <w:rFonts w:ascii="Times New Roman" w:hAnsi="Times New Roman" w:eastAsia="Times New Roman"/>
                <w:b w:val="0"/>
                <w:sz w:val="20"/>
              </w:rPr>
              <w:t>5 de 30</w:t>
            </w:r>
          </w:p>
        </w:tc>
        <w:tc>
          <w:tcPr>
            <w:tcW w:type="dxa" w:w="1881"/>
          </w:tcPr>
          <w:p>
            <w:r/>
            <w:r>
              <w:rPr>
                <w:rFonts w:ascii="Times New Roman" w:hAnsi="Times New Roman" w:eastAsia="Times New Roman"/>
                <w:b w:val="0"/>
                <w:sz w:val="20"/>
              </w:rPr>
              <w:t>16,7%</w:t>
            </w:r>
          </w:p>
        </w:tc>
      </w:tr>
      <w:tr>
        <w:tc>
          <w:tcPr>
            <w:tcW w:type="dxa" w:w="1881"/>
          </w:tcPr>
          <w:p>
            <w:r/>
            <w:r>
              <w:rPr>
                <w:rFonts w:ascii="Times New Roman" w:hAnsi="Times New Roman" w:eastAsia="Times New Roman"/>
                <w:b w:val="0"/>
                <w:sz w:val="20"/>
              </w:rPr>
              <w:t>Shiba Inu</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0,28</w:t>
            </w:r>
          </w:p>
        </w:tc>
        <w:tc>
          <w:tcPr>
            <w:tcW w:type="dxa" w:w="1881"/>
          </w:tcPr>
          <w:p>
            <w:r/>
            <w:r>
              <w:rPr>
                <w:rFonts w:ascii="Times New Roman" w:hAnsi="Times New Roman" w:eastAsia="Times New Roman"/>
                <w:b w:val="0"/>
                <w:sz w:val="20"/>
              </w:rPr>
              <w:t>4 de 30</w:t>
            </w:r>
          </w:p>
        </w:tc>
        <w:tc>
          <w:tcPr>
            <w:tcW w:type="dxa" w:w="1881"/>
          </w:tcPr>
          <w:p>
            <w:r/>
            <w:r>
              <w:rPr>
                <w:rFonts w:ascii="Times New Roman" w:hAnsi="Times New Roman" w:eastAsia="Times New Roman"/>
                <w:b w:val="0"/>
                <w:sz w:val="20"/>
              </w:rPr>
              <w:t>13,3%</w:t>
            </w:r>
          </w:p>
        </w:tc>
      </w:tr>
      <w:tr>
        <w:tc>
          <w:tcPr>
            <w:tcW w:type="dxa" w:w="1881"/>
          </w:tcPr>
          <w:p>
            <w:r/>
            <w:r>
              <w:rPr>
                <w:rFonts w:ascii="Times New Roman" w:hAnsi="Times New Roman" w:eastAsia="Times New Roman"/>
                <w:b w:val="0"/>
                <w:sz w:val="20"/>
              </w:rPr>
              <w:t>Yorkshire Terrier</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0,33</w:t>
            </w:r>
          </w:p>
        </w:tc>
        <w:tc>
          <w:tcPr>
            <w:tcW w:type="dxa" w:w="1881"/>
          </w:tcPr>
          <w:p>
            <w:r/>
            <w:r>
              <w:rPr>
                <w:rFonts w:ascii="Times New Roman" w:hAnsi="Times New Roman" w:eastAsia="Times New Roman"/>
                <w:b w:val="0"/>
                <w:sz w:val="20"/>
              </w:rPr>
              <w:t>3 de 30</w:t>
            </w:r>
          </w:p>
        </w:tc>
        <w:tc>
          <w:tcPr>
            <w:tcW w:type="dxa" w:w="1881"/>
          </w:tcPr>
          <w:p>
            <w:r/>
            <w:r>
              <w:rPr>
                <w:rFonts w:ascii="Times New Roman" w:hAnsi="Times New Roman" w:eastAsia="Times New Roman"/>
                <w:b w:val="0"/>
                <w:sz w:val="20"/>
              </w:rPr>
              <w:t>10,0%</w:t>
            </w:r>
          </w:p>
        </w:tc>
      </w:tr>
      <w:tr>
        <w:tc>
          <w:tcPr>
            <w:tcW w:type="dxa" w:w="1881"/>
          </w:tcPr>
          <w:p>
            <w:r/>
            <w:r>
              <w:rPr>
                <w:rFonts w:ascii="Times New Roman" w:hAnsi="Times New Roman" w:eastAsia="Times New Roman"/>
                <w:b w:val="0"/>
                <w:sz w:val="20"/>
              </w:rPr>
              <w:t>Miniature Pinscher</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0,39</w:t>
            </w:r>
          </w:p>
        </w:tc>
        <w:tc>
          <w:tcPr>
            <w:tcW w:type="dxa" w:w="1881"/>
          </w:tcPr>
          <w:p>
            <w:r/>
            <w:r>
              <w:rPr>
                <w:rFonts w:ascii="Times New Roman" w:hAnsi="Times New Roman" w:eastAsia="Times New Roman"/>
                <w:b w:val="0"/>
                <w:sz w:val="20"/>
              </w:rPr>
              <w:t>2 de 30</w:t>
            </w:r>
          </w:p>
        </w:tc>
        <w:tc>
          <w:tcPr>
            <w:tcW w:type="dxa" w:w="1881"/>
          </w:tcPr>
          <w:p>
            <w:r/>
            <w:r>
              <w:rPr>
                <w:rFonts w:ascii="Times New Roman" w:hAnsi="Times New Roman" w:eastAsia="Times New Roman"/>
                <w:b w:val="0"/>
                <w:sz w:val="20"/>
              </w:rPr>
              <w:t>6,7%</w:t>
            </w:r>
          </w:p>
        </w:tc>
      </w:tr>
      <w:tr>
        <w:tc>
          <w:tcPr>
            <w:tcW w:type="dxa" w:w="1881"/>
          </w:tcPr>
          <w:p>
            <w:r/>
            <w:r>
              <w:rPr>
                <w:rFonts w:ascii="Times New Roman" w:hAnsi="Times New Roman" w:eastAsia="Times New Roman"/>
                <w:b w:val="0"/>
                <w:sz w:val="20"/>
              </w:rPr>
              <w:t>Saint Bernard</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0,39</w:t>
            </w:r>
          </w:p>
        </w:tc>
        <w:tc>
          <w:tcPr>
            <w:tcW w:type="dxa" w:w="1881"/>
          </w:tcPr>
          <w:p>
            <w:r/>
            <w:r>
              <w:rPr>
                <w:rFonts w:ascii="Times New Roman" w:hAnsi="Times New Roman" w:eastAsia="Times New Roman"/>
                <w:b w:val="0"/>
                <w:sz w:val="20"/>
              </w:rPr>
              <w:t>2 de 30</w:t>
            </w:r>
          </w:p>
        </w:tc>
        <w:tc>
          <w:tcPr>
            <w:tcW w:type="dxa" w:w="1881"/>
          </w:tcPr>
          <w:p>
            <w:r/>
            <w:r>
              <w:rPr>
                <w:rFonts w:ascii="Times New Roman" w:hAnsi="Times New Roman" w:eastAsia="Times New Roman"/>
                <w:b w:val="0"/>
                <w:sz w:val="20"/>
              </w:rPr>
              <w:t>6,7%</w:t>
            </w:r>
          </w:p>
        </w:tc>
      </w:tr>
      <w:tr>
        <w:tc>
          <w:tcPr>
            <w:tcW w:type="dxa" w:w="1881"/>
          </w:tcPr>
          <w:p>
            <w:r/>
            <w:r>
              <w:rPr>
                <w:rFonts w:ascii="Times New Roman" w:hAnsi="Times New Roman" w:eastAsia="Times New Roman"/>
                <w:b w:val="0"/>
                <w:sz w:val="20"/>
              </w:rPr>
              <w:t>Leonberger</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0,42</w:t>
            </w:r>
          </w:p>
        </w:tc>
        <w:tc>
          <w:tcPr>
            <w:tcW w:type="dxa" w:w="1881"/>
          </w:tcPr>
          <w:p>
            <w:r/>
            <w:r>
              <w:rPr>
                <w:rFonts w:ascii="Times New Roman" w:hAnsi="Times New Roman" w:eastAsia="Times New Roman"/>
                <w:b w:val="0"/>
                <w:sz w:val="20"/>
              </w:rPr>
              <w:t>2 de 30</w:t>
            </w:r>
          </w:p>
        </w:tc>
        <w:tc>
          <w:tcPr>
            <w:tcW w:type="dxa" w:w="1881"/>
          </w:tcPr>
          <w:p>
            <w:r/>
            <w:r>
              <w:rPr>
                <w:rFonts w:ascii="Times New Roman" w:hAnsi="Times New Roman" w:eastAsia="Times New Roman"/>
                <w:b w:val="0"/>
                <w:sz w:val="20"/>
              </w:rPr>
              <w:t>6,7%</w:t>
            </w:r>
          </w:p>
        </w:tc>
      </w:tr>
      <w:tr>
        <w:tc>
          <w:tcPr>
            <w:tcW w:type="dxa" w:w="1881"/>
          </w:tcPr>
          <w:p>
            <w:r/>
            <w:r>
              <w:rPr>
                <w:rFonts w:ascii="Times New Roman" w:hAnsi="Times New Roman" w:eastAsia="Times New Roman"/>
                <w:b w:val="0"/>
                <w:sz w:val="20"/>
              </w:rPr>
              <w:t>Pomeranian</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0,44</w:t>
            </w:r>
          </w:p>
        </w:tc>
        <w:tc>
          <w:tcPr>
            <w:tcW w:type="dxa" w:w="1881"/>
          </w:tcPr>
          <w:p>
            <w:r/>
            <w:r>
              <w:rPr>
                <w:rFonts w:ascii="Times New Roman" w:hAnsi="Times New Roman" w:eastAsia="Times New Roman"/>
                <w:b w:val="0"/>
                <w:sz w:val="20"/>
              </w:rPr>
              <w:t>1 de 30</w:t>
            </w:r>
          </w:p>
        </w:tc>
        <w:tc>
          <w:tcPr>
            <w:tcW w:type="dxa" w:w="1881"/>
          </w:tcPr>
          <w:p>
            <w:r/>
            <w:r>
              <w:rPr>
                <w:rFonts w:ascii="Times New Roman" w:hAnsi="Times New Roman" w:eastAsia="Times New Roman"/>
                <w:b w:val="0"/>
                <w:sz w:val="20"/>
              </w:rPr>
              <w:t>3,3%</w:t>
            </w:r>
          </w:p>
        </w:tc>
      </w:tr>
      <w:tr>
        <w:tc>
          <w:tcPr>
            <w:tcW w:type="dxa" w:w="1881"/>
          </w:tcPr>
          <w:p>
            <w:r/>
            <w:r>
              <w:rPr>
                <w:rFonts w:ascii="Times New Roman" w:hAnsi="Times New Roman" w:eastAsia="Times New Roman"/>
                <w:b w:val="0"/>
                <w:sz w:val="20"/>
              </w:rPr>
              <w:t>Pug</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0,44</w:t>
            </w:r>
          </w:p>
        </w:tc>
        <w:tc>
          <w:tcPr>
            <w:tcW w:type="dxa" w:w="1881"/>
          </w:tcPr>
          <w:p>
            <w:r/>
            <w:r>
              <w:rPr>
                <w:rFonts w:ascii="Times New Roman" w:hAnsi="Times New Roman" w:eastAsia="Times New Roman"/>
                <w:b w:val="0"/>
                <w:sz w:val="20"/>
              </w:rPr>
              <w:t>1 de 30</w:t>
            </w:r>
          </w:p>
        </w:tc>
        <w:tc>
          <w:tcPr>
            <w:tcW w:type="dxa" w:w="1881"/>
          </w:tcPr>
          <w:p>
            <w:r/>
            <w:r>
              <w:rPr>
                <w:rFonts w:ascii="Times New Roman" w:hAnsi="Times New Roman" w:eastAsia="Times New Roman"/>
                <w:b w:val="0"/>
                <w:sz w:val="20"/>
              </w:rPr>
              <w:t>3,3%</w:t>
            </w:r>
          </w:p>
        </w:tc>
      </w:tr>
      <w:tr>
        <w:tc>
          <w:tcPr>
            <w:tcW w:type="dxa" w:w="1881"/>
          </w:tcPr>
          <w:p>
            <w:r/>
            <w:r>
              <w:rPr>
                <w:rFonts w:ascii="Times New Roman" w:hAnsi="Times New Roman" w:eastAsia="Times New Roman"/>
                <w:b w:val="0"/>
                <w:sz w:val="20"/>
              </w:rPr>
              <w:t>Keeshond</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0,48</w:t>
            </w:r>
          </w:p>
        </w:tc>
        <w:tc>
          <w:tcPr>
            <w:tcW w:type="dxa" w:w="1881"/>
          </w:tcPr>
          <w:p>
            <w:r/>
            <w:r>
              <w:rPr>
                <w:rFonts w:ascii="Times New Roman" w:hAnsi="Times New Roman" w:eastAsia="Times New Roman"/>
                <w:b w:val="0"/>
                <w:sz w:val="20"/>
              </w:rPr>
              <w:t>1 de 30</w:t>
            </w:r>
          </w:p>
        </w:tc>
        <w:tc>
          <w:tcPr>
            <w:tcW w:type="dxa" w:w="1881"/>
          </w:tcPr>
          <w:p>
            <w:r/>
            <w:r>
              <w:rPr>
                <w:rFonts w:ascii="Times New Roman" w:hAnsi="Times New Roman" w:eastAsia="Times New Roman"/>
                <w:b w:val="0"/>
                <w:sz w:val="20"/>
              </w:rPr>
              <w:t>3,3%</w:t>
            </w:r>
          </w:p>
        </w:tc>
      </w:tr>
      <w:tr>
        <w:tc>
          <w:tcPr>
            <w:tcW w:type="dxa" w:w="1881"/>
          </w:tcPr>
          <w:p>
            <w:r/>
            <w:r>
              <w:rPr>
                <w:rFonts w:ascii="Times New Roman" w:hAnsi="Times New Roman" w:eastAsia="Times New Roman"/>
                <w:b w:val="0"/>
                <w:sz w:val="20"/>
              </w:rPr>
              <w:t>Newfoundland</w:t>
            </w:r>
          </w:p>
        </w:tc>
        <w:tc>
          <w:tcPr>
            <w:tcW w:type="dxa" w:w="1881"/>
          </w:tcPr>
          <w:p>
            <w:r/>
            <w:r>
              <w:rPr>
                <w:rFonts w:ascii="Times New Roman" w:hAnsi="Times New Roman" w:eastAsia="Times New Roman"/>
                <w:b w:val="0"/>
                <w:sz w:val="20"/>
              </w:rPr>
              <w:t>10</w:t>
            </w:r>
          </w:p>
        </w:tc>
        <w:tc>
          <w:tcPr>
            <w:tcW w:type="dxa" w:w="1881"/>
          </w:tcPr>
          <w:p>
            <w:r/>
            <w:r>
              <w:rPr>
                <w:rFonts w:ascii="Times New Roman" w:hAnsi="Times New Roman" w:eastAsia="Times New Roman"/>
                <w:b w:val="0"/>
                <w:sz w:val="20"/>
              </w:rPr>
              <w:t>0,45</w:t>
            </w:r>
          </w:p>
        </w:tc>
        <w:tc>
          <w:tcPr>
            <w:tcW w:type="dxa" w:w="1881"/>
          </w:tcPr>
          <w:p>
            <w:r/>
            <w:r>
              <w:rPr>
                <w:rFonts w:ascii="Times New Roman" w:hAnsi="Times New Roman" w:eastAsia="Times New Roman"/>
                <w:b w:val="0"/>
                <w:sz w:val="20"/>
              </w:rPr>
              <w:t>1 de 30</w:t>
            </w:r>
          </w:p>
        </w:tc>
        <w:tc>
          <w:tcPr>
            <w:tcW w:type="dxa" w:w="1881"/>
          </w:tcPr>
          <w:p>
            <w:r/>
            <w:r>
              <w:rPr>
                <w:rFonts w:ascii="Times New Roman" w:hAnsi="Times New Roman" w:eastAsia="Times New Roman"/>
                <w:b w:val="0"/>
                <w:sz w:val="20"/>
              </w:rPr>
              <w:t>3,3%</w:t>
            </w:r>
          </w:p>
        </w:tc>
      </w:tr>
    </w:tbl>
    <w:p/>
    <w:p>
      <w:pPr>
        <w:spacing w:after="120" w:line="360" w:lineRule="auto"/>
      </w:pPr>
      <w:r>
        <w:rPr>
          <w:rFonts w:ascii="Times New Roman" w:hAnsi="Times New Roman" w:eastAsia="Times New Roman"/>
          <w:b w:val="0"/>
          <w:i w:val="0"/>
          <w:sz w:val="24"/>
        </w:rPr>
        <w:t>Tabela 9: Análise de suscetibilidade a perturbações por classe.</w:t>
      </w:r>
    </w:p>
    <w:p>
      <w:pPr>
        <w:spacing w:after="120" w:line="360" w:lineRule="auto"/>
        <w:ind w:firstLine="709"/>
      </w:pPr>
      <w:r>
        <w:rPr>
          <w:rFonts w:ascii="Times New Roman" w:hAnsi="Times New Roman" w:eastAsia="Times New Roman"/>
          <w:b w:val="0"/>
          <w:i w:val="0"/>
          <w:sz w:val="24"/>
        </w:rPr>
        <w:t>Classes com menor confiança média (Staffordshire: 0,22, Shiba Inu: 0,28) apresentam maior suscetibilidade a perturbações, confirmando que características mais sutis são mais sensíveis a ruído. Essa correlação entre confiança e estabilidade sugere que o sistema de auditoria pode ser utilizado como indicador de qualidade do modelo.</w:t>
      </w:r>
    </w:p>
    <w:p>
      <w:pPr>
        <w:pStyle w:val="Heading2"/>
      </w:pPr>
      <w:r>
        <w:rPr>
          <w:rFonts w:ascii="Times New Roman" w:hAnsi="Times New Roman" w:eastAsia="Times New Roman"/>
          <w:b/>
          <w:color w:val="000000"/>
          <w:sz w:val="28"/>
        </w:rPr>
        <w:t>5.8 Discussão Geral</w:t>
      </w:r>
    </w:p>
    <w:p>
      <w:pPr>
        <w:spacing w:after="120" w:line="360" w:lineRule="auto"/>
        <w:ind w:firstLine="709"/>
      </w:pPr>
      <w:r>
        <w:rPr>
          <w:rFonts w:ascii="Times New Roman" w:hAnsi="Times New Roman" w:eastAsia="Times New Roman"/>
          <w:b w:val="0"/>
          <w:i w:val="0"/>
          <w:sz w:val="24"/>
        </w:rPr>
        <w:t>Os resultados demonstram que a arquitetura híbrida proposta é eficaz para o caso de uso de auditoria de IA. O MySQL garante integridade referencial e consultabilidade; o Qdrant permite recuperação rápida por similaridade; e o MinIO armazena ativos multimídia de forma eficiente. A combinação das três tecnologias evita sobrecarregar uma única tecnologia com responsabilidades que não são ideais para ela.</w:t>
      </w:r>
    </w:p>
    <w:p>
      <w:pPr>
        <w:spacing w:after="120" w:line="360" w:lineRule="auto"/>
        <w:ind w:firstLine="709"/>
      </w:pPr>
      <w:r>
        <w:rPr>
          <w:rFonts w:ascii="Times New Roman" w:hAnsi="Times New Roman" w:eastAsia="Times New Roman"/>
          <w:b w:val="0"/>
          <w:i w:val="0"/>
          <w:sz w:val="24"/>
        </w:rPr>
        <w:t>Do ponto de vista de Banco de Dados, o projeto demonstra conceitos fundamentais: modelagem relacional normalizada em 3FN, integridade referencial com chaves estrangeiras, indexação (B-tree no MySQL, HNSW no Qdrant), transações ACID, consultas estruturadas com JOINs e agregações, e trilha de auditoria com timestamps.</w:t>
      </w:r>
    </w:p>
    <w:p>
      <w:pPr>
        <w:spacing w:after="120" w:line="360" w:lineRule="auto"/>
        <w:ind w:firstLine="709"/>
      </w:pPr>
      <w:r>
        <w:rPr>
          <w:rFonts w:ascii="Times New Roman" w:hAnsi="Times New Roman" w:eastAsia="Times New Roman"/>
          <w:b w:val="0"/>
          <w:i w:val="0"/>
          <w:sz w:val="24"/>
        </w:rPr>
        <w:t>A taxa de 7,0% de mudança de classe sob perturbação é esperada em um cenário controlado. Em produção, com imagens reais degradadas, a taxa seria menor. A capacidade de detectar automaticamente essas instabilidades e registrá-las na trilha de auditoria representa uma contribuição significativa para a confiabilidade de sistemas de IA.</w:t>
      </w:r>
    </w:p>
    <w:p>
      <w:pPr>
        <w:pStyle w:val="Heading1"/>
      </w:pPr>
      <w:r>
        <w:rPr>
          <w:rFonts w:ascii="Times New Roman" w:hAnsi="Times New Roman" w:eastAsia="Times New Roman"/>
          <w:b/>
          <w:color w:val="000000"/>
          <w:sz w:val="32"/>
        </w:rPr>
        <w:t>6. Conclusão</w:t>
      </w:r>
    </w:p>
    <w:p>
      <w:pPr>
        <w:spacing w:after="120" w:line="360" w:lineRule="auto"/>
        <w:ind w:firstLine="709"/>
      </w:pPr>
      <w:r>
        <w:rPr>
          <w:rFonts w:ascii="Times New Roman" w:hAnsi="Times New Roman" w:eastAsia="Times New Roman"/>
          <w:b w:val="0"/>
          <w:i w:val="0"/>
          <w:sz w:val="24"/>
        </w:rPr>
        <w:t>Este trabalho investigou a utilização de uma arquitetura híbrida de persistência para o armazenamento, recuperação e auditoria de evidências explicativas produzidas por modelos de Deep Learning aplicados à Visão Computacional. A arquitetura proposta integra MySQL, Qdrant e MinIO para tratar evidências explicativas como entidades persistentes de primeira classe.</w:t>
      </w:r>
    </w:p>
    <w:p>
      <w:pPr>
        <w:spacing w:after="120" w:line="360" w:lineRule="auto"/>
        <w:ind w:firstLine="709"/>
      </w:pPr>
      <w:r>
        <w:rPr>
          <w:rFonts w:ascii="Times New Roman" w:hAnsi="Times New Roman" w:eastAsia="Times New Roman"/>
          <w:b w:val="0"/>
          <w:i w:val="0"/>
          <w:sz w:val="24"/>
        </w:rPr>
        <w:t>Os resultados experimentais demonstram que:</w:t>
      </w:r>
    </w:p>
    <w:p>
      <w:pPr>
        <w:spacing w:after="60" w:line="360" w:lineRule="auto"/>
        <w:ind w:firstLine="709"/>
      </w:pPr>
      <w:r>
        <w:rPr>
          <w:rFonts w:ascii="Times New Roman" w:hAnsi="Times New Roman" w:eastAsia="Times New Roman"/>
          <w:b w:val="0"/>
          <w:sz w:val="24"/>
        </w:rPr>
        <w:t>• É possível persistir evidências explicativas com integridade referencial em banco relacional normalizado (3.258 registros no MySQL).</w:t>
      </w:r>
    </w:p>
    <w:p>
      <w:pPr>
        <w:spacing w:after="60" w:line="360" w:lineRule="auto"/>
        <w:ind w:firstLine="709"/>
      </w:pPr>
      <w:r>
        <w:rPr>
          <w:rFonts w:ascii="Times New Roman" w:hAnsi="Times New Roman" w:eastAsia="Times New Roman"/>
          <w:b w:val="0"/>
          <w:sz w:val="24"/>
        </w:rPr>
        <w:t>• É possível recuperar evidências similares em tempo real com busca vetorial (13,82 ms no Qdrant).</w:t>
      </w:r>
    </w:p>
    <w:p>
      <w:pPr>
        <w:spacing w:after="60" w:line="360" w:lineRule="auto"/>
        <w:ind w:firstLine="709"/>
      </w:pPr>
      <w:r>
        <w:rPr>
          <w:rFonts w:ascii="Times New Roman" w:hAnsi="Times New Roman" w:eastAsia="Times New Roman"/>
          <w:b w:val="0"/>
          <w:sz w:val="24"/>
        </w:rPr>
        <w:t>• É possível armazenar ativos multimídia de forma eficiente (812 objetos, 251 MB no MinIO).</w:t>
      </w:r>
    </w:p>
    <w:p>
      <w:pPr>
        <w:spacing w:after="60" w:line="360" w:lineRule="auto"/>
        <w:ind w:firstLine="709"/>
      </w:pPr>
      <w:r>
        <w:rPr>
          <w:rFonts w:ascii="Times New Roman" w:hAnsi="Times New Roman" w:eastAsia="Times New Roman"/>
          <w:b w:val="0"/>
          <w:sz w:val="24"/>
        </w:rPr>
        <w:t>• O sistema detecta automaticamente instabilidades explicativas (7,0% de casos CRITICAL).</w:t>
      </w:r>
    </w:p>
    <w:p>
      <w:pPr>
        <w:spacing w:after="60" w:line="360" w:lineRule="auto"/>
        <w:ind w:firstLine="709"/>
      </w:pPr>
      <w:r>
        <w:rPr>
          <w:rFonts w:ascii="Times New Roman" w:hAnsi="Times New Roman" w:eastAsia="Times New Roman"/>
          <w:b w:val="0"/>
          <w:sz w:val="24"/>
        </w:rPr>
        <w:t>• A trilha de auditoria permite rastrear 100% das decisões do modelo.</w:t>
      </w:r>
    </w:p>
    <w:p>
      <w:pPr>
        <w:spacing w:after="120" w:line="360" w:lineRule="auto"/>
        <w:ind w:firstLine="709"/>
      </w:pPr>
      <w:r>
        <w:rPr>
          <w:rFonts w:ascii="Times New Roman" w:hAnsi="Times New Roman" w:eastAsia="Times New Roman"/>
          <w:b w:val="0"/>
          <w:i w:val="0"/>
          <w:sz w:val="24"/>
        </w:rPr>
        <w:t>Em resposta à questão de pesquisa, os resultados confirmam que é viável integrar Explainable AI com princípios modernos de gerenciamento de dados para ampliar auditoria, rastreabilidade e análise contextual em aplicações inteligentes. A arquitetura híbrida proposta representa uma contribuição para a interseção entre Bancos de Dados e Inteligência Artificial Explicável.</w:t>
      </w:r>
    </w:p>
    <w:p>
      <w:pPr>
        <w:pStyle w:val="Heading2"/>
      </w:pPr>
      <w:r>
        <w:rPr>
          <w:rFonts w:ascii="Times New Roman" w:hAnsi="Times New Roman" w:eastAsia="Times New Roman"/>
          <w:b/>
          <w:color w:val="000000"/>
          <w:sz w:val="28"/>
        </w:rPr>
        <w:t>6.1 Limitações</w:t>
      </w:r>
    </w:p>
    <w:p>
      <w:pPr>
        <w:spacing w:after="120" w:line="360" w:lineRule="auto"/>
        <w:ind w:firstLine="709"/>
      </w:pPr>
      <w:r>
        <w:rPr>
          <w:rFonts w:ascii="Times New Roman" w:hAnsi="Times New Roman" w:eastAsia="Times New Roman"/>
          <w:b w:val="0"/>
          <w:i w:val="0"/>
          <w:sz w:val="24"/>
        </w:rPr>
        <w:t>As principais limitações deste trabalho incluem: (1) processamento em CPU-only, com tempo de inferência de ~670ms por imagem; (2) ausência de compressão de embeddings (2048 × 4 bytes = 8KB por embedding); (3) busca vetorial semântica sem distinção entre classes similares; e (4) processamento sequencial com worker único.</w:t>
      </w:r>
    </w:p>
    <w:p>
      <w:pPr>
        <w:pStyle w:val="Heading2"/>
      </w:pPr>
      <w:r>
        <w:rPr>
          <w:rFonts w:ascii="Times New Roman" w:hAnsi="Times New Roman" w:eastAsia="Times New Roman"/>
          <w:b/>
          <w:color w:val="000000"/>
          <w:sz w:val="28"/>
        </w:rPr>
        <w:t>6.2 Trabalhos Futuros</w:t>
      </w:r>
    </w:p>
    <w:p>
      <w:pPr>
        <w:spacing w:after="120" w:line="360" w:lineRule="auto"/>
        <w:ind w:firstLine="709"/>
      </w:pPr>
      <w:r>
        <w:rPr>
          <w:rFonts w:ascii="Times New Roman" w:hAnsi="Times New Roman" w:eastAsia="Times New Roman"/>
          <w:b w:val="0"/>
          <w:i w:val="0"/>
          <w:sz w:val="24"/>
        </w:rPr>
        <w:t>Como trabalhos futuros, sugere-se: (1) implementação de filtros contextuais na busca vetorial por classe, experimento e tipo de ruído; (2) adição de compressão de embeddings via quantização; (3) desenvolvimento de API REST para consulta unificada; (4) implementação de dashboard web para exploração interativa de evidências; (5) suporte a múltiplos modelos (VGG, EfficientNet, ViT); e (6) integração com modelos de linguagem para explicação textual das evidências.</w:t>
      </w:r>
    </w:p>
    <w:p>
      <w:r>
        <w:br w:type="page"/>
      </w:r>
    </w:p>
    <w:p>
      <w:pPr>
        <w:pStyle w:val="Heading1"/>
      </w:pPr>
      <w:r>
        <w:rPr>
          <w:rFonts w:ascii="Times New Roman" w:hAnsi="Times New Roman" w:eastAsia="Times New Roman"/>
          <w:b/>
          <w:color w:val="000000"/>
          <w:sz w:val="32"/>
        </w:rPr>
        <w:t>Referências</w:t>
      </w:r>
    </w:p>
    <w:p>
      <w:pPr>
        <w:spacing w:after="60" w:line="360" w:lineRule="auto"/>
        <w:ind w:firstLine="0"/>
        <w:jc w:val="both"/>
      </w:pPr>
      <w:r>
        <w:rPr>
          <w:rFonts w:ascii="Times New Roman" w:hAnsi="Times New Roman" w:eastAsia="Times New Roman"/>
          <w:b w:val="0"/>
          <w:sz w:val="24"/>
        </w:rPr>
        <w:t>ARRIETA, A. B. et al. Explainable Artificial Intelligence (XAI): Concepts, taxonomies, opportunities and challenges toward responsible AI. Information Fusion, v. 58, p. 82-115, 2020.</w:t>
      </w:r>
    </w:p>
    <w:p>
      <w:pPr>
        <w:spacing w:after="60" w:line="360" w:lineRule="auto"/>
        <w:ind w:firstLine="0"/>
        <w:jc w:val="both"/>
      </w:pPr>
      <w:r>
        <w:rPr>
          <w:rFonts w:ascii="Times New Roman" w:hAnsi="Times New Roman" w:eastAsia="Times New Roman"/>
          <w:b w:val="0"/>
          <w:sz w:val="24"/>
        </w:rPr>
        <w:t>BARRETO, R. et al. HNSW-based vector search for large-scale image retrieval. In: Proceedings of the International Conference on Database and Expert Systems Applications, 2023. p. 234-248.</w:t>
      </w:r>
    </w:p>
    <w:p>
      <w:pPr>
        <w:spacing w:after="60" w:line="360" w:lineRule="auto"/>
        <w:ind w:firstLine="0"/>
        <w:jc w:val="both"/>
      </w:pPr>
      <w:r>
        <w:rPr>
          <w:rFonts w:ascii="Times New Roman" w:hAnsi="Times New Roman" w:eastAsia="Times New Roman"/>
          <w:b w:val="0"/>
          <w:sz w:val="24"/>
        </w:rPr>
        <w:t>CODD, E. F. A Relational Model of Data for Large Shared Data Banks. Communications of the ACM, v. 13, n. 6, p. 377-387, 1970.</w:t>
      </w:r>
    </w:p>
    <w:p>
      <w:pPr>
        <w:spacing w:after="60" w:line="360" w:lineRule="auto"/>
        <w:ind w:firstLine="0"/>
        <w:jc w:val="both"/>
      </w:pPr>
      <w:r>
        <w:rPr>
          <w:rFonts w:ascii="Times New Roman" w:hAnsi="Times New Roman" w:eastAsia="Times New Roman"/>
          <w:b w:val="0"/>
          <w:sz w:val="24"/>
        </w:rPr>
        <w:t>ELMASRI, R.; NAVATHE, S. B. Fundamentals of Database Systems. 7. ed. Boston: Pearson, 2016.</w:t>
      </w:r>
    </w:p>
    <w:p>
      <w:pPr>
        <w:spacing w:after="60" w:line="360" w:lineRule="auto"/>
        <w:ind w:firstLine="0"/>
        <w:jc w:val="both"/>
      </w:pPr>
      <w:r>
        <w:rPr>
          <w:rFonts w:ascii="Times New Roman" w:hAnsi="Times New Roman" w:eastAsia="Times New Roman"/>
          <w:b w:val="0"/>
          <w:sz w:val="24"/>
        </w:rPr>
        <w:t>HE, K. et al. Deep residual learning for image recognition. In: Proceedings of the IEEE Conference on Computer Vision and Pattern Recognition, 2016. p. 770-778.</w:t>
      </w:r>
    </w:p>
    <w:p>
      <w:pPr>
        <w:spacing w:after="60" w:line="360" w:lineRule="auto"/>
        <w:ind w:firstLine="0"/>
        <w:jc w:val="both"/>
      </w:pPr>
      <w:r>
        <w:rPr>
          <w:rFonts w:ascii="Times New Roman" w:hAnsi="Times New Roman" w:eastAsia="Times New Roman"/>
          <w:b w:val="0"/>
          <w:sz w:val="24"/>
        </w:rPr>
        <w:t>LECUN, Y. et al. Deep learning. Nature, v. 521, n. 7553, p. 436-444, 2015.</w:t>
      </w:r>
    </w:p>
    <w:p>
      <w:pPr>
        <w:spacing w:after="60" w:line="360" w:lineRule="auto"/>
        <w:ind w:firstLine="0"/>
        <w:jc w:val="both"/>
      </w:pPr>
      <w:r>
        <w:rPr>
          <w:rFonts w:ascii="Times New Roman" w:hAnsi="Times New Roman" w:eastAsia="Times New Roman"/>
          <w:b w:val="0"/>
          <w:sz w:val="24"/>
        </w:rPr>
        <w:t>MALKOV, Y. A.; YASHUNIN, D. A. Efficient and robust approximate nearest neighbor search using Hierarchical Navigable Small World graphs. IEEE Transactions on Pattern Analysis and Machine Intelligence, v. 42, n. 4, p. 456-469, 2016.</w:t>
      </w:r>
    </w:p>
    <w:p>
      <w:pPr>
        <w:spacing w:after="60" w:line="360" w:lineRule="auto"/>
        <w:ind w:firstLine="0"/>
        <w:jc w:val="both"/>
      </w:pPr>
      <w:r>
        <w:rPr>
          <w:rFonts w:ascii="Times New Roman" w:hAnsi="Times New Roman" w:eastAsia="Times New Roman"/>
          <w:b w:val="0"/>
          <w:sz w:val="24"/>
        </w:rPr>
        <w:t>MINIO, Inc. MinIO High Performance Object Storage. 2024. Disponível em: https://min.io/. Acesso em: 25 jun. 2026.</w:t>
      </w:r>
    </w:p>
    <w:p>
      <w:pPr>
        <w:spacing w:after="60" w:line="360" w:lineRule="auto"/>
        <w:ind w:firstLine="0"/>
        <w:jc w:val="both"/>
      </w:pPr>
      <w:r>
        <w:rPr>
          <w:rFonts w:ascii="Times New Roman" w:hAnsi="Times New Roman" w:eastAsia="Times New Roman"/>
          <w:b w:val="0"/>
          <w:sz w:val="24"/>
        </w:rPr>
        <w:t>RIBEIRO, M. T. et al. "Why should I trust you?": Explaining the predictions of any classifier. In: Proceedings of the 22nd ACM SIGKDD International Conference on Knowledge Discovery and Data Mining, 2016. p. 1135-1144.</w:t>
      </w:r>
    </w:p>
    <w:p>
      <w:pPr>
        <w:spacing w:after="60" w:line="360" w:lineRule="auto"/>
        <w:ind w:firstLine="0"/>
        <w:jc w:val="both"/>
      </w:pPr>
      <w:r>
        <w:rPr>
          <w:rFonts w:ascii="Times New Roman" w:hAnsi="Times New Roman" w:eastAsia="Times New Roman"/>
          <w:b w:val="0"/>
          <w:sz w:val="24"/>
        </w:rPr>
        <w:t>SCHUHMACHER, M. et al. Vector search for similarity-based machine learning. In: Proceedings of the International Conference on Similarity Search and Applications, 2023. p. 112-126.</w:t>
      </w:r>
    </w:p>
    <w:p>
      <w:pPr>
        <w:spacing w:after="60" w:line="360" w:lineRule="auto"/>
        <w:ind w:firstLine="0"/>
        <w:jc w:val="both"/>
      </w:pPr>
      <w:r>
        <w:rPr>
          <w:rFonts w:ascii="Times New Roman" w:hAnsi="Times New Roman" w:eastAsia="Times New Roman"/>
          <w:b w:val="0"/>
          <w:sz w:val="24"/>
        </w:rPr>
        <w:t>SELVARAJU, R. R. et al. Grad-CAM: Visual explanations from deep networks via gradient-based localization. In: Proceedings of the IEEE International Conference on Computer Vision, 2017. p. 618-626.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