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666666"/>
          <w:sz w:val="21"/>
        </w:rPr>
        <w:t>PROPOSTA DE PROJETO DE PESQUISA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1B365D"/>
          <w:sz w:val="30"/>
        </w:rPr>
        <w:t>Redução de Dimensionalidade Guiada por Inteligência Artificial Explicável (XAI): Uma Abordagem para Otimização e Interpretabilidade em Modelos Preditivos</w:t>
      </w:r>
    </w:p>
    <w:p>
      <w:pPr>
        <w:spacing w:before="0" w:after="320"/>
        <w:jc w:val="center"/>
      </w:pPr>
      <w:r>
        <w:rPr>
          <w:rFonts w:ascii="Calibri" w:hAnsi="Calibri"/>
          <w:b/>
          <w:color w:val="333333"/>
          <w:sz w:val="21"/>
        </w:rPr>
        <w:t xml:space="preserve">Proponente: </w:t>
      </w:r>
      <w:r>
        <w:rPr>
          <w:rFonts w:ascii="Calibri" w:hAnsi="Calibri"/>
          <w:color w:val="1B365D"/>
          <w:sz w:val="21"/>
        </w:rPr>
        <w:t>Eduardo Lázaro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1. Introdução e Contextualização</w:t>
      </w:r>
    </w:p>
    <w:p>
      <w:pPr>
        <w:spacing w:line="276" w:lineRule="auto" w:after="100"/>
        <w:ind w:firstLine="432"/>
        <w:jc w:val="both"/>
      </w:pPr>
      <w:r>
        <w:rPr>
          <w:rFonts w:ascii="Calibri" w:hAnsi="Calibri"/>
          <w:b w:val="0"/>
          <w:i w:val="0"/>
          <w:color w:val="222222"/>
          <w:sz w:val="20"/>
        </w:rPr>
        <w:t>O avanço do Aprendizado de Máquina (Machine Learning – ML) tem proporcionado modelos preditivos com expressivo poder de generalização. Contudo, em domínios críticos como saúde, finanças e bioinformática, o manuseio de bases de dados de alta dimensionalidade apresenta desafios significativos, tais como elevado custo computacional, propensão ao sobreajuste (overfitting) e presença excessiva de variáveis redundantes ou ruidosas.</w:t>
      </w:r>
    </w:p>
    <w:p>
      <w:pPr>
        <w:keepNext/>
        <w:spacing w:before="220" w:after="60"/>
      </w:pPr>
      <w:r>
        <w:rPr>
          <w:rFonts w:ascii="Calibri" w:hAnsi="Calibri"/>
          <w:b/>
          <w:color w:val="2E5B88"/>
          <w:sz w:val="22"/>
        </w:rPr>
        <w:t>1.1. Motivação e Problema de Pesquisa</w:t>
      </w:r>
    </w:p>
    <w:p>
      <w:pPr>
        <w:spacing w:line="276" w:lineRule="auto" w:after="100"/>
        <w:ind w:firstLine="432"/>
        <w:jc w:val="both"/>
      </w:pPr>
      <w:r>
        <w:rPr>
          <w:rFonts w:ascii="Calibri" w:hAnsi="Calibri"/>
          <w:b w:val="0"/>
          <w:i w:val="0"/>
          <w:color w:val="222222"/>
          <w:sz w:val="20"/>
        </w:rPr>
        <w:t>Tradicionalmente, a redução de dimensionalidade e a seleção de variáveis são realizadas por técnicas clássicas, como filtros univariados e estratégias wrapper (ex.: Recursive Feature Elimination – RFE). Embora eficazes, essas abordagens frequentemente operam sob uma perspectiva puramente matemática ou por métricas de caixa-preta, sem oferecer aos especialistas justificativas transparentes sobre por que certos atributos são priorizados na decisão.</w:t>
      </w:r>
    </w:p>
    <w:p>
      <w:pPr>
        <w:spacing w:line="276" w:lineRule="auto" w:after="100"/>
        <w:ind w:firstLine="432"/>
        <w:jc w:val="both"/>
      </w:pPr>
      <w:r>
        <w:rPr>
          <w:rFonts w:ascii="Calibri" w:hAnsi="Calibri"/>
          <w:b w:val="0"/>
          <w:i w:val="0"/>
          <w:color w:val="222222"/>
          <w:sz w:val="20"/>
        </w:rPr>
        <w:t>Paralelamente, a Inteligência Artificial Explicável (Explainable AI – XAI) tem se consolidado como meio de auditoria de modelos, mas é quase sempre aplicada de forma post-hoc (após o treinamento). Deste modo, o problema central da pesquisa reside em: é viável utilizar explicações geradas por métodos de XAI como critério ativo de seleção e redução de atributos, mantendo ou aprimorando o desempenho preditivo e a eficiência do modelo?</w:t>
      </w:r>
    </w:p>
    <w:p>
      <w:pPr>
        <w:keepNext/>
        <w:spacing w:before="220" w:after="60"/>
      </w:pPr>
      <w:r>
        <w:rPr>
          <w:rFonts w:ascii="Calibri" w:hAnsi="Calibri"/>
          <w:b/>
          <w:color w:val="2E5B88"/>
          <w:sz w:val="22"/>
        </w:rPr>
        <w:t>1.2. Pesquisas Relacionadas</w:t>
      </w:r>
    </w:p>
    <w:p>
      <w:pPr>
        <w:spacing w:line="276" w:lineRule="auto" w:after="100"/>
        <w:ind w:firstLine="432"/>
        <w:jc w:val="both"/>
      </w:pPr>
      <w:r>
        <w:rPr>
          <w:rFonts w:ascii="Calibri" w:hAnsi="Calibri"/>
          <w:b w:val="0"/>
          <w:i w:val="0"/>
          <w:color w:val="222222"/>
          <w:sz w:val="20"/>
        </w:rPr>
        <w:t>Na literatura clássica de seleção de características, destacam-se Kohavi e John (1997), com a taxonomia de métodos em filtros, wrappers e embutidos, e Guyon et al. (2002), pioneiros no uso de RFE em problemas de alta dimensionalidade. No campo de XAI, Lundberg e Lee (2017) formalizaram o framework unificado SHAP com garantias axiomáticas da teoria dos jogos, enquanto Ribeiro, Singh e Guestrin (2016) introduziram o LIME para aproximações interpretáveis locais.</w:t>
      </w:r>
    </w:p>
    <w:p>
      <w:pPr>
        <w:spacing w:line="276" w:lineRule="auto" w:after="100"/>
        <w:ind w:firstLine="432"/>
        <w:jc w:val="both"/>
      </w:pPr>
      <w:r>
        <w:rPr>
          <w:rFonts w:ascii="Calibri" w:hAnsi="Calibri"/>
          <w:b w:val="0"/>
          <w:i w:val="0"/>
          <w:color w:val="222222"/>
          <w:sz w:val="20"/>
        </w:rPr>
        <w:t>Pesquisas recentes (Molnar, 2020; Marcílio e Eler, 2020) destacam o potencial de expandir o uso de XAI além da mera visualização, integrando a importância explicável diretamente na otimização e simplificação de conjuntos de dados. Este trabalho propõe investigar essa integração por meio de um pipeline híbrido e reprodutível.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2. Objetivo e Proposta de Trabalho</w:t>
      </w:r>
    </w:p>
    <w:p>
      <w:pPr>
        <w:spacing w:line="276" w:lineRule="auto" w:after="100"/>
        <w:ind w:firstLine="432"/>
        <w:jc w:val="both"/>
      </w:pPr>
      <w:r>
        <w:rPr>
          <w:rFonts w:ascii="Calibri" w:hAnsi="Calibri"/>
          <w:b w:val="0"/>
          <w:i w:val="0"/>
          <w:color w:val="222222"/>
          <w:sz w:val="20"/>
        </w:rPr>
        <w:t>Objetivo Geral: Investigar, projetar e avaliar experimentalmente um pipeline de redução de dimensionalidade orientado por técnicas de Inteligência Artificial Explicável (XAI), mensurando o impacto da seleção guiada por SHAP e LIME sobre o desempenho preditivo, a interpretabilidade e o custo computacional de modelos supervisionados.</w:t>
      </w:r>
    </w:p>
    <w:p>
      <w:pPr>
        <w:spacing w:line="276" w:lineRule="auto" w:after="100"/>
        <w:jc w:val="both"/>
      </w:pPr>
      <w:r>
        <w:rPr>
          <w:rFonts w:ascii="Calibri" w:hAnsi="Calibri"/>
          <w:b/>
          <w:i w:val="0"/>
          <w:color w:val="222222"/>
          <w:sz w:val="20"/>
        </w:rPr>
        <w:t>Proposta de Solução e Objetivos Específicos:</w:t>
      </w:r>
    </w:p>
    <w:p>
      <w:pPr>
        <w:pStyle w:val="ListBullet"/>
        <w:spacing w:line="276" w:lineRule="auto" w:after="60"/>
        <w:ind w:left="576"/>
      </w:pPr>
      <w:r>
        <w:rPr>
          <w:rFonts w:ascii="Calibri" w:hAnsi="Calibri"/>
          <w:b/>
          <w:color w:val="222222"/>
          <w:sz w:val="19"/>
        </w:rPr>
        <w:t xml:space="preserve">1. Estruturação do Baseline: </w:t>
      </w:r>
      <w:r>
        <w:rPr>
          <w:rFonts w:ascii="Calibri" w:hAnsi="Calibri"/>
          <w:color w:val="222222"/>
          <w:sz w:val="19"/>
        </w:rPr>
        <w:t>Construir um ambiente experimental controlado (com atributos informativos, redundantes e ruído) e estabelecer um modelo baseline de referência (Random Forest).</w:t>
      </w:r>
    </w:p>
    <w:p>
      <w:pPr>
        <w:pStyle w:val="ListBullet"/>
        <w:spacing w:line="276" w:lineRule="auto" w:after="60"/>
        <w:ind w:left="576"/>
      </w:pPr>
      <w:r>
        <w:rPr>
          <w:rFonts w:ascii="Calibri" w:hAnsi="Calibri"/>
          <w:b/>
          <w:color w:val="222222"/>
          <w:sz w:val="19"/>
        </w:rPr>
        <w:t xml:space="preserve">2. Quantificação de Importância (XAI): </w:t>
      </w:r>
      <w:r>
        <w:rPr>
          <w:rFonts w:ascii="Calibri" w:hAnsi="Calibri"/>
          <w:color w:val="222222"/>
          <w:sz w:val="19"/>
        </w:rPr>
        <w:t>Extrair relevâncias globais via SHAP (TreeExplainer) e conduzir auditorias locais com LIME em instâncias próximas ao limiar de decisão.</w:t>
      </w:r>
    </w:p>
    <w:p>
      <w:pPr>
        <w:pStyle w:val="ListBullet"/>
        <w:spacing w:line="276" w:lineRule="auto" w:after="60"/>
        <w:ind w:left="576"/>
      </w:pPr>
      <w:r>
        <w:rPr>
          <w:rFonts w:ascii="Calibri" w:hAnsi="Calibri"/>
          <w:b/>
          <w:color w:val="222222"/>
          <w:sz w:val="19"/>
        </w:rPr>
        <w:t xml:space="preserve">3. Pipeline Híbrido de Seleção: </w:t>
      </w:r>
      <w:r>
        <w:rPr>
          <w:rFonts w:ascii="Calibri" w:hAnsi="Calibri"/>
          <w:color w:val="222222"/>
          <w:sz w:val="19"/>
        </w:rPr>
        <w:t>Desenvolver um pré-filtro híbrido (variância e correlação) integrado ao método estatístico shap-select (regressão com p-valor &lt; 0,05 sobre os valores SHAP).</w:t>
      </w:r>
    </w:p>
    <w:p>
      <w:pPr>
        <w:pStyle w:val="ListBullet"/>
        <w:spacing w:line="276" w:lineRule="auto" w:after="60"/>
        <w:ind w:left="576"/>
      </w:pPr>
      <w:r>
        <w:rPr>
          <w:rFonts w:ascii="Calibri" w:hAnsi="Calibri"/>
          <w:b/>
          <w:color w:val="222222"/>
          <w:sz w:val="19"/>
        </w:rPr>
        <w:t xml:space="preserve">4. Benchmarking e Ablação: </w:t>
      </w:r>
      <w:r>
        <w:rPr>
          <w:rFonts w:ascii="Calibri" w:hAnsi="Calibri"/>
          <w:color w:val="222222"/>
          <w:sz w:val="19"/>
        </w:rPr>
        <w:t>Conduzir curvas de ablação progressiva e contrastar a redução guiada por XAI diretamente contra o método clássico RFE.</w:t>
      </w:r>
    </w:p>
    <w:p>
      <w:pPr>
        <w:pStyle w:val="ListBullet"/>
        <w:spacing w:line="276" w:lineRule="auto" w:after="60"/>
        <w:ind w:left="576"/>
      </w:pPr>
      <w:r>
        <w:rPr>
          <w:rFonts w:ascii="Calibri" w:hAnsi="Calibri"/>
          <w:b/>
          <w:color w:val="222222"/>
          <w:sz w:val="19"/>
        </w:rPr>
        <w:t xml:space="preserve">5. Otimização e Avaliação Multicritério: </w:t>
      </w:r>
      <w:r>
        <w:rPr>
          <w:rFonts w:ascii="Calibri" w:hAnsi="Calibri"/>
          <w:color w:val="222222"/>
          <w:sz w:val="19"/>
        </w:rPr>
        <w:t>Reotimizar os hiperparâmetros do modelo reduzido com Optuna e avaliar os trade-offs entre F1-score, ROC-AUC, tempo de treino e tempo de inferência.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3. Atividades e Etapas de Execução</w:t>
      </w:r>
    </w:p>
    <w:p>
      <w:pPr>
        <w:spacing w:line="276" w:lineRule="auto" w:after="100"/>
        <w:ind w:firstLine="432"/>
        <w:jc w:val="both"/>
      </w:pPr>
      <w:r>
        <w:rPr>
          <w:rFonts w:ascii="Calibri" w:hAnsi="Calibri"/>
          <w:b w:val="0"/>
          <w:i w:val="0"/>
          <w:color w:val="222222"/>
          <w:sz w:val="20"/>
        </w:rPr>
        <w:t>Para viabilizar a execução do projeto de maneira flexível e adaptável ao prazo institucional a ser definido, as atividades estão estruturadas em 5 etapas sequenciais e interdependentes: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44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Foco Temático</w:t>
            </w:r>
          </w:p>
        </w:tc>
        <w:tc>
          <w:tcPr>
            <w:tcW w:type="dxa" w:w="5328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 das Atividades e Entregáveis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Etapa 1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Fundamentação &amp; Baseline</w:t>
            </w:r>
          </w:p>
        </w:tc>
        <w:tc>
          <w:tcPr>
            <w:tcW w:type="dxa" w:w="5328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both"/>
            </w:pPr>
            <w:r>
              <w:rPr>
                <w:rFonts w:ascii="Calibri" w:hAnsi="Calibri"/>
                <w:sz w:val="17"/>
              </w:rPr>
              <w:t>Revisão bibliográfica focada em XAI e seleção de atributos; definição e estruturação da base de dados experimental; treinamento do modelo baseline (Random Forest).</w:t>
            </w:r>
          </w:p>
        </w:tc>
      </w:tr>
      <w:tr>
        <w:tc>
          <w:tcPr>
            <w:tcW w:type="dxa" w:w="1440"/>
            <w:shd w:val="clear" w:color="auto" w:fill="F4F6F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Etapa 2</w:t>
            </w:r>
          </w:p>
        </w:tc>
        <w:tc>
          <w:tcPr>
            <w:tcW w:type="dxa" w:w="2592"/>
            <w:shd w:val="clear" w:color="auto" w:fill="F4F6F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Módulos de Explicabilidade (XAI)</w:t>
            </w:r>
          </w:p>
        </w:tc>
        <w:tc>
          <w:tcPr>
            <w:tcW w:type="dxa" w:w="5328"/>
            <w:shd w:val="clear" w:color="auto" w:fill="F4F6F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both"/>
            </w:pPr>
            <w:r>
              <w:rPr>
                <w:rFonts w:ascii="Calibri" w:hAnsi="Calibri"/>
                <w:sz w:val="17"/>
              </w:rPr>
              <w:t>Implementação dos módulos de explicabilidade global (SHAP TreeExplainer) e local (LIME) para extração quantitativa de relevância dos atributos.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Etapa 3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Pipeline Híbrido &amp; shap-select</w:t>
            </w:r>
          </w:p>
        </w:tc>
        <w:tc>
          <w:tcPr>
            <w:tcW w:type="dxa" w:w="5328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both"/>
            </w:pPr>
            <w:r>
              <w:rPr>
                <w:rFonts w:ascii="Calibri" w:hAnsi="Calibri"/>
                <w:sz w:val="17"/>
              </w:rPr>
              <w:t>Desenvolvimento do filtro estatístico preliminar (variância e correlação) combinado com seleção estatística supervisionada sobre valores SHAP (p-valor &lt; 0,05).</w:t>
            </w:r>
          </w:p>
        </w:tc>
      </w:tr>
      <w:tr>
        <w:tc>
          <w:tcPr>
            <w:tcW w:type="dxa" w:w="1440"/>
            <w:shd w:val="clear" w:color="auto" w:fill="F4F6F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Etapa 4</w:t>
            </w:r>
          </w:p>
        </w:tc>
        <w:tc>
          <w:tcPr>
            <w:tcW w:type="dxa" w:w="2592"/>
            <w:shd w:val="clear" w:color="auto" w:fill="F4F6F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Benchmarking &amp; Otimização</w:t>
            </w:r>
          </w:p>
        </w:tc>
        <w:tc>
          <w:tcPr>
            <w:tcW w:type="dxa" w:w="5328"/>
            <w:shd w:val="clear" w:color="auto" w:fill="F4F6F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both"/>
            </w:pPr>
            <w:r>
              <w:rPr>
                <w:rFonts w:ascii="Calibri" w:hAnsi="Calibri"/>
                <w:sz w:val="17"/>
              </w:rPr>
              <w:t>Execução do estudo de ablação progressiva, comparação direta contra o método tradicional RFE e reotimização de hiperparâmetros com Optuna.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Etapa 5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Análise de Resultados &amp; Redação</w:t>
            </w:r>
          </w:p>
        </w:tc>
        <w:tc>
          <w:tcPr>
            <w:tcW w:type="dxa" w:w="5328"/>
            <w:shd w:val="clear" w:color="auto"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both"/>
            </w:pPr>
            <w:r>
              <w:rPr>
                <w:rFonts w:ascii="Calibri" w:hAnsi="Calibri"/>
                <w:sz w:val="17"/>
              </w:rPr>
              <w:t>Consolidação de métricas (F1-score, ROC-AUC, tempos de treino/inferência), análise crítica dos trade-offs e redação do relatório técnico final/artigo.</w:t>
            </w:r>
          </w:p>
        </w:tc>
      </w:tr>
    </w:tbl>
    <w:p>
      <w:pPr>
        <w:spacing w:after="60"/>
      </w:pP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4. Bibliografia e Referências</w:t>
      </w:r>
    </w:p>
    <w:p>
      <w:pPr>
        <w:spacing w:line="264" w:lineRule="auto" w:after="80"/>
        <w:ind w:left="432" w:hanging="432"/>
        <w:jc w:val="both"/>
      </w:pPr>
      <w:r>
        <w:rPr>
          <w:rFonts w:ascii="Calibri" w:hAnsi="Calibri"/>
          <w:color w:val="333333"/>
          <w:sz w:val="18"/>
        </w:rPr>
        <w:t>AKIBA, T.; SANO, S.; YANASE, T.; OHTA, T.; KOYAMA, M. Optuna: A next-generation hyperparameter optimization framework. In: ACM SIGKDD International Conference on Knowledge Discovery &amp; Data Mining, 25., 2019, Anchorage. Proceedings... New York: ACM, 2019. p. 2623–2631.</w:t>
      </w:r>
    </w:p>
    <w:p>
      <w:pPr>
        <w:spacing w:line="264" w:lineRule="auto" w:after="80"/>
        <w:ind w:left="432" w:hanging="432"/>
        <w:jc w:val="both"/>
      </w:pPr>
      <w:r>
        <w:rPr>
          <w:rFonts w:ascii="Calibri" w:hAnsi="Calibri"/>
          <w:color w:val="333333"/>
          <w:sz w:val="18"/>
        </w:rPr>
        <w:t>GUYON, I.; WESTON, J.; BARNHILL, S.; VAPNIK, V. Gene selection for cancer classification using support vector machines. Machine Learning, v. 46, n. 1-3, p. 389–422, 2002.</w:t>
      </w:r>
    </w:p>
    <w:p>
      <w:pPr>
        <w:spacing w:line="264" w:lineRule="auto" w:after="80"/>
        <w:ind w:left="432" w:hanging="432"/>
        <w:jc w:val="both"/>
      </w:pPr>
      <w:r>
        <w:rPr>
          <w:rFonts w:ascii="Calibri" w:hAnsi="Calibri"/>
          <w:color w:val="333333"/>
          <w:sz w:val="18"/>
        </w:rPr>
        <w:t>KOHAVI, R.; JOHN, G. H. Wrappers for feature subset selection. Artificial Intelligence, v. 97, n. 1-2, p. 273–324, 1997.</w:t>
      </w:r>
    </w:p>
    <w:p>
      <w:pPr>
        <w:spacing w:line="264" w:lineRule="auto" w:after="80"/>
        <w:ind w:left="432" w:hanging="432"/>
        <w:jc w:val="both"/>
      </w:pPr>
      <w:r>
        <w:rPr>
          <w:rFonts w:ascii="Calibri" w:hAnsi="Calibri"/>
          <w:color w:val="333333"/>
          <w:sz w:val="18"/>
        </w:rPr>
        <w:t>LUNDBERG, S. M.; LEE, S.-I. A unified approach to interpreting model predictions. In: Advances in Neural Information Processing Systems (NeurIPS), 30., 2017, Long Beach. Proceedings... Red Hook: Curran Associates, 2017. p. 4765–4774.</w:t>
      </w:r>
    </w:p>
    <w:p>
      <w:pPr>
        <w:spacing w:line="264" w:lineRule="auto" w:after="80"/>
        <w:ind w:left="432" w:hanging="432"/>
        <w:jc w:val="both"/>
      </w:pPr>
      <w:r>
        <w:rPr>
          <w:rFonts w:ascii="Calibri" w:hAnsi="Calibri"/>
          <w:color w:val="333333"/>
          <w:sz w:val="18"/>
        </w:rPr>
        <w:t>MARCÍLIO, W. E.; ELER, D. M. From explainability to model improvement: A survey on XAI-based feature selection. IEEE Transactions on Knowledge and Data Engineering, v. 34, n. 11, p. 5500–5515, 2020.</w:t>
      </w:r>
    </w:p>
    <w:p>
      <w:pPr>
        <w:spacing w:line="264" w:lineRule="auto" w:after="80"/>
        <w:ind w:left="432" w:hanging="432"/>
        <w:jc w:val="both"/>
      </w:pPr>
      <w:r>
        <w:rPr>
          <w:rFonts w:ascii="Calibri" w:hAnsi="Calibri"/>
          <w:color w:val="333333"/>
          <w:sz w:val="18"/>
        </w:rPr>
        <w:t>MOLNAR, C. Interpretable Machine Learning: A Guide for Making Black Box Models Explainable. 2. ed. Leanpub, 2020. Disponível em: &lt;https://christophm.github.io/interpretable-ml-book/&gt;.</w:t>
      </w:r>
    </w:p>
    <w:p>
      <w:pPr>
        <w:spacing w:line="264" w:lineRule="auto" w:after="80"/>
        <w:ind w:left="432" w:hanging="432"/>
        <w:jc w:val="both"/>
      </w:pPr>
      <w:r>
        <w:rPr>
          <w:rFonts w:ascii="Calibri" w:hAnsi="Calibri"/>
          <w:color w:val="333333"/>
          <w:sz w:val="18"/>
        </w:rPr>
        <w:t>RIBEIRO, M. T.; SINGH, S.; GUESTRIN, C. "Why should I trust you?": Explaining the predictions of any classifier. In: ACM SIGKDD International Conference on Knowledge Discovery and Data Mining, 22., 2016, San Francisco. Proceedings... New York: ACM, 2016. p. 1135–1144.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