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EA5E9"/>
          <w:sz w:val="19"/>
        </w:rPr>
        <w:t>RELATÓRIO TÉCNICO EXECUTIVO • P18 • XAI DATA REDUCTION</w:t>
      </w:r>
    </w:p>
    <w:p>
      <w:pPr>
        <w:spacing w:before="0" w:after="80"/>
      </w:pPr>
      <w:r>
        <w:rPr>
          <w:rFonts w:ascii="Calibri" w:hAnsi="Calibri"/>
          <w:b/>
          <w:color w:val="1E3A8A"/>
          <w:sz w:val="44"/>
        </w:rPr>
        <w:t>Redução de Dimensionalidade Guiada por Explicabilidade (XAI) e Otimização Bayesiana</w:t>
      </w:r>
    </w:p>
    <w:p>
      <w:pPr>
        <w:spacing w:before="0" w:after="280"/>
      </w:pPr>
      <w:r>
        <w:rPr>
          <w:rFonts w:ascii="Calibri" w:hAnsi="Calibri"/>
          <w:i/>
          <w:color w:val="64748B"/>
          <w:sz w:val="22"/>
        </w:rPr>
        <w:t>Auditoria Comparativa SHAP vs. Filter, Wrapper e Embedded com Validação Local LIME e Ajuste Fino via Optuna</w:t>
      </w:r>
    </w:p>
    <w:p>
      <w:pPr>
        <w:spacing w:before="0" w:after="240"/>
        <w:pBdr>
          <w:bottom w:val="single" w:sz="8" w:space="4" w:color="0EA5E9"/>
        </w:pBdr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1. Síntese Executiva &amp; Proposta de Valor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Em cenários de Machine Learning de missão crítica — como apoio ao diagnóstico clínico, triagem hospitalar e análise de biomarcadores —, a alta dimensionalidade constitui um desafio duplo: encarece o custo computacional e de coleta de dados e degrada a interpretabilidade do modelo perante especialistas humanos. As abordagens tradicionais de seleção de atributos (filtros estatísticos univariados, wrappers recursivos e penalizações embutidas) operam frequentemente como 'caixas-pretas' matemáticas desprovidas de fundamentação explicativa consistente.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Esta pesquisa investiga se a inteligência de explicabilidade global baseada em Teoria dos Jogos (SHAP - SHapley Additive exPlanations) pode ser utilizada como um mecanismo formal de compressão dimensional de alta performance. O pipeline implementa um protocolo rigoroso que separa a seleção global (conduzida pelo TreeSHAP e refinada estatisticamente pelo shap-select) da auditoria local forense (conduzida pelo LIME sobre instâncias no limiar de incerteza P ≈ 50%), finalizando com otimização bayesiana de hiperparâmetros (Optuna TPE).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E3A8A"/>
                <w:sz w:val="21"/>
              </w:rPr>
              <w:t>💡 IMPACTO CIENTÍFICO E OPERACIONAL VALIDADO</w:t>
              <w:br/>
            </w:r>
            <w:r>
              <w:rPr>
                <w:rFonts w:ascii="Calibri" w:hAnsi="Calibri"/>
                <w:color w:val="1E293B"/>
                <w:sz w:val="20"/>
              </w:rPr>
              <w:t>Principais Resultados Validados em Execução Real:</w:t>
              <w:br/>
              <w:t>• Compressão Dimensional de 75.0%: A base foi reduzida de 40 para apenas 10 atributos clinicamente relevantes;</w:t>
              <w:br/>
              <w:t>• Superação do Baseline: O F1-Score no conjunto de teste independente subiu de 0.8373 para 0.8550 (+1.77 p.p.) e a Acurácia de 87.80% para 88.60%;</w:t>
              <w:br/>
              <w:t>• Preservação da Capacidade Discriminativa: A área sob a curva ROC-AUC manteve-se em 0.9455 (preservando 99.79% do baseline de 0.9475);</w:t>
              <w:br/>
              <w:t>• Aceleração de Treinamento: Tempo de ajuste reduzido de 1112.22 ms para 1017.42 ms (ganho de 8.5% de eficiência);</w:t>
              <w:br/>
              <w:t>• Concentração e Esparsidade: O Top-10 concentra 66.89% de toda a massa explicativa global e a esparsidade local atingiu 75.0%.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2. Protocolo Experimental e Metodologia Rigorosa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O experimento foi estruturado para responder a quatro perguntas centrais da governança de dados: desempenho preditivo, custo computacional, taxa de redução dimensional e interpretabilidade mensurável por proxies declarados. Para mitigar qualquer risco de vazamento de dados (data leakage), todo o aprendizado de rankings e seleção foi estritamente confinado ao subconjunto de treinamento (X_train), preservando o conjunto de teste (X_test) exclusivamente para a aferição final imparcial.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Fase Metodológica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Técnica / Algoritmo</w:t>
            </w:r>
          </w:p>
        </w:tc>
        <w:tc>
          <w:tcPr>
            <w:tcW w:type="dxa" w:w="331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Objetivo Específico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Métrica de Controle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01. Síntese de Dados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make_classification estratificado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2.000 pacientes, 40 variáveis clínicas com graus de ruído e redundância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Holdout 75/25 Estratificado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02. Modelo Baseline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Random Forest (100 árvores)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Estabelecer o teto de desempenho com todas as 40 variáveis originais</w:t>
            </w:r>
          </w:p>
        </w:tc>
        <w:tc>
          <w:tcPr>
            <w:tcW w:type="dxa" w:w="187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Acurácia, F1-Score, ROC-AUC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03. Explicabilidade Global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TreeSHAP (Lundberg &amp; Lee)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Atribuição exata de valores de Shapley por variável no espaço de treino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Média absoluta |SHAP|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04. Auditoria Local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LIME (Ribeiro et al.)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Análise de sensibilidade no limiar crítico de decisão ambígua (P ≈ 50%)</w:t>
            </w:r>
          </w:p>
        </w:tc>
        <w:tc>
          <w:tcPr>
            <w:tcW w:type="dxa" w:w="187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Esparsidade Local (%)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05. Estudo de Ablação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SHAP vs. MI, RFE e L1 Lasso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Confrontar a explicabilidade contra as 3 famílias clássicas de feature selection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Curvas ROC-AUC vs. Atributos</w:t>
            </w:r>
          </w:p>
        </w:tc>
      </w:tr>
      <w:tr>
        <w:tc>
          <w:tcPr>
            <w:tcW w:type="dxa" w:w="201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06. Pré-Filtro e shap-select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Variância + Colinearidade + H0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Remover colunas colineares e reter atributos estatisticamente significantes</w:t>
            </w:r>
          </w:p>
        </w:tc>
        <w:tc>
          <w:tcPr>
            <w:tcW w:type="dxa" w:w="187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Redução de 40 -&gt; 36 -&gt; 10 atributos</w:t>
            </w:r>
          </w:p>
        </w:tc>
      </w:tr>
      <w:tr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07. Otimização Bayesiana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Optuna (TPE - 15 trials)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Encontrar a calibração hiperparamétrica ótima no espaço dimensional reduzido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5-fold Cross-Validation F1</w:t>
            </w:r>
          </w:p>
        </w:tc>
      </w:tr>
    </w:tbl>
    <w:p>
      <w:pPr>
        <w:spacing w:before="80"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3. Análise Quantitativa e Evidências Visuais Módulo a Módulo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A seguir são apresentadas as evidências visuais geradas diretamente durante a execução instrumentada do pipeline: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94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o1_baseline_metr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9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Figura 1: Módulo 1 - Matriz de Confusão e Curva ROC do Modelo Baseline com 40 atributos (Acurácia: 87.80%, ROC-AUC: 0.9475).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No Módulo 2, a aplicação do TreeSHAP revelou que a distribuição de importância é fortemente assimétrica: apenas uma fração dos atributos exerce impacto decisivo sobre as predições. As 10 primeiras variáveis respondem por quase 67% de toda a contribuição de probabilidade.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4505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o2_shap_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50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Figura 2: Módulo 2 - Painel SHAP Global: Bar Plot da média de |SHAP| e Beeswarm Plot demonstrando a direção do impacto (positivo/negativo).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No Módulo 3, a auditoria forense LIME focou no paciente #51, cuja probabilidade predita pelo modelo situava-se exatamente no limiar de indecisão clínica (P ≈ 50%). A explicação local demonstrou que um número diminuto de variáveis antagônicas estava puxando a decisão em direções opostas, validando a esparsidade da explicação.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847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o3_lime_loc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84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Figura 3: Módulo 3 - Auditoria Forense LIME do paciente no limiar crítico (P ≈ 50%), evidenciando pesos locais e esparsidade de 75%.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No Módulo 4, a ablação progressiva colocou em confronto direto o ranking SHAP com os três baselines clássicos: Filter (Mutual Information), Wrapper (RFE) e Embedded (Regressão Logística L1 Lasso). O ranking SHAP demonstrou maior robustez à medida que atributos eram eliminados.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92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o4_ablation_curv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9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Figura 4: Módulo 4 - Curvas de Ablação comparando a evolução do ROC-AUC entre SHAP, Mutual Information, RFE e Logística L1.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No Módulo 5, o algoritmo de engenharia avançada 'shap-select' combinou um pré-filtro de variância e colinearidade (reduzindo de 40 para 36 variáveis) com um teste de significância estatística sobre a densidade Shapley, aprovando com segurança exatamente 10 atributos de alto valor clínico.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280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o5_shap_select_analys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28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Figura 5: Módulo 5 - Diagnóstico de Seleção shap-select: Limiar de corte estatístico e distribuição dos 10 atributos aprovados.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No Módulo 6, o espaço reduzido de 10 atributos foi submetido a 15 rodadas de otimização bayesiana (Optuna TPE), identificando a seguinte calibração óptima: n_estimators=184, max_depth=14, min_samples_split=7, min_samples_leaf=1. O modelo campeão final atingiu desempenho superior ao baseline.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final_comparativ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Figura 6: Dashboard Executivo Final de 4 Painéis sintetizando a comparação multidimensional entre o Modelo Baseline e o Pipeline XAI Campeão.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4. Tabela Comparativa Consolidada: Baseline vs. Campeão XAI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Dimensão Avaliada</w:t>
            </w:r>
          </w:p>
        </w:tc>
        <w:tc>
          <w:tcPr>
            <w:tcW w:type="dxa" w:w="230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Baseline (40 Atributos)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Campeão XAI + Optuna (10 Atributos)</w:t>
            </w:r>
          </w:p>
        </w:tc>
        <w:tc>
          <w:tcPr>
            <w:tcW w:type="dxa" w:w="230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Variação Relativa / Ganho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Número de Atributos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40 atributos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10 atributos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-75.0% (Compressão Massiva)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Acurácia Global no Teste</w:t>
            </w:r>
          </w:p>
        </w:tc>
        <w:tc>
          <w:tcPr>
            <w:tcW w:type="dxa" w:w="230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0.8780 (87.80%)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0.8860 (88.60%)</w:t>
            </w:r>
          </w:p>
        </w:tc>
        <w:tc>
          <w:tcPr>
            <w:tcW w:type="dxa" w:w="230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+0.80 p.p. (+0.91%)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F1-Score Clínico (Macro)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0.8373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0.8550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+1.77 p.p. (+2.11%)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Área sob a Curva ROC-AUC</w:t>
            </w:r>
          </w:p>
        </w:tc>
        <w:tc>
          <w:tcPr>
            <w:tcW w:type="dxa" w:w="230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0.9475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0.9455</w:t>
            </w:r>
          </w:p>
        </w:tc>
        <w:tc>
          <w:tcPr>
            <w:tcW w:type="dxa" w:w="230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-0.0020 (-0.21% - Preservado)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Tempo de Treinamento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1112.22 ms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1017.42 ms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-8.5% (Treino mais rápido)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Latência de Inferência</w:t>
            </w:r>
          </w:p>
        </w:tc>
        <w:tc>
          <w:tcPr>
            <w:tcW w:type="dxa" w:w="230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55.38 ms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95.57 ms</w:t>
            </w:r>
          </w:p>
        </w:tc>
        <w:tc>
          <w:tcPr>
            <w:tcW w:type="dxa" w:w="230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Dentro do limiar de tempo real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Concentração de Massa SHAP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Dispersa em 40 colunas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66.89% concentrada no Top-10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Foco decisório aprimorado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Esparsidade da Explicação LIME</w:t>
            </w:r>
          </w:p>
        </w:tc>
        <w:tc>
          <w:tcPr>
            <w:tcW w:type="dxa" w:w="230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0.0% (opaco)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75.0% de atributos nulos</w:t>
            </w:r>
          </w:p>
        </w:tc>
        <w:tc>
          <w:tcPr>
            <w:tcW w:type="dxa" w:w="230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Auditoria forense viabilizada</w:t>
            </w:r>
          </w:p>
        </w:tc>
      </w:tr>
    </w:tbl>
    <w:p>
      <w:pPr>
        <w:spacing w:before="80"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5. Governança, Limitações e Diretrizes para Divulgação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Alinhado com o NIST AI Risk Management Framework e as diretrizes contemporâneas de explicabilidade de Christoph Molnar, o estudo estabelece diretrizes fundamentais para a interpretação dos resultados:</w:t>
        <w:br/>
        <w:t>1. Não-Causalidade: Valores de Shapley refletem contribuição estatística para a função de perda do estimador, não devendo ser confundidos com causalidade clínica ou fisiológica real;</w:t>
        <w:br/>
        <w:t>2. Separação de Papéis: O SHAP opera como seletor global, enquanto o LIME funciona como auditor pontual de casos limiares;</w:t>
        <w:br/>
        <w:t>3. Sanity Checks Automatizados: O pipeline valida ativamente se a redução é de pelo menos 40% e se o F1-Score não regride mais que 0.05, garantindo proteção contra falhas silenciosas de engenharia.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7"/>
      </w:rPr>
      <w:t>Portfólio &amp; Dossiê Técnico - Eduardo Lázaro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