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sadsadsad@forvismazars.com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sdsadsa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sadsad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sadsad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asdasd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21-05-2025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sadadsa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asdsadsa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sadsadsa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dsadsadsadsadsa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