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Detalhamento Técnico</w:t>
      </w:r>
    </w:p>
    <w:p>
      <w:pPr>
        <w:pStyle w:val="Heading2"/>
        <w:bidi w:val="0"/>
        <w:ind w:hanging="0" w:start="0"/>
        <w:rPr/>
      </w:pPr>
      <w:r>
        <w:rPr/>
        <w:t>Telas desenvolvidas</w:t>
      </w:r>
    </w:p>
    <w:p>
      <w:pPr>
        <w:pStyle w:val="BodyText"/>
        <w:bidi w:val="0"/>
        <w:rPr/>
      </w:pPr>
      <w:r>
        <w:rPr/>
        <w:t>Foram desenvolvidas quatro telas: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products</w:t>
      </w:r>
      <w:r>
        <w:rPr/>
        <w:t xml:space="preserve"> — tela principal, com o catálogo de produtos disponíveis e a opção de realizar a compra.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invoice</w:t>
      </w:r>
      <w:r>
        <w:rPr/>
        <w:t xml:space="preserve"> — exibida após a confirmação de uma compra. Mostra a visualização da nota fiscal gerada e permite a impressão.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product-create</w:t>
      </w:r>
      <w:r>
        <w:rPr/>
        <w:t xml:space="preserve"> — formulário de cadastro de novos produtos.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invoice-list</w:t>
      </w:r>
      <w:r>
        <w:rPr/>
        <w:t xml:space="preserve"> — listagem de todas as notas fiscais emitidas. Notas ainda não impressas (status </w:t>
      </w:r>
      <w:r>
        <w:rPr>
          <w:rFonts w:ascii="Liberation Mono" w:hAnsi="Liberation Mono"/>
        </w:rPr>
        <w:t>OPEN</w:t>
      </w:r>
      <w:r>
        <w:rPr/>
        <w:t>) aparecem com a opção de impressão disponível.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Funcionalidades implementadas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Cadastro de novos produtos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Compra de produtos, com emissão da nota fiscal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Listagem de notas fiscais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Layout responsivo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Mensagens de erro para o usuário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Tela de processamento durante a realização da compra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Detalhamento técnico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Ciclos de vida do Angular;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 xml:space="preserve">O principal ciclo de vida utilizado foi o </w:t>
      </w:r>
      <w:r>
        <w:rPr>
          <w:rFonts w:ascii="Liberation Mono" w:hAnsi="Liberation Mono"/>
        </w:rPr>
        <w:t>ngOnInit</w:t>
      </w:r>
      <w:r>
        <w:rPr/>
        <w:t>, responsável pela inicialização dos componentes e pelo carregamento dos dados por meio dos serviços. Não houve necessidade de utilizar outros lifecycles para a implementação do projeto.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Uso da biblioteca RxJS;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 xml:space="preserve">RxJS foi utilizado para tratar as requisições HTTP de forma assíncrona, com </w:t>
      </w:r>
      <w:r>
        <w:rPr>
          <w:rFonts w:ascii="Liberation Mono" w:hAnsi="Liberation Mono"/>
        </w:rPr>
        <w:t>Observable</w:t>
      </w:r>
      <w:r>
        <w:rPr/>
        <w:t xml:space="preserve"> e </w:t>
      </w:r>
      <w:r>
        <w:rPr>
          <w:rFonts w:ascii="Liberation Mono" w:hAnsi="Liberation Mono"/>
        </w:rPr>
        <w:t>subscribe()</w:t>
      </w:r>
      <w:r>
        <w:rPr/>
        <w:t xml:space="preserve">. Também foram utilizados os operadores </w:t>
      </w:r>
      <w:r>
        <w:rPr>
          <w:rFonts w:ascii="Liberation Mono" w:hAnsi="Liberation Mono"/>
        </w:rPr>
        <w:t>map</w:t>
      </w:r>
      <w:r>
        <w:rPr/>
        <w:t xml:space="preserve">, para tratar os dados retornados pela API, e </w:t>
      </w:r>
      <w:r>
        <w:rPr>
          <w:rFonts w:ascii="Liberation Mono" w:hAnsi="Liberation Mono"/>
        </w:rPr>
        <w:t>delay</w:t>
      </w:r>
      <w:r>
        <w:rPr/>
        <w:t>, para simular um tempo de processamento durante a emissão da nota fiscal.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Bibliotecas foram utilizadas e para qual finalidade;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Angular Router — navegação entre as telas da aplicação.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Angular HttpClient — comunicação com os microsserviços.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Angular Forms — construção e validação dos formulários.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pgx — conexão do backend com o PostgreSQL.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Zerolog — geração de logs estruturados no backend.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CORS — permite a comunicação entre o frontend e os microsserviços.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Como foi realizado o gerenciamento de dependências no Golang;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 xml:space="preserve">O gerenciamento foi feito através do Go Modules, com os arquivos </w:t>
      </w:r>
      <w:r>
        <w:rPr>
          <w:rFonts w:ascii="Liberation Mono" w:hAnsi="Liberation Mono"/>
        </w:rPr>
        <w:t>go.mod</w:t>
      </w:r>
      <w:r>
        <w:rPr/>
        <w:t xml:space="preserve"> e </w:t>
      </w:r>
      <w:r>
        <w:rPr>
          <w:rFonts w:ascii="Liberation Mono" w:hAnsi="Liberation Mono"/>
        </w:rPr>
        <w:t>go.sum</w:t>
      </w:r>
      <w:r>
        <w:rPr/>
        <w:t xml:space="preserve">. O </w:t>
      </w:r>
      <w:r>
        <w:rPr>
          <w:rFonts w:ascii="Liberation Mono" w:hAnsi="Liberation Mono"/>
        </w:rPr>
        <w:t>go.mod</w:t>
      </w:r>
      <w:r>
        <w:rPr/>
        <w:t xml:space="preserve"> define as dependências utilizadas pelo projeto, enquanto o </w:t>
      </w:r>
      <w:r>
        <w:rPr>
          <w:rFonts w:ascii="Liberation Mono" w:hAnsi="Liberation Mono"/>
        </w:rPr>
        <w:t>go.sum</w:t>
      </w:r>
      <w:r>
        <w:rPr/>
        <w:t xml:space="preserve"> armazena as versões e os hashes de verificação de cada uma.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Frameworks do Golang;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>Foi utilizado o framework Gin para a criação das APIs HTTP dos microsserviços, responsável pela definição das rotas, pelo recebimento das requisições e pelo envio das respostas.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Erros e exceções no backend;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>O tratamento de erros no backend foi feito em duas camadas: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Handlers: tratamento de erros esperados, retornando o código HTTP correspondente a cada situação — 400 para dados inválidos, 404 para recursos não encontrados, 409 para conflitos (como estoque insuficiente) e 500 para erros internos.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Middleware de Recovery: captura exceções inesperadas (</w:t>
      </w:r>
      <w:r>
        <w:rPr>
          <w:rFonts w:ascii="Liberation Mono" w:hAnsi="Liberation Mono"/>
        </w:rPr>
        <w:t>panic</w:t>
      </w:r>
      <w:r>
        <w:rPr/>
        <w:t>), registra o erro através do Zerolog e retorna uma resposta adequada ao cliente, evitando que o servidor seja derrubado.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Arquitetura de microsserviços</w:t>
      </w:r>
    </w:p>
    <w:p>
      <w:pPr>
        <w:pStyle w:val="BodyText"/>
        <w:bidi w:val="0"/>
        <w:rPr/>
      </w:pPr>
      <w:r>
        <w:rPr/>
        <w:t>O sistema é dividido em dois microsserviços independentes, que se comunicam por HTTP: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Serviço de Estoque (Stock Service)</w:t>
      </w:r>
      <w:r>
        <w:rPr/>
        <w:t xml:space="preserve"> — responsável pelo cadastro de produtos, consulta de produtos (geral e individual) e baixa de estoque, com validação de saldo insuficiente.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Serviço de Faturamento (Billing Service)</w:t>
      </w:r>
      <w:r>
        <w:rPr/>
        <w:t xml:space="preserve"> — responsável pela criação e listagem de notas fiscais, controle de status, numeração sequencial, impressão e comunicação com o Serviço de Estoque.</w:t>
      </w:r>
    </w:p>
    <w:p>
      <w:pPr>
        <w:pStyle w:val="BodyText"/>
        <w:bidi w:val="0"/>
        <w:rPr/>
      </w:pPr>
      <w:r>
        <w:rPr/>
        <w:t>Os dois serviços rodam em containers separados, orquestrados por Docker Compose e configurados por variáveis de ambiente. O PostgreSQL não está incluído no Compose: roda separadamente, no ambiente local, e é acessado pelos dois serviços por conexão de rede.</w:t>
      </w:r>
    </w:p>
    <w:p>
      <w:pPr>
        <w:pStyle w:val="BodyText"/>
        <w:bidi w:val="0"/>
        <w:rPr/>
      </w:pPr>
      <w:r>
        <w:rPr/>
        <w:t>A numeração das notas fiscais é gerada pelo próprio PostgreSQL, por meio de uma sequence (</w:t>
      </w:r>
      <w:r>
        <w:rPr>
          <w:rFonts w:ascii="Liberation Mono" w:hAnsi="Liberation Mono"/>
        </w:rPr>
        <w:t>invoice_number_seq</w:t>
      </w:r>
      <w:r>
        <w:rPr/>
        <w:t xml:space="preserve">) consultada com </w:t>
      </w:r>
      <w:r>
        <w:rPr>
          <w:rFonts w:ascii="Liberation Mono" w:hAnsi="Liberation Mono"/>
        </w:rPr>
        <w:t>nextval()</w:t>
      </w:r>
      <w:r>
        <w:rPr/>
        <w:t>. Essa escolha eliminou a geração aleatória de número que existia anteriormente no Angular, além de impedir que o número seja definido pelo cliente.</w:t>
      </w:r>
    </w:p>
    <w:p>
      <w:pPr>
        <w:pStyle w:val="Heading2"/>
        <w:bidi w:val="0"/>
        <w:ind w:hanging="0" w:start="0"/>
        <w:rPr/>
      </w:pPr>
      <w:r>
        <w:rPr/>
        <w:t>Persistência em banco de dados</w:t>
      </w:r>
    </w:p>
    <w:p>
      <w:pPr>
        <w:pStyle w:val="BodyText"/>
        <w:bidi w:val="0"/>
        <w:rPr/>
      </w:pPr>
      <w:r>
        <w:rPr/>
        <w:t xml:space="preserve">O banco utilizado é o PostgreSQL, no banco </w:t>
      </w:r>
      <w:r>
        <w:rPr>
          <w:rFonts w:ascii="Liberation Mono" w:hAnsi="Liberation Mono"/>
        </w:rPr>
        <w:t>nfs_issuer</w:t>
      </w:r>
      <w:r>
        <w:rPr/>
        <w:t xml:space="preserve">, com as tabelas </w:t>
      </w:r>
      <w:r>
        <w:rPr>
          <w:rFonts w:ascii="Liberation Mono" w:hAnsi="Liberation Mono"/>
        </w:rPr>
        <w:t>products</w:t>
      </w:r>
      <w:r>
        <w:rPr/>
        <w:t xml:space="preserve">, </w:t>
      </w:r>
      <w:r>
        <w:rPr>
          <w:rFonts w:ascii="Liberation Mono" w:hAnsi="Liberation Mono"/>
        </w:rPr>
        <w:t>invoices</w:t>
      </w:r>
      <w:r>
        <w:rPr/>
        <w:t xml:space="preserve"> e </w:t>
      </w:r>
      <w:r>
        <w:rPr>
          <w:rFonts w:ascii="Liberation Mono" w:hAnsi="Liberation Mono"/>
        </w:rPr>
        <w:t>invoice_items</w:t>
      </w:r>
      <w:r>
        <w:rPr/>
        <w:t>. Todos os cadastros são persistidos fisicamente: produtos, notas fiscais e os itens de cada nota.</w:t>
      </w:r>
    </w:p>
    <w:p>
      <w:pPr>
        <w:pStyle w:val="Heading2"/>
        <w:bidi w:val="0"/>
        <w:ind w:hanging="0" w:start="0"/>
        <w:rPr/>
      </w:pPr>
      <w:r>
        <w:rPr/>
        <w:t>Tratamento de falha de microsserviço</w:t>
      </w:r>
    </w:p>
    <w:p>
      <w:pPr>
        <w:pStyle w:val="BodyText"/>
        <w:bidi w:val="0"/>
        <w:rPr/>
      </w:pPr>
      <w:r>
        <w:rPr/>
        <w:t>Foi implementado um cenário de falha entre os dois serviços: quando o Billing Service não consegue se comunicar com o Stock Service, o erro é identificado, registrado nos logs e retornado por meio de uma resposta HTTP apropriada. O Angular exibe essa mensagem ao usuário, com a opção de tentar novamente. Ao restabelecer o Stock Service, o sistema volta a funcionar normalmente, sem necessidade de reiniciar os demais componentes.</w:t>
      </w:r>
    </w:p>
    <w:p>
      <w:pPr>
        <w:pStyle w:val="Heading2"/>
        <w:bidi w:val="0"/>
        <w:ind w:hanging="0" w:start="0"/>
        <w:rPr/>
      </w:pPr>
      <w:r>
        <w:rPr/>
        <w:t>Itens opcionais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Tratamento de concorrência</w:t>
      </w:r>
      <w:r>
        <w:rPr/>
        <w:t xml:space="preserve"> — a baixa de estoque é realizada de forma atômica no PostgreSQL, com o gerenciamento de conexões feito pelo </w:t>
      </w:r>
      <w:r>
        <w:rPr>
          <w:rFonts w:ascii="Liberation Mono" w:hAnsi="Liberation Mono"/>
        </w:rPr>
        <w:t>pgxpool</w:t>
      </w:r>
      <w:r>
        <w:rPr/>
        <w:t>. Uma proteção transacional completa contra duas impressões simultâneas da mesma nota fiscal não foi implementada.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Uso de inteligência artificial</w:t>
      </w:r>
      <w:r>
        <w:rPr/>
        <w:t xml:space="preserve"> — não implementado.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Idempotência</w:t>
      </w:r>
      <w:r>
        <w:rPr/>
        <w:t xml:space="preserve"> — não implementada.</w:t>
      </w:r>
    </w:p>
    <w:p>
      <w:pPr>
        <w:pStyle w:val="Heading1"/>
        <w:numPr>
          <w:ilvl w:val="0"/>
          <w:numId w:val="0"/>
        </w:numPr>
        <w:bidi w:val="0"/>
        <w:ind w:hanging="0" w:start="0"/>
        <w:rPr/>
      </w:pPr>
      <w:r>
        <w:rPr/>
        <w:t>Como rodar</w:t>
      </w:r>
    </w:p>
    <w:p>
      <w:pPr>
        <w:pStyle w:val="BodyText"/>
        <w:bidi w:val="0"/>
        <w:rPr/>
      </w:pPr>
      <w:r>
        <w:rPr/>
        <w:t>No terminal faça: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git clone https://github.com/EduardoStockler1/Korp-Teste-Eduardo-Stockler</w:t>
      </w:r>
    </w:p>
    <w:p>
      <w:pPr>
        <w:pStyle w:val="BodyText"/>
        <w:bidi w:val="0"/>
        <w:rPr/>
      </w:pPr>
      <w:r>
        <w:rPr/>
        <w:t>E então: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cd Korp-Test-Eduardo-Stockler</w:t>
      </w:r>
    </w:p>
    <w:p>
      <w:pPr>
        <w:pStyle w:val="BodyText"/>
        <w:bidi w:val="0"/>
        <w:rPr/>
      </w:pPr>
      <w:r>
        <w:rPr/>
        <w:t>Para rodar o frontend: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npm start</w:t>
      </w:r>
    </w:p>
    <w:p>
      <w:pPr>
        <w:pStyle w:val="BodyText"/>
        <w:bidi w:val="0"/>
        <w:rPr/>
      </w:pPr>
      <w:r>
        <w:rPr/>
        <w:t>Para rodar o backend: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docker compose up</w:t>
      </w:r>
    </w:p>
    <w:p>
      <w:pPr>
        <w:pStyle w:val="BodyText"/>
        <w:bidi w:val="0"/>
        <w:rPr/>
      </w:pPr>
      <w:r>
        <w:rPr/>
        <w:t>Um detalhe importante: o Postgres não está incluído no Docker Compose. Ele está rodando separadamente, localmente. Isso significa que, pra rodar o projeto do zero, além do docker-compose up:</w:t>
      </w:r>
    </w:p>
    <w:p>
      <w:pPr>
        <w:pStyle w:val="BodyText"/>
        <w:bidi w:val="0"/>
        <w:rPr/>
      </w:pPr>
      <w:r>
        <w:rPr/>
        <w:t>Ter o Postgres instalado e rodando localmente (ou em um container a parte se preferir). Criar o banco nfs_issuer com as tabelas products, invoices e invoice_items (e a sequence invoice_number_seq).</w:t>
      </w:r>
    </w:p>
    <w:p>
      <w:pPr>
        <w:pStyle w:val="BodyText"/>
        <w:bidi w:val="0"/>
        <w:rPr/>
      </w:pPr>
      <w:r>
        <w:rPr/>
        <w:t>Configurar as variáveis de ambiente dos microsserviços com o host/porta/usuário/senha certos pra esse PostgreSQL — senão o backend sobe pelo Docker, mas não consegue conectar no banco.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