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Learner Report: BT15BT16</w:t>
      </w:r>
    </w:p>
    <w:p>
      <w:pPr>
        <w:pStyle w:val="Quote"/>
      </w:pPr>
      <w:r>
        <w:t>Goal Attempted: Break Even and Build Trust</w:t>
      </w:r>
    </w:p>
    <w:p>
      <w:r>
        <w:t>Report generated on: 2025-07-07 23:02:50</w:t>
      </w:r>
    </w:p>
    <w:p>
      <w:pPr>
        <w:pStyle w:val="Heading1"/>
      </w:pPr>
      <w:r>
        <w:t>Final Cumulative Scores</w:t>
      </w:r>
    </w:p>
    <w:p>
      <w:r>
        <w:t>This section shows the learner's final score compared to the average, min, and max of all learners who attempted THIS SAME GOAL.</w:t>
      </w:r>
    </w:p>
    <w:p>
      <w:pPr>
        <w:pStyle w:val="Heading2"/>
      </w:pPr>
      <w:r>
        <w:t>Final KC Scores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Score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KC11a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1.03</w:t>
            </w:r>
          </w:p>
        </w:tc>
        <w:tc>
          <w:tcPr>
            <w:tcW w:type="dxa" w:w="1728"/>
          </w:tcPr>
          <w:p>
            <w:r>
              <w:t>0.1</w:t>
            </w:r>
          </w:p>
        </w:tc>
        <w:tc>
          <w:tcPr>
            <w:tcW w:type="dxa" w:w="1728"/>
          </w:tcPr>
          <w:p>
            <w:r>
              <w:t>1.7</w:t>
            </w:r>
          </w:p>
        </w:tc>
      </w:tr>
      <w:tr>
        <w:tc>
          <w:tcPr>
            <w:tcW w:type="dxa" w:w="1728"/>
          </w:tcPr>
          <w:p>
            <w:r>
              <w:t>KC5</w:t>
            </w:r>
          </w:p>
        </w:tc>
        <w:tc>
          <w:tcPr>
            <w:tcW w:type="dxa" w:w="1728"/>
          </w:tcPr>
          <w:p>
            <w:r>
              <w:t>1.9</w:t>
            </w:r>
          </w:p>
        </w:tc>
        <w:tc>
          <w:tcPr>
            <w:tcW w:type="dxa" w:w="1728"/>
          </w:tcPr>
          <w:p>
            <w:r>
              <w:t>1.93</w:t>
            </w:r>
          </w:p>
        </w:tc>
        <w:tc>
          <w:tcPr>
            <w:tcW w:type="dxa" w:w="1728"/>
          </w:tcPr>
          <w:p>
            <w:r>
              <w:t>0.6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  <w:tr>
        <w:tc>
          <w:tcPr>
            <w:tcW w:type="dxa" w:w="1728"/>
          </w:tcPr>
          <w:p>
            <w:r>
              <w:t>KC6</w:t>
            </w:r>
          </w:p>
        </w:tc>
        <w:tc>
          <w:tcPr>
            <w:tcW w:type="dxa" w:w="1728"/>
          </w:tcPr>
          <w:p>
            <w:r>
              <w:t>1.3</w:t>
            </w:r>
          </w:p>
        </w:tc>
        <w:tc>
          <w:tcPr>
            <w:tcW w:type="dxa" w:w="1728"/>
          </w:tcPr>
          <w:p>
            <w:r>
              <w:t>0.87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1.5</w:t>
            </w:r>
          </w:p>
        </w:tc>
      </w:tr>
    </w:tbl>
    <w:p>
      <w:pPr>
        <w:pStyle w:val="Heading2"/>
      </w:pPr>
      <w:r>
        <w:t>Final Metric Values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index</w:t>
            </w:r>
          </w:p>
        </w:tc>
        <w:tc>
          <w:tcPr>
            <w:tcW w:type="dxa" w:w="1728"/>
          </w:tcPr>
          <w:p>
            <w:r>
              <w:t>Your Value</w:t>
            </w:r>
          </w:p>
        </w:tc>
        <w:tc>
          <w:tcPr>
            <w:tcW w:type="dxa" w:w="1728"/>
          </w:tcPr>
          <w:p>
            <w:r>
              <w:t>Class Avg</w:t>
            </w:r>
          </w:p>
        </w:tc>
        <w:tc>
          <w:tcPr>
            <w:tcW w:type="dxa" w:w="1728"/>
          </w:tcPr>
          <w:p>
            <w:r>
              <w:t>Class Min</w:t>
            </w:r>
          </w:p>
        </w:tc>
        <w:tc>
          <w:tcPr>
            <w:tcW w:type="dxa" w:w="1728"/>
          </w:tcPr>
          <w:p>
            <w:r>
              <w:t>Class Max</w:t>
            </w:r>
          </w:p>
        </w:tc>
      </w:tr>
      <w:tr>
        <w:tc>
          <w:tcPr>
            <w:tcW w:type="dxa" w:w="1728"/>
          </w:tcPr>
          <w:p>
            <w:r>
              <w:t>Customer Satisfaction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  <w:tc>
          <w:tcPr>
            <w:tcW w:type="dxa" w:w="1728"/>
          </w:tcPr>
          <w:p>
            <w:r>
              <w:t>20.37</w:t>
            </w:r>
          </w:p>
        </w:tc>
        <w:tc>
          <w:tcPr>
            <w:tcW w:type="dxa" w:w="1728"/>
          </w:tcPr>
          <w:p>
            <w:r>
              <w:t>11.7</w:t>
            </w:r>
          </w:p>
        </w:tc>
        <w:tc>
          <w:tcPr>
            <w:tcW w:type="dxa" w:w="1728"/>
          </w:tcPr>
          <w:p>
            <w:r>
              <w:t>25.35</w:t>
            </w:r>
          </w:p>
        </w:tc>
      </w:tr>
      <w:tr>
        <w:tc>
          <w:tcPr>
            <w:tcW w:type="dxa" w:w="1728"/>
          </w:tcPr>
          <w:p>
            <w:r>
              <w:t>Reputation</w:t>
            </w:r>
          </w:p>
        </w:tc>
        <w:tc>
          <w:tcPr>
            <w:tcW w:type="dxa" w:w="1728"/>
          </w:tcPr>
          <w:p>
            <w:r>
              <w:t>1.092</w:t>
            </w:r>
          </w:p>
        </w:tc>
        <w:tc>
          <w:tcPr>
            <w:tcW w:type="dxa" w:w="1728"/>
          </w:tcPr>
          <w:p>
            <w:r>
              <w:t>0.88</w:t>
            </w:r>
          </w:p>
        </w:tc>
        <w:tc>
          <w:tcPr>
            <w:tcW w:type="dxa" w:w="1728"/>
          </w:tcPr>
          <w:p>
            <w:r>
              <w:t>0.5</w:t>
            </w:r>
          </w:p>
        </w:tc>
        <w:tc>
          <w:tcPr>
            <w:tcW w:type="dxa" w:w="1728"/>
          </w:tcPr>
          <w:p>
            <w:r>
              <w:t>1.09</w:t>
            </w:r>
          </w:p>
        </w:tc>
      </w:tr>
      <w:tr>
        <w:tc>
          <w:tcPr>
            <w:tcW w:type="dxa" w:w="1728"/>
          </w:tcPr>
          <w:p>
            <w:r>
              <w:t>Revenue</w:t>
            </w:r>
          </w:p>
        </w:tc>
        <w:tc>
          <w:tcPr>
            <w:tcW w:type="dxa" w:w="1728"/>
          </w:tcPr>
          <w:p>
            <w:r>
              <w:t>16100</w:t>
            </w:r>
          </w:p>
        </w:tc>
        <w:tc>
          <w:tcPr>
            <w:tcW w:type="dxa" w:w="1728"/>
          </w:tcPr>
          <w:p>
            <w:r>
              <w:t>10925.0</w:t>
            </w:r>
          </w:p>
        </w:tc>
        <w:tc>
          <w:tcPr>
            <w:tcW w:type="dxa" w:w="1728"/>
          </w:tcPr>
          <w:p>
            <w:r>
              <w:t>3450.0</w:t>
            </w:r>
          </w:p>
        </w:tc>
        <w:tc>
          <w:tcPr>
            <w:tcW w:type="dxa" w:w="1728"/>
          </w:tcPr>
          <w:p>
            <w:r>
              <w:t>16100.0</w:t>
            </w:r>
          </w:p>
        </w:tc>
      </w:tr>
    </w:tbl>
    <w:p>
      <w:r>
        <w:br w:type="page"/>
      </w:r>
    </w:p>
    <w:p>
      <w:pPr>
        <w:pStyle w:val="Heading1"/>
      </w:pPr>
      <w:r>
        <w:t>Performance Over Time</w:t>
      </w:r>
    </w:p>
    <w:p>
      <w:pPr>
        <w:pStyle w:val="Heading2"/>
      </w:pPr>
      <w:r>
        <w:t>KC Scores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KC11a</w:t>
            </w:r>
          </w:p>
        </w:tc>
        <w:tc>
          <w:tcPr>
            <w:tcW w:type="dxa" w:w="2160"/>
          </w:tcPr>
          <w:p>
            <w:r>
              <w:t>KC5</w:t>
            </w:r>
          </w:p>
        </w:tc>
        <w:tc>
          <w:tcPr>
            <w:tcW w:type="dxa" w:w="2160"/>
          </w:tcPr>
          <w:p>
            <w:r>
              <w:t>KC6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-0.5</w:t>
            </w:r>
          </w:p>
        </w:tc>
        <w:tc>
          <w:tcPr>
            <w:tcW w:type="dxa" w:w="2160"/>
          </w:tcPr>
          <w:p>
            <w:r>
              <w:t>0.0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-0.2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0.6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-0.1</w:t>
            </w:r>
          </w:p>
        </w:tc>
        <w:tc>
          <w:tcPr>
            <w:tcW w:type="dxa" w:w="2160"/>
          </w:tcPr>
          <w:p>
            <w:r>
              <w:t>0.3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0.8</w:t>
            </w:r>
          </w:p>
        </w:tc>
        <w:tc>
          <w:tcPr>
            <w:tcW w:type="dxa" w:w="2160"/>
          </w:tcPr>
          <w:p>
            <w:r>
              <w:t>0.4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0.9</w:t>
            </w:r>
          </w:p>
        </w:tc>
        <w:tc>
          <w:tcPr>
            <w:tcW w:type="dxa" w:w="2160"/>
          </w:tcPr>
          <w:p>
            <w:r>
              <w:t>0.8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1.2</w:t>
            </w:r>
          </w:p>
        </w:tc>
        <w:tc>
          <w:tcPr>
            <w:tcW w:type="dxa" w:w="2160"/>
          </w:tcPr>
          <w:p>
            <w:r>
              <w:t>1.3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1.5</w:t>
            </w:r>
          </w:p>
        </w:tc>
        <w:tc>
          <w:tcPr>
            <w:tcW w:type="dxa" w:w="2160"/>
          </w:tcPr>
          <w:p>
            <w:r>
              <w:t>1.9</w:t>
            </w:r>
          </w:p>
        </w:tc>
        <w:tc>
          <w:tcPr>
            <w:tcW w:type="dxa" w:w="2160"/>
          </w:tcPr>
          <w:p>
            <w:r>
              <w:t>1.3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943600" cy="32689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Metric Values per Decision Point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Decision Point</w:t>
            </w:r>
          </w:p>
        </w:tc>
        <w:tc>
          <w:tcPr>
            <w:tcW w:type="dxa" w:w="2160"/>
          </w:tcPr>
          <w:p>
            <w:r>
              <w:t>Customer Satisfaction</w:t>
            </w:r>
          </w:p>
        </w:tc>
        <w:tc>
          <w:tcPr>
            <w:tcW w:type="dxa" w:w="2160"/>
          </w:tcPr>
          <w:p>
            <w:r>
              <w:t>Reputation</w:t>
            </w:r>
          </w:p>
        </w:tc>
        <w:tc>
          <w:tcPr>
            <w:tcW w:type="dxa" w:w="2160"/>
          </w:tcPr>
          <w:p>
            <w:r>
              <w:t>Revenue</w:t>
            </w:r>
          </w:p>
        </w:tc>
      </w:tr>
      <w:tr>
        <w:tc>
          <w:tcPr>
            <w:tcW w:type="dxa" w:w="2160"/>
          </w:tcPr>
          <w:p>
            <w:r>
              <w:t>Genesis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0.0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G6-S1-D1</w:t>
            </w:r>
          </w:p>
        </w:tc>
        <w:tc>
          <w:tcPr>
            <w:tcW w:type="dxa" w:w="2160"/>
          </w:tcPr>
          <w:p>
            <w:r>
              <w:t>2.6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2300</w:t>
            </w:r>
          </w:p>
        </w:tc>
      </w:tr>
      <w:tr>
        <w:tc>
          <w:tcPr>
            <w:tcW w:type="dxa" w:w="2160"/>
          </w:tcPr>
          <w:p>
            <w:r>
              <w:t>G6-S1-D2</w:t>
            </w:r>
          </w:p>
        </w:tc>
        <w:tc>
          <w:tcPr>
            <w:tcW w:type="dxa" w:w="2160"/>
          </w:tcPr>
          <w:p>
            <w:r>
              <w:t>4.55</w:t>
            </w:r>
          </w:p>
        </w:tc>
        <w:tc>
          <w:tcPr>
            <w:tcW w:type="dxa" w:w="2160"/>
          </w:tcPr>
          <w:p>
            <w:r>
              <w:t>0.2</w:t>
            </w:r>
          </w:p>
        </w:tc>
        <w:tc>
          <w:tcPr>
            <w:tcW w:type="dxa" w:w="2160"/>
          </w:tcPr>
          <w:p>
            <w:r>
              <w:t>4025</w:t>
            </w:r>
          </w:p>
        </w:tc>
      </w:tr>
      <w:tr>
        <w:tc>
          <w:tcPr>
            <w:tcW w:type="dxa" w:w="2160"/>
          </w:tcPr>
          <w:p>
            <w:r>
              <w:t>G6-S1-D3</w:t>
            </w:r>
          </w:p>
        </w:tc>
        <w:tc>
          <w:tcPr>
            <w:tcW w:type="dxa" w:w="2160"/>
          </w:tcPr>
          <w:p>
            <w:r>
              <w:t>8.45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  <w:tc>
          <w:tcPr>
            <w:tcW w:type="dxa" w:w="2160"/>
          </w:tcPr>
          <w:p>
            <w:r>
              <w:t>5175</w:t>
            </w:r>
          </w:p>
        </w:tc>
      </w:tr>
      <w:tr>
        <w:tc>
          <w:tcPr>
            <w:tcW w:type="dxa" w:w="2160"/>
          </w:tcPr>
          <w:p>
            <w:r>
              <w:t>G6-S2-D1</w:t>
            </w:r>
          </w:p>
        </w:tc>
        <w:tc>
          <w:tcPr>
            <w:tcW w:type="dxa" w:w="2160"/>
          </w:tcPr>
          <w:p>
            <w:r>
              <w:t>7.8</w:t>
            </w:r>
          </w:p>
        </w:tc>
        <w:tc>
          <w:tcPr>
            <w:tcW w:type="dxa" w:w="2160"/>
          </w:tcPr>
          <w:p>
            <w:r>
              <w:t>0.34</w:t>
            </w:r>
          </w:p>
        </w:tc>
        <w:tc>
          <w:tcPr>
            <w:tcW w:type="dxa" w:w="2160"/>
          </w:tcPr>
          <w:p>
            <w:r>
              <w:t>6325</w:t>
            </w:r>
          </w:p>
        </w:tc>
      </w:tr>
      <w:tr>
        <w:tc>
          <w:tcPr>
            <w:tcW w:type="dxa" w:w="2160"/>
          </w:tcPr>
          <w:p>
            <w:r>
              <w:t>G6-S2-D2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7475</w:t>
            </w:r>
          </w:p>
        </w:tc>
      </w:tr>
      <w:tr>
        <w:tc>
          <w:tcPr>
            <w:tcW w:type="dxa" w:w="2160"/>
          </w:tcPr>
          <w:p>
            <w:r>
              <w:t>G6-S2-D3</w:t>
            </w:r>
          </w:p>
        </w:tc>
        <w:tc>
          <w:tcPr>
            <w:tcW w:type="dxa" w:w="2160"/>
          </w:tcPr>
          <w:p>
            <w:r>
              <w:t>11.05</w:t>
            </w:r>
          </w:p>
        </w:tc>
        <w:tc>
          <w:tcPr>
            <w:tcW w:type="dxa" w:w="2160"/>
          </w:tcPr>
          <w:p>
            <w:r>
              <w:t>0.48</w:t>
            </w:r>
          </w:p>
        </w:tc>
        <w:tc>
          <w:tcPr>
            <w:tcW w:type="dxa" w:w="2160"/>
          </w:tcPr>
          <w:p>
            <w:r>
              <w:t>9200</w:t>
            </w:r>
          </w:p>
        </w:tc>
      </w:tr>
      <w:tr>
        <w:tc>
          <w:tcPr>
            <w:tcW w:type="dxa" w:w="2160"/>
          </w:tcPr>
          <w:p>
            <w:r>
              <w:t>G6-S3-D1</w:t>
            </w:r>
          </w:p>
        </w:tc>
        <w:tc>
          <w:tcPr>
            <w:tcW w:type="dxa" w:w="2160"/>
          </w:tcPr>
          <w:p>
            <w:r>
              <w:t>16.9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  <w:tc>
          <w:tcPr>
            <w:tcW w:type="dxa" w:w="2160"/>
          </w:tcPr>
          <w:p>
            <w:r>
              <w:t>11500</w:t>
            </w:r>
          </w:p>
        </w:tc>
      </w:tr>
      <w:tr>
        <w:tc>
          <w:tcPr>
            <w:tcW w:type="dxa" w:w="2160"/>
          </w:tcPr>
          <w:p>
            <w:r>
              <w:t>G6-S3-D2</w:t>
            </w:r>
          </w:p>
        </w:tc>
        <w:tc>
          <w:tcPr>
            <w:tcW w:type="dxa" w:w="2160"/>
          </w:tcPr>
          <w:p>
            <w:r>
              <w:t>19.5</w:t>
            </w:r>
          </w:p>
        </w:tc>
        <w:tc>
          <w:tcPr>
            <w:tcW w:type="dxa" w:w="2160"/>
          </w:tcPr>
          <w:p>
            <w:r>
              <w:t>0.84</w:t>
            </w:r>
          </w:p>
        </w:tc>
        <w:tc>
          <w:tcPr>
            <w:tcW w:type="dxa" w:w="2160"/>
          </w:tcPr>
          <w:p>
            <w:r>
              <w:t>14375</w:t>
            </w:r>
          </w:p>
        </w:tc>
      </w:tr>
      <w:tr>
        <w:tc>
          <w:tcPr>
            <w:tcW w:type="dxa" w:w="2160"/>
          </w:tcPr>
          <w:p>
            <w:r>
              <w:t>G6-S3-D3</w:t>
            </w:r>
          </w:p>
        </w:tc>
        <w:tc>
          <w:tcPr>
            <w:tcW w:type="dxa" w:w="2160"/>
          </w:tcPr>
          <w:p>
            <w:r>
              <w:t>25.35</w:t>
            </w:r>
          </w:p>
        </w:tc>
        <w:tc>
          <w:tcPr>
            <w:tcW w:type="dxa" w:w="2160"/>
          </w:tcPr>
          <w:p>
            <w:r>
              <w:t>1.09</w:t>
            </w:r>
          </w:p>
        </w:tc>
        <w:tc>
          <w:tcPr>
            <w:tcW w:type="dxa" w:w="2160"/>
          </w:tcPr>
          <w:p>
            <w:r>
              <w:t>16100</w:t>
            </w:r>
          </w:p>
        </w:tc>
      </w:tr>
    </w:tbl>
    <w:p>
      <w:pPr>
        <w:pStyle w:val="Heading3"/>
      </w:pPr>
      <w:r>
        <w:t>Revenue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Reputation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High-Scale Metrics Progression</w:t>
      </w:r>
    </w:p>
    <w:p>
      <w:r>
        <w:drawing>
          <wp:inline xmlns:a="http://schemas.openxmlformats.org/drawingml/2006/main" xmlns:pic="http://schemas.openxmlformats.org/drawingml/2006/picture">
            <wp:extent cx="5943600" cy="326898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9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