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BT3+BT6</w:t>
      </w:r>
    </w:p>
    <w:p>
      <w:r>
        <w:t>Report generated on: 2025-07-07 22:28:41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2.1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-0.5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1.064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18975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G7-S1-D1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G7-S1-D2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G7-S3-D1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</w:tr>
      <w:tr>
        <w:tc>
          <w:tcPr>
            <w:tcW w:type="dxa" w:w="1234"/>
          </w:tcPr>
          <w:p>
            <w:r>
              <w:t>G7-S3-D2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</w:tr>
      <w:tr>
        <w:tc>
          <w:tcPr>
            <w:tcW w:type="dxa" w:w="1234"/>
          </w:tcPr>
          <w:p>
            <w:r>
              <w:t>G7-S3-D3</w:t>
            </w:r>
          </w:p>
        </w:tc>
        <w:tc>
          <w:tcPr>
            <w:tcW w:type="dxa" w:w="1234"/>
          </w:tcPr>
          <w:p>
            <w:r>
              <w:t>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0.42000000000000004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0.7000000000000001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0.9800000000000001</w:t>
            </w:r>
          </w:p>
        </w:tc>
        <w:tc>
          <w:tcPr>
            <w:tcW w:type="dxa" w:w="2160"/>
          </w:tcPr>
          <w:p>
            <w:r>
              <w:t>18400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24.7</w:t>
            </w:r>
          </w:p>
        </w:tc>
        <w:tc>
          <w:tcPr>
            <w:tcW w:type="dxa" w:w="2160"/>
          </w:tcPr>
          <w:p>
            <w:r>
              <w:t>1.064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