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P4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Reputation: 2.25 (Peer Min: 0.90, Avg: 2.35, Max: 3.45)</w:t>
      </w:r>
    </w:p>
    <w:p>
      <w:pPr>
        <w:pStyle w:val="ListBullet"/>
      </w:pPr>
      <w:r>
        <w:t>Customer Satisfaction: 42.00 (Peer Min: 24.00, Avg: 37.00, Max: 48.00)</w:t>
      </w:r>
    </w:p>
    <w:p>
      <w:pPr>
        <w:pStyle w:val="ListBullet"/>
      </w:pPr>
      <w:r>
        <w:t>Revenue: 9450.00 (Peer Min: 4950.00, Avg: 6840.00, Max: 9900.00)</w:t>
      </w:r>
    </w:p>
    <w:p>
      <w:pPr>
        <w:pStyle w:val="ListBullet"/>
      </w:pPr>
      <w:r>
        <w:t>Risk-Taking: 12.00 (Peer Min: 2.00, Avg: 6.00, Max: 12.00)</w:t>
      </w:r>
    </w:p>
    <w:p>
      <w:r>
        <w:rPr>
          <w:b/>
        </w:rPr>
        <w:t>Key Strengths (Top KCs):</w:t>
      </w:r>
    </w:p>
    <w:p>
      <w:pPr>
        <w:pStyle w:val="ListBullet"/>
      </w:pPr>
      <w:r>
        <w:t>Identify customer segment - Final Score: 7</w:t>
      </w:r>
    </w:p>
    <w:p>
      <w:pPr>
        <w:pStyle w:val="ListBullet"/>
      </w:pPr>
      <w:r>
        <w:t>Recognize how trust and reputation grow business - Final Score: 6</w:t>
      </w:r>
    </w:p>
    <w:p>
      <w:pPr>
        <w:pStyle w:val="ListBullet"/>
      </w:pPr>
      <w:r>
        <w:t>Calculate revenue, costs, and profit - Final Score: 4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Balance workforce and demand - Final Score: 2</w:t>
      </w:r>
    </w:p>
    <w:p>
      <w:pPr>
        <w:pStyle w:val="ListBullet"/>
      </w:pPr>
      <w:r>
        <w:t>Apply pricing strategies - Final Score: 2</w:t>
      </w:r>
    </w:p>
    <w:p>
      <w:pPr>
        <w:pStyle w:val="ListBullet"/>
      </w:pPr>
      <w:r>
        <w:t>Delegate to focus on high-value work - Final Score: 2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Break Even and Build Trust</w:t>
      </w:r>
    </w:p>
    <w:p>
      <w:r>
        <w:t>Status: failed_needs_retry, Attempts: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  <w:br/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  <w:br/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Identify customer segment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Calculate revenue, costs, and profit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Recognize how trust and reputation grow business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P4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