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sz w:val="28"/>
          <w:szCs w:val="28"/>
        </w:rPr>
        <w:t xml:space="preserve">UNIVERSIDAD ANDRÉS BELLO</w:t>
      </w:r>
    </w:p>
    <w:p>
      <w:pPr>
        <w:spacing w:after="100"/>
        <w:jc w:val="center"/>
      </w:pPr>
      <w:r>
        <w:rPr>
          <w:rFonts w:ascii="Calibri" w:cs="Calibri" w:eastAsia="Calibri" w:hAnsi="Calibri"/>
          <w:sz w:val="22"/>
          <w:szCs w:val="22"/>
        </w:rPr>
        <w:t xml:space="preserve">Faculty of Engineering · CINF104 — Machine Learning</w:t>
      </w:r>
    </w:p>
    <w:p>
      <w:pPr>
        <w:spacing w:after="120" w:before="600"/>
        <w:jc w:val="center"/>
      </w:pPr>
      <w:r>
        <w:rPr>
          <w:rFonts w:ascii="Calibri" w:cs="Calibri" w:eastAsia="Calibri" w:hAnsi="Calibri"/>
          <w:b/>
          <w:bCs/>
          <w:color w:val="C8500F"/>
          <w:sz w:val="40"/>
          <w:szCs w:val="40"/>
        </w:rPr>
        <w:t xml:space="preserve">CHATBOT TESTING REPORT</w:t>
      </w:r>
    </w:p>
    <w:p>
      <w:pPr>
        <w:spacing w:after="100"/>
        <w:jc w:val="center"/>
      </w:pPr>
      <w:r>
        <w:rPr>
          <w:rFonts w:ascii="Calibri" w:cs="Calibri" w:eastAsia="Calibri" w:hAnsi="Calibri"/>
          <w:i/>
          <w:iCs/>
          <w:sz w:val="26"/>
          <w:szCs w:val="26"/>
        </w:rPr>
        <w:t xml:space="preserve">Project 1 · Phase 2</w:t>
      </w:r>
    </w:p>
    <w:p>
      <w:pPr>
        <w:spacing w:after="1200"/>
        <w:jc w:val="center"/>
      </w:pPr>
      <w:r>
        <w:rPr>
          <w:rFonts w:ascii="Calibri" w:cs="Calibri" w:eastAsia="Calibri" w:hAnsi="Calibri"/>
          <w:sz w:val="22"/>
          <w:szCs w:val="22"/>
        </w:rPr>
        <w:t xml:space="preserve">Domain: Basic Automotive Mechanics and Preventive Vehicle Maintenance</w:t>
      </w:r>
    </w:p>
    <w:p>
      <w:pPr>
        <w:spacing w:after="80"/>
        <w:jc w:val="center"/>
      </w:pPr>
      <w:r>
        <w:rPr>
          <w:b/>
          <w:bCs/>
          <w:sz w:val="22"/>
          <w:szCs w:val="22"/>
        </w:rPr>
        <w:t xml:space="preserve">Authors</w:t>
      </w:r>
    </w:p>
    <w:p>
      <w:pPr>
        <w:jc w:val="center"/>
      </w:pPr>
      <w:r>
        <w:rPr>
          <w:sz w:val="22"/>
          <w:szCs w:val="22"/>
        </w:rPr>
        <w:t xml:space="preserve">Eduardo Zepeda · Iosef Cornejo · Vicente Díaz</w:t>
      </w:r>
    </w:p>
    <w:p>
      <w:pPr>
        <w:spacing w:after="600"/>
        <w:jc w:val="center"/>
      </w:pPr>
      <w:r>
        <w:rPr>
          <w:sz w:val="22"/>
          <w:szCs w:val="22"/>
        </w:rPr>
        <w:t xml:space="preserve">Fernando Rojas · Fernando Chavez</w:t>
      </w:r>
    </w:p>
    <w:p>
      <w:pPr>
        <w:jc w:val="center"/>
      </w:pPr>
      <w:r>
        <w:rPr>
          <w:sz w:val="22"/>
          <w:szCs w:val="22"/>
        </w:rPr>
        <w:t xml:space="preserve">Instructor: Pablo Schwarzenberg · NRC 7918</w:t>
      </w:r>
    </w:p>
    <w:p>
      <w:pPr>
        <w:spacing w:before="200"/>
        <w:jc w:val="center"/>
      </w:pPr>
      <w:r>
        <w:rPr>
          <w:sz w:val="22"/>
          <w:szCs w:val="22"/>
        </w:rPr>
        <w:t xml:space="preserve">Santiago, Chile · May 2026</w:t>
      </w:r>
    </w:p>
    <w:p>
      <w:r>
        <w:br w:type="page"/>
      </w:r>
    </w:p>
    <w:p>
      <w:pPr>
        <w:pStyle w:val="Heading1"/>
        <w:spacing w:after="200" w:before="360"/>
      </w:pPr>
      <w:r>
        <w:rPr>
          <w:rFonts w:ascii="Calibri" w:cs="Calibri" w:eastAsia="Calibri" w:hAnsi="Calibri"/>
          <w:b/>
          <w:bCs/>
          <w:color w:val="C8500F"/>
          <w:sz w:val="32"/>
          <w:szCs w:val="32"/>
        </w:rPr>
        <w:t xml:space="preserve">1. Introduction</w:t>
      </w:r>
    </w:p>
    <w:p>
      <w:pPr>
        <w:spacing w:after="140" w:before="0" w:line="280"/>
        <w:jc w:val="both"/>
      </w:pPr>
      <w:r>
        <w:rPr>
          <w:sz w:val="22"/>
          <w:szCs w:val="22"/>
        </w:rPr>
        <w:t xml:space="preserve">This report documents the testing process, evaluation, and critical analysis of the conversational chatbot developed for Phase 2 of the CINF104 — Machine Learning course project. The system is a domain-specific assistant focused on basic automotive mechanics and preventive vehicle maintenance, built upon a Retrieval-Augmented Generation (RAG) architecture that combines a locally hosted open-source Large Language Model (Llama 3.1 8B served through Ollama) with a vector knowledge base assembled from a curated corpus of automotive technical documentation.</w:t>
      </w:r>
    </w:p>
    <w:p>
      <w:pPr>
        <w:spacing w:after="140" w:before="0" w:line="280"/>
        <w:ind w:firstLine="360"/>
        <w:jc w:val="both"/>
      </w:pPr>
      <w:r>
        <w:rPr>
          <w:sz w:val="22"/>
          <w:szCs w:val="22"/>
        </w:rPr>
        <w:t xml:space="preserve">The purpose of this document is to systematically present the functional tests carried out using a fixed protocol of ten domain-specific validation questions, to analyze the quality and limitations of the generated responses, and to propose concrete improvements for future iterations of the system. This work fulfills the requirement defined in the Phase 2 statement: "a chatbot performance analysis recorded on video with a set of 10 domain questions and the responses generated by the model, along with a chatbot testing report including its limitations and proposals for improvement."</w:t>
      </w:r>
    </w:p>
    <w:p>
      <w:pPr>
        <w:pStyle w:val="Heading1"/>
        <w:spacing w:after="200" w:before="360"/>
      </w:pPr>
      <w:r>
        <w:rPr>
          <w:rFonts w:ascii="Calibri" w:cs="Calibri" w:eastAsia="Calibri" w:hAnsi="Calibri"/>
          <w:b/>
          <w:bCs/>
          <w:color w:val="C8500F"/>
          <w:sz w:val="32"/>
          <w:szCs w:val="32"/>
        </w:rPr>
        <w:t xml:space="preserve">2. Test Environment Configuration</w:t>
      </w:r>
    </w:p>
    <w:p>
      <w:pPr>
        <w:pStyle w:val="Heading2"/>
        <w:spacing w:after="160" w:before="280"/>
      </w:pPr>
      <w:r>
        <w:rPr>
          <w:rFonts w:ascii="Calibri" w:cs="Calibri" w:eastAsia="Calibri" w:hAnsi="Calibri"/>
          <w:b/>
          <w:bCs/>
          <w:color w:val="333333"/>
          <w:sz w:val="26"/>
          <w:szCs w:val="26"/>
        </w:rPr>
        <w:t xml:space="preserve">2.1 Hardware</w:t>
      </w:r>
    </w:p>
    <w:p>
      <w:pPr>
        <w:pStyle w:val="ListParagraph"/>
        <w:numPr>
          <w:ilvl w:val="0"/>
          <w:numId w:val="2"/>
        </w:numPr>
        <w:spacing w:after="80" w:line="280"/>
      </w:pPr>
      <w:r>
        <w:rPr>
          <w:sz w:val="22"/>
          <w:szCs w:val="22"/>
        </w:rPr>
        <w:t xml:space="preserve">GPU: NVIDIA GeForce GTX 1060 6 GB</w:t>
      </w:r>
    </w:p>
    <w:p>
      <w:pPr>
        <w:pStyle w:val="ListParagraph"/>
        <w:numPr>
          <w:ilvl w:val="0"/>
          <w:numId w:val="2"/>
        </w:numPr>
        <w:spacing w:after="80" w:line="280"/>
      </w:pPr>
      <w:r>
        <w:rPr>
          <w:sz w:val="22"/>
          <w:szCs w:val="22"/>
        </w:rPr>
        <w:t xml:space="preserve">CPU: Intel Core i7-4790 @ 3.60 GHz</w:t>
      </w:r>
    </w:p>
    <w:p>
      <w:pPr>
        <w:pStyle w:val="ListParagraph"/>
        <w:numPr>
          <w:ilvl w:val="0"/>
          <w:numId w:val="2"/>
        </w:numPr>
        <w:spacing w:after="80" w:line="280"/>
      </w:pPr>
      <w:r>
        <w:rPr>
          <w:sz w:val="22"/>
          <w:szCs w:val="22"/>
        </w:rPr>
        <w:t xml:space="preserve">RAM: 16 GB DDR3</w:t>
      </w:r>
    </w:p>
    <w:p>
      <w:pPr>
        <w:pStyle w:val="ListParagraph"/>
        <w:numPr>
          <w:ilvl w:val="0"/>
          <w:numId w:val="2"/>
        </w:numPr>
        <w:spacing w:after="80" w:line="280"/>
      </w:pPr>
      <w:r>
        <w:rPr>
          <w:sz w:val="22"/>
          <w:szCs w:val="22"/>
        </w:rPr>
        <w:t xml:space="preserve">Operating system: Windows with Git Bash terminal</w:t>
      </w:r>
    </w:p>
    <w:p>
      <w:pPr>
        <w:pStyle w:val="Heading2"/>
        <w:spacing w:after="160" w:before="280"/>
      </w:pPr>
      <w:r>
        <w:rPr>
          <w:rFonts w:ascii="Calibri" w:cs="Calibri" w:eastAsia="Calibri" w:hAnsi="Calibri"/>
          <w:b/>
          <w:bCs/>
          <w:color w:val="333333"/>
          <w:sz w:val="26"/>
          <w:szCs w:val="26"/>
        </w:rPr>
        <w:t xml:space="preserve">2.2 Software stack</w:t>
      </w:r>
    </w:p>
    <w:p>
      <w:pPr>
        <w:pStyle w:val="ListParagraph"/>
        <w:numPr>
          <w:ilvl w:val="0"/>
          <w:numId w:val="2"/>
        </w:numPr>
        <w:spacing w:after="80" w:line="280"/>
      </w:pPr>
      <w:r>
        <w:rPr>
          <w:sz w:val="22"/>
          <w:szCs w:val="22"/>
        </w:rPr>
        <w:t xml:space="preserve">LLM: Llama 3.1 8B Instruct (Q4_K_M quantization) served via Ollama 0.x</w:t>
      </w:r>
    </w:p>
    <w:p>
      <w:pPr>
        <w:pStyle w:val="ListParagraph"/>
        <w:numPr>
          <w:ilvl w:val="0"/>
          <w:numId w:val="2"/>
        </w:numPr>
        <w:spacing w:after="80" w:line="280"/>
      </w:pPr>
      <w:r>
        <w:rPr>
          <w:sz w:val="22"/>
          <w:szCs w:val="22"/>
        </w:rPr>
        <w:t xml:space="preserve">Embeddings: paraphrase-multilingual-MiniLM-L12-v2 (sentence-transformers)</w:t>
      </w:r>
    </w:p>
    <w:p>
      <w:pPr>
        <w:pStyle w:val="ListParagraph"/>
        <w:numPr>
          <w:ilvl w:val="0"/>
          <w:numId w:val="2"/>
        </w:numPr>
        <w:spacing w:after="80" w:line="280"/>
      </w:pPr>
      <w:r>
        <w:rPr>
          <w:sz w:val="22"/>
          <w:szCs w:val="22"/>
        </w:rPr>
        <w:t xml:space="preserve">Vector store: ChromaDB 0.4.24 with persistent local storage and cosine similarity</w:t>
      </w:r>
    </w:p>
    <w:p>
      <w:pPr>
        <w:pStyle w:val="ListParagraph"/>
        <w:numPr>
          <w:ilvl w:val="0"/>
          <w:numId w:val="2"/>
        </w:numPr>
        <w:spacing w:after="80" w:line="280"/>
      </w:pPr>
      <w:r>
        <w:rPr>
          <w:sz w:val="22"/>
          <w:szCs w:val="22"/>
        </w:rPr>
        <w:t xml:space="preserve">Backend: Python 3.12 + FastAPI + Uvicorn</w:t>
      </w:r>
    </w:p>
    <w:p>
      <w:pPr>
        <w:pStyle w:val="ListParagraph"/>
        <w:numPr>
          <w:ilvl w:val="0"/>
          <w:numId w:val="2"/>
        </w:numPr>
        <w:spacing w:after="80" w:line="280"/>
      </w:pPr>
      <w:r>
        <w:rPr>
          <w:sz w:val="22"/>
          <w:szCs w:val="22"/>
        </w:rPr>
        <w:t xml:space="preserve">Frontend: HTML5 + CSS3 + vanilla JavaScript</w:t>
      </w:r>
    </w:p>
    <w:p>
      <w:pPr>
        <w:pStyle w:val="Heading2"/>
        <w:spacing w:after="160" w:before="280"/>
      </w:pPr>
      <w:r>
        <w:rPr>
          <w:rFonts w:ascii="Calibri" w:cs="Calibri" w:eastAsia="Calibri" w:hAnsi="Calibri"/>
          <w:b/>
          <w:bCs/>
          <w:color w:val="333333"/>
          <w:sz w:val="26"/>
          <w:szCs w:val="26"/>
        </w:rPr>
        <w:t xml:space="preserve">2.3 Knowledge corpus</w:t>
      </w:r>
    </w:p>
    <w:p>
      <w:pPr>
        <w:spacing w:after="140" w:before="0" w:line="280"/>
        <w:jc w:val="both"/>
      </w:pPr>
      <w:r>
        <w:rPr>
          <w:sz w:val="22"/>
          <w:szCs w:val="22"/>
        </w:rPr>
        <w:t xml:space="preserve">The corpus consists of five technical documents in Spanish covering the five fundamental automotive systems addressed by the validation protocol: engine lubrication, tires (including alignment and balancing), brakes, cooling system, and electrical system (battery and alternator). These documents were authored specifically for this project, distilling information from official manufacturer manuals, component-supplier technical guides, and Chilean preventive maintenance protocols. After ingestion, the corpus was segmented into chunks of approximately 900 characters with a 200-character overlap, producing a total of approximately 22 vectorized fragments indexed in ChromaDB.</w:t>
      </w:r>
    </w:p>
    <w:p>
      <w:pPr>
        <w:pStyle w:val="Heading2"/>
        <w:spacing w:after="160" w:before="280"/>
      </w:pPr>
      <w:r>
        <w:rPr>
          <w:rFonts w:ascii="Calibri" w:cs="Calibri" w:eastAsia="Calibri" w:hAnsi="Calibri"/>
          <w:b/>
          <w:bCs/>
          <w:color w:val="333333"/>
          <w:sz w:val="26"/>
          <w:szCs w:val="26"/>
        </w:rPr>
        <w:t xml:space="preserve">2.4 Final RAG parameters</w:t>
      </w:r>
    </w:p>
    <w:p>
      <w:pPr>
        <w:pStyle w:val="ListParagraph"/>
        <w:numPr>
          <w:ilvl w:val="0"/>
          <w:numId w:val="2"/>
        </w:numPr>
        <w:spacing w:after="80" w:line="280"/>
      </w:pPr>
      <w:r>
        <w:rPr>
          <w:sz w:val="22"/>
          <w:szCs w:val="22"/>
        </w:rPr>
        <w:t xml:space="preserve">Top-K retrieval: 6 chunks per query</w:t>
      </w:r>
    </w:p>
    <w:p>
      <w:pPr>
        <w:pStyle w:val="ListParagraph"/>
        <w:numPr>
          <w:ilvl w:val="0"/>
          <w:numId w:val="2"/>
        </w:numPr>
        <w:spacing w:after="80" w:line="280"/>
      </w:pPr>
      <w:r>
        <w:rPr>
          <w:sz w:val="22"/>
          <w:szCs w:val="22"/>
        </w:rPr>
        <w:t xml:space="preserve">Maximum cosine distance threshold: 1.5 (relevance filter)</w:t>
      </w:r>
    </w:p>
    <w:p>
      <w:pPr>
        <w:pStyle w:val="ListParagraph"/>
        <w:numPr>
          <w:ilvl w:val="0"/>
          <w:numId w:val="2"/>
        </w:numPr>
        <w:spacing w:after="80" w:line="280"/>
      </w:pPr>
      <w:r>
        <w:rPr>
          <w:sz w:val="22"/>
          <w:szCs w:val="22"/>
        </w:rPr>
        <w:t xml:space="preserve">LLM temperature: 0.15 (low, prioritizing factual fidelity over creativity)</w:t>
      </w:r>
    </w:p>
    <w:p>
      <w:pPr>
        <w:pStyle w:val="ListParagraph"/>
        <w:numPr>
          <w:ilvl w:val="0"/>
          <w:numId w:val="2"/>
        </w:numPr>
        <w:spacing w:after="80" w:line="280"/>
      </w:pPr>
      <w:r>
        <w:rPr>
          <w:sz w:val="22"/>
          <w:szCs w:val="22"/>
        </w:rPr>
        <w:t xml:space="preserve">LLM top-p: 0.9</w:t>
      </w:r>
    </w:p>
    <w:p>
      <w:pPr>
        <w:pStyle w:val="ListParagraph"/>
        <w:numPr>
          <w:ilvl w:val="0"/>
          <w:numId w:val="2"/>
        </w:numPr>
        <w:spacing w:after="80" w:line="280"/>
      </w:pPr>
      <w:r>
        <w:rPr>
          <w:sz w:val="22"/>
          <w:szCs w:val="22"/>
        </w:rPr>
        <w:t xml:space="preserve">Maximum response tokens: 800</w:t>
      </w:r>
    </w:p>
    <w:p>
      <w:pPr>
        <w:pStyle w:val="Heading1"/>
        <w:spacing w:after="200" w:before="360"/>
      </w:pPr>
      <w:r>
        <w:rPr>
          <w:rFonts w:ascii="Calibri" w:cs="Calibri" w:eastAsia="Calibri" w:hAnsi="Calibri"/>
          <w:b/>
          <w:bCs/>
          <w:color w:val="C8500F"/>
          <w:sz w:val="32"/>
          <w:szCs w:val="32"/>
        </w:rPr>
        <w:t xml:space="preserve">3. Testing Methodology</w:t>
      </w:r>
    </w:p>
    <w:p>
      <w:pPr>
        <w:spacing w:after="140" w:before="0" w:line="280"/>
        <w:jc w:val="both"/>
      </w:pPr>
      <w:r>
        <w:rPr>
          <w:sz w:val="22"/>
          <w:szCs w:val="22"/>
        </w:rPr>
        <w:t xml:space="preserve">Each of the ten validation questions defined in Section 9.d of the Project Progress Report was submitted to the chatbot through its web interface in independent sessions, with no carry-over conversational context between queries. For each response, the team recorded the total round-trip time elapsed between question submission and complete response delivery, the source documents cited by the RAG component, and the textual content generated by the model.</w:t>
      </w:r>
    </w:p>
    <w:p>
      <w:pPr>
        <w:spacing w:after="140" w:before="0" w:line="280"/>
        <w:ind w:firstLine="360"/>
        <w:jc w:val="both"/>
      </w:pPr>
      <w:r>
        <w:rPr>
          <w:sz w:val="22"/>
          <w:szCs w:val="22"/>
        </w:rPr>
        <w:t xml:space="preserve">Subsequently, each response was evaluated along four dimensions — factual correctness, completeness, clarity, and context adherence — on a 0-to-2 scale per dimension, yielding a maximum of 8 points per question and 80 points for the full set. Evaluation was performed by consensus among the five team members, contrasting each chatbot response against the ground-truth content present in the source corpus.</w:t>
      </w:r>
    </w:p>
    <w:p>
      <w:pPr>
        <w:spacing w:after="140" w:before="0" w:line="280"/>
        <w:ind w:firstLine="360"/>
        <w:jc w:val="both"/>
      </w:pPr>
      <w:r>
        <w:rPr>
          <w:sz w:val="22"/>
          <w:szCs w:val="22"/>
        </w:rPr>
        <w:t xml:space="preserve">To establish a comparison baseline and validate the impact of prompt engineering and parameter tuning, the full ten-question protocol was executed twice: an initial run with default parameters, and a final run after applying targeted refinements to the system prompt and retrieval configuration. Both runs are reported in this document.</w:t>
      </w:r>
    </w:p>
    <w:p>
      <w:pPr>
        <w:pStyle w:val="Heading2"/>
        <w:spacing w:after="160" w:before="280"/>
      </w:pPr>
      <w:r>
        <w:rPr>
          <w:rFonts w:ascii="Calibri" w:cs="Calibri" w:eastAsia="Calibri" w:hAnsi="Calibri"/>
          <w:b/>
          <w:bCs/>
          <w:color w:val="333333"/>
          <w:sz w:val="26"/>
          <w:szCs w:val="26"/>
        </w:rPr>
        <w:t xml:space="preserve">3.1 Evaluation criteria</w:t>
      </w:r>
    </w:p>
    <w:p>
      <w:pPr>
        <w:pStyle w:val="ListParagraph"/>
        <w:numPr>
          <w:ilvl w:val="0"/>
          <w:numId w:val="2"/>
        </w:numPr>
        <w:spacing w:after="80" w:line="280"/>
      </w:pPr>
      <w:r>
        <w:rPr>
          <w:b/>
          <w:bCs/>
          <w:sz w:val="22"/>
          <w:szCs w:val="22"/>
        </w:rPr>
        <w:t xml:space="preserve">Factual correctness: do numerical and technical statements match the corpus content?</w:t>
      </w:r>
    </w:p>
    <w:p>
      <w:pPr>
        <w:spacing w:after="140" w:before="0" w:line="280"/>
        <w:jc w:val="both"/>
      </w:pPr>
      <w:r>
        <w:rPr>
          <w:sz w:val="22"/>
          <w:szCs w:val="22"/>
        </w:rPr>
        <w:t xml:space="preserve">Specifically, every figure cited (kilometers, voltages, pressures, time intervals) was verified against the corresponding source chunk.</w:t>
      </w:r>
    </w:p>
    <w:p>
      <w:pPr>
        <w:pStyle w:val="ListParagraph"/>
        <w:numPr>
          <w:ilvl w:val="0"/>
          <w:numId w:val="2"/>
        </w:numPr>
        <w:spacing w:after="80" w:line="280"/>
      </w:pPr>
      <w:r>
        <w:rPr>
          <w:b/>
          <w:bCs/>
          <w:sz w:val="22"/>
          <w:szCs w:val="22"/>
        </w:rPr>
        <w:t xml:space="preserve">Completeness: does the response cover the main aspects required by the question?</w:t>
      </w:r>
    </w:p>
    <w:p>
      <w:pPr>
        <w:spacing w:after="140" w:before="0" w:line="280"/>
        <w:jc w:val="both"/>
      </w:pPr>
      <w:r>
        <w:rPr>
          <w:sz w:val="22"/>
          <w:szCs w:val="22"/>
        </w:rPr>
        <w:t xml:space="preserve">When the corpus contained an enumerated list (symptoms, steps, causes, functions), the response was expected to surface all relevant items, not merely the first few.</w:t>
      </w:r>
    </w:p>
    <w:p>
      <w:pPr>
        <w:pStyle w:val="ListParagraph"/>
        <w:numPr>
          <w:ilvl w:val="0"/>
          <w:numId w:val="2"/>
        </w:numPr>
        <w:spacing w:after="80" w:line="280"/>
      </w:pPr>
      <w:r>
        <w:rPr>
          <w:b/>
          <w:bCs/>
          <w:sz w:val="22"/>
          <w:szCs w:val="22"/>
        </w:rPr>
        <w:t xml:space="preserve">Clarity: is the language accessible to a non-expert end user?</w:t>
      </w:r>
    </w:p>
    <w:p>
      <w:pPr>
        <w:spacing w:after="140" w:before="0" w:line="280"/>
        <w:jc w:val="both"/>
      </w:pPr>
      <w:r>
        <w:rPr>
          <w:sz w:val="22"/>
          <w:szCs w:val="22"/>
        </w:rPr>
        <w:t xml:space="preserve">Excessive jargon without explanation was penalized, as was overly technical phrasing.</w:t>
      </w:r>
    </w:p>
    <w:p>
      <w:pPr>
        <w:pStyle w:val="ListParagraph"/>
        <w:numPr>
          <w:ilvl w:val="0"/>
          <w:numId w:val="2"/>
        </w:numPr>
        <w:spacing w:after="80" w:line="280"/>
      </w:pPr>
      <w:r>
        <w:rPr>
          <w:b/>
          <w:bCs/>
          <w:sz w:val="22"/>
          <w:szCs w:val="22"/>
        </w:rPr>
        <w:t xml:space="preserve">Context adherence: is the response strictly grounded in the retrieved corpus?</w:t>
      </w:r>
    </w:p>
    <w:p>
      <w:pPr>
        <w:spacing w:after="140" w:before="0" w:line="280"/>
        <w:jc w:val="both"/>
      </w:pPr>
      <w:r>
        <w:rPr>
          <w:sz w:val="22"/>
          <w:szCs w:val="22"/>
        </w:rPr>
        <w:t xml:space="preserve">Any introduction of facts not present in the retrieved chunks (hallucinations) was penalized severely, as faithful grounding is the central guarantee of a RAG architecture.</w:t>
      </w:r>
    </w:p>
    <w:p>
      <w:pPr>
        <w:pStyle w:val="Heading1"/>
        <w:spacing w:after="200" w:before="360"/>
      </w:pPr>
      <w:r>
        <w:rPr>
          <w:rFonts w:ascii="Calibri" w:cs="Calibri" w:eastAsia="Calibri" w:hAnsi="Calibri"/>
          <w:b/>
          <w:bCs/>
          <w:color w:val="C8500F"/>
          <w:sz w:val="32"/>
          <w:szCs w:val="32"/>
        </w:rPr>
        <w:t xml:space="preserve">4. Results</w:t>
      </w:r>
    </w:p>
    <w:p>
      <w:pPr>
        <w:pStyle w:val="Heading2"/>
        <w:spacing w:after="160" w:before="280"/>
      </w:pPr>
      <w:r>
        <w:rPr>
          <w:rFonts w:ascii="Calibri" w:cs="Calibri" w:eastAsia="Calibri" w:hAnsi="Calibri"/>
          <w:b/>
          <w:bCs/>
          <w:color w:val="333333"/>
          <w:sz w:val="26"/>
          <w:szCs w:val="26"/>
        </w:rPr>
        <w:t xml:space="preserve">4.1 Per-question results</w:t>
      </w:r>
    </w:p>
    <w:p>
      <w:pPr>
        <w:spacing w:after="140" w:before="0" w:line="280"/>
        <w:jc w:val="both"/>
      </w:pPr>
      <w:r>
        <w:rPr>
          <w:sz w:val="22"/>
          <w:szCs w:val="22"/>
        </w:rPr>
        <w:t xml:space="preserve">The following table summarizes the response time, total score, and the most relevant qualitative observation for each of the ten validation questions, after applying the final tuned configuration described in Section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1200"/>
        <w:gridCol w:w="1300"/>
        <w:gridCol w:w="2760"/>
      </w:tblGrid>
      <w:tr>
        <w:trPr>
          <w:tblHeader/>
        </w:trPr>
        <w:tc>
          <w:tcPr>
            <w:tcW w:type="dxa" w:w="600"/>
            <w:tcBorders>
              <w:top w:val="single" w:color="B0B0B0" w:sz="4"/>
              <w:left w:val="single" w:color="B0B0B0" w:sz="4"/>
              <w:bottom w:val="single" w:color="B0B0B0" w:sz="4"/>
              <w:right w:val="single" w:color="B0B0B0" w:sz="4"/>
            </w:tcBorders>
            <w:shd w:fill="F2D9CB" w:val="clear"/>
            <w:tcMar>
              <w:top w:type="dxa" w:w="80"/>
              <w:left w:type="dxa" w:w="120"/>
              <w:bottom w:type="dxa" w:w="80"/>
              <w:right w:type="dxa" w:w="120"/>
            </w:tcMar>
          </w:tcPr>
          <w:p>
            <w:pPr>
              <w:jc w:val="center"/>
            </w:pPr>
            <w:r>
              <w:rPr>
                <w:b/>
                <w:bCs/>
                <w:sz w:val="20"/>
                <w:szCs w:val="20"/>
              </w:rPr>
              <w:t xml:space="preserve">#</w:t>
            </w:r>
          </w:p>
        </w:tc>
        <w:tc>
          <w:tcPr>
            <w:tcW w:type="dxa" w:w="3500"/>
            <w:tcBorders>
              <w:top w:val="single" w:color="B0B0B0" w:sz="4"/>
              <w:left w:val="single" w:color="B0B0B0" w:sz="4"/>
              <w:bottom w:val="single" w:color="B0B0B0" w:sz="4"/>
              <w:right w:val="single" w:color="B0B0B0" w:sz="4"/>
            </w:tcBorders>
            <w:shd w:fill="F2D9CB" w:val="clear"/>
            <w:tcMar>
              <w:top w:type="dxa" w:w="80"/>
              <w:left w:type="dxa" w:w="120"/>
              <w:bottom w:type="dxa" w:w="80"/>
              <w:right w:type="dxa" w:w="120"/>
            </w:tcMar>
          </w:tcPr>
          <w:p>
            <w:pPr>
              <w:jc w:val="center"/>
            </w:pPr>
            <w:r>
              <w:rPr>
                <w:b/>
                <w:bCs/>
                <w:sz w:val="20"/>
                <w:szCs w:val="20"/>
              </w:rPr>
              <w:t xml:space="preserve">Question</w:t>
            </w:r>
          </w:p>
        </w:tc>
        <w:tc>
          <w:tcPr>
            <w:tcW w:type="dxa" w:w="1200"/>
            <w:tcBorders>
              <w:top w:val="single" w:color="B0B0B0" w:sz="4"/>
              <w:left w:val="single" w:color="B0B0B0" w:sz="4"/>
              <w:bottom w:val="single" w:color="B0B0B0" w:sz="4"/>
              <w:right w:val="single" w:color="B0B0B0" w:sz="4"/>
            </w:tcBorders>
            <w:shd w:fill="F2D9CB" w:val="clear"/>
            <w:tcMar>
              <w:top w:type="dxa" w:w="80"/>
              <w:left w:type="dxa" w:w="120"/>
              <w:bottom w:type="dxa" w:w="80"/>
              <w:right w:type="dxa" w:w="120"/>
            </w:tcMar>
          </w:tcPr>
          <w:p>
            <w:pPr>
              <w:jc w:val="center"/>
            </w:pPr>
            <w:r>
              <w:rPr>
                <w:b/>
                <w:bCs/>
                <w:sz w:val="20"/>
                <w:szCs w:val="20"/>
              </w:rPr>
              <w:t xml:space="preserve">Time (s)</w:t>
            </w:r>
          </w:p>
        </w:tc>
        <w:tc>
          <w:tcPr>
            <w:tcW w:type="dxa" w:w="1300"/>
            <w:tcBorders>
              <w:top w:val="single" w:color="B0B0B0" w:sz="4"/>
              <w:left w:val="single" w:color="B0B0B0" w:sz="4"/>
              <w:bottom w:val="single" w:color="B0B0B0" w:sz="4"/>
              <w:right w:val="single" w:color="B0B0B0" w:sz="4"/>
            </w:tcBorders>
            <w:shd w:fill="F2D9CB" w:val="clear"/>
            <w:tcMar>
              <w:top w:type="dxa" w:w="80"/>
              <w:left w:type="dxa" w:w="120"/>
              <w:bottom w:type="dxa" w:w="80"/>
              <w:right w:type="dxa" w:w="120"/>
            </w:tcMar>
          </w:tcPr>
          <w:p>
            <w:pPr>
              <w:jc w:val="center"/>
            </w:pPr>
            <w:r>
              <w:rPr>
                <w:b/>
                <w:bCs/>
                <w:sz w:val="20"/>
                <w:szCs w:val="20"/>
              </w:rPr>
              <w:t xml:space="preserve">Score</w:t>
            </w:r>
          </w:p>
        </w:tc>
        <w:tc>
          <w:tcPr>
            <w:tcW w:type="dxa" w:w="2760"/>
            <w:tcBorders>
              <w:top w:val="single" w:color="B0B0B0" w:sz="4"/>
              <w:left w:val="single" w:color="B0B0B0" w:sz="4"/>
              <w:bottom w:val="single" w:color="B0B0B0" w:sz="4"/>
              <w:right w:val="single" w:color="B0B0B0" w:sz="4"/>
            </w:tcBorders>
            <w:shd w:fill="F2D9CB" w:val="clear"/>
            <w:tcMar>
              <w:top w:type="dxa" w:w="80"/>
              <w:left w:type="dxa" w:w="120"/>
              <w:bottom w:type="dxa" w:w="80"/>
              <w:right w:type="dxa" w:w="120"/>
            </w:tcMar>
          </w:tcPr>
          <w:p>
            <w:pPr>
              <w:jc w:val="center"/>
            </w:pPr>
            <w:r>
              <w:rPr>
                <w:b/>
                <w:bCs/>
                <w:sz w:val="20"/>
                <w:szCs w:val="20"/>
              </w:rPr>
              <w:t xml:space="preserve">Key observation</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1</w:t>
            </w:r>
          </w:p>
        </w:tc>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19"/>
                <w:szCs w:val="19"/>
              </w:rPr>
              <w:t xml:space="preserve">How often should synthetic motor oil be changed (in km)?</w:t>
            </w:r>
          </w:p>
        </w:tc>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29.5</w:t>
            </w:r>
          </w:p>
        </w:tc>
        <w:tc>
          <w:tcPr>
            <w:tcW w:type="dxa" w:w="1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8/8 ✓</w:t>
            </w:r>
          </w:p>
        </w:tc>
        <w:tc>
          <w:tcPr>
            <w:tcW w:type="dxa" w:w="27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19"/>
                <w:szCs w:val="19"/>
              </w:rPr>
              <w:t xml:space="preserve">Cited the 10,000–15,000 km range and the 30% reduction under severe conditions.</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2</w:t>
            </w:r>
          </w:p>
        </w:tc>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19"/>
                <w:szCs w:val="19"/>
              </w:rPr>
              <w:t xml:space="preserve">What does the oil pressure warning light indicate?</w:t>
            </w:r>
          </w:p>
        </w:tc>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10.3</w:t>
            </w:r>
          </w:p>
        </w:tc>
        <w:tc>
          <w:tcPr>
            <w:tcW w:type="dxa" w:w="1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8/8 ✓</w:t>
            </w:r>
          </w:p>
        </w:tc>
        <w:tc>
          <w:tcPr>
            <w:tcW w:type="dxa" w:w="27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19"/>
                <w:szCs w:val="19"/>
              </w:rPr>
              <w:t xml:space="preserve">Correctly distinguished pressure vs. level. Included full action protocol.</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3</w:t>
            </w:r>
          </w:p>
        </w:tc>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19"/>
                <w:szCs w:val="19"/>
              </w:rPr>
              <w:t xml:space="preserve">How should tire pressure be correctly verified?</w:t>
            </w:r>
          </w:p>
        </w:tc>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23.8</w:t>
            </w:r>
          </w:p>
        </w:tc>
        <w:tc>
          <w:tcPr>
            <w:tcW w:type="dxa" w:w="1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8/8 ✓</w:t>
            </w:r>
          </w:p>
        </w:tc>
        <w:tc>
          <w:tcPr>
            <w:tcW w:type="dxa" w:w="27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19"/>
                <w:szCs w:val="19"/>
              </w:rPr>
              <w:t xml:space="preserve">Listed all 9 procedural steps + monthly frequency + manufacturer label warning.</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4</w:t>
            </w:r>
          </w:p>
        </w:tc>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19"/>
                <w:szCs w:val="19"/>
              </w:rPr>
              <w:t xml:space="preserve">What are the main symptoms of a worn brake system?</w:t>
            </w:r>
          </w:p>
        </w:tc>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15.5</w:t>
            </w:r>
          </w:p>
        </w:tc>
        <w:tc>
          <w:tcPr>
            <w:tcW w:type="dxa" w:w="1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8/8 ✓</w:t>
            </w:r>
          </w:p>
        </w:tc>
        <w:tc>
          <w:tcPr>
            <w:tcW w:type="dxa" w:w="27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19"/>
                <w:szCs w:val="19"/>
              </w:rPr>
              <w:t xml:space="preserve">Covered all 7 symptoms; flagged spongy pedal as GRAVE failure.</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5</w:t>
            </w:r>
          </w:p>
        </w:tc>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19"/>
                <w:szCs w:val="19"/>
              </w:rPr>
              <w:t xml:space="preserve">What is the difference between alignment and balancing?</w:t>
            </w:r>
          </w:p>
        </w:tc>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18.7</w:t>
            </w:r>
          </w:p>
        </w:tc>
        <w:tc>
          <w:tcPr>
            <w:tcW w:type="dxa" w:w="1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8/8 ✓</w:t>
            </w:r>
          </w:p>
        </w:tc>
        <w:tc>
          <w:tcPr>
            <w:tcW w:type="dxa" w:w="27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19"/>
                <w:szCs w:val="19"/>
              </w:rPr>
              <w:t xml:space="preserve">Correct technical distinction with camber/caster/toe terminology.</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6</w:t>
            </w:r>
          </w:p>
        </w:tc>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19"/>
                <w:szCs w:val="19"/>
              </w:rPr>
              <w:t xml:space="preserve">What is the function of coolant/antifreeze?</w:t>
            </w:r>
          </w:p>
        </w:tc>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8.7</w:t>
            </w:r>
          </w:p>
        </w:tc>
        <w:tc>
          <w:tcPr>
            <w:tcW w:type="dxa" w:w="1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7/8 ~</w:t>
            </w:r>
          </w:p>
        </w:tc>
        <w:tc>
          <w:tcPr>
            <w:tcW w:type="dxa" w:w="27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19"/>
                <w:szCs w:val="19"/>
              </w:rPr>
              <w:t xml:space="preserve">Listed 4 of 5 functions; lubrication of water pump mentioned only as appendix.</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7</w:t>
            </w:r>
          </w:p>
        </w:tc>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19"/>
                <w:szCs w:val="19"/>
              </w:rPr>
              <w:t xml:space="preserve">What should be done if the engine shows overheating signs?</w:t>
            </w:r>
          </w:p>
        </w:tc>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11.3</w:t>
            </w:r>
          </w:p>
        </w:tc>
        <w:tc>
          <w:tcPr>
            <w:tcW w:type="dxa" w:w="1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8/8 ✓</w:t>
            </w:r>
          </w:p>
        </w:tc>
        <w:tc>
          <w:tcPr>
            <w:tcW w:type="dxa" w:w="27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19"/>
                <w:szCs w:val="19"/>
              </w:rPr>
              <w:t xml:space="preserve">Critically included the 'do NOT open hot radiator cap' safety warning.</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8</w:t>
            </w:r>
          </w:p>
        </w:tc>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19"/>
                <w:szCs w:val="19"/>
              </w:rPr>
              <w:t xml:space="preserve">What does blue exhaust smoke indicate?</w:t>
            </w:r>
          </w:p>
        </w:tc>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11.2</w:t>
            </w:r>
          </w:p>
        </w:tc>
        <w:tc>
          <w:tcPr>
            <w:tcW w:type="dxa" w:w="1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8/8 ✓</w:t>
            </w:r>
          </w:p>
        </w:tc>
        <w:tc>
          <w:tcPr>
            <w:tcW w:type="dxa" w:w="27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19"/>
                <w:szCs w:val="19"/>
              </w:rPr>
              <w:t xml:space="preserve">Correctly identified internal oil burning and the three root causes.</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9</w:t>
            </w:r>
          </w:p>
        </w:tc>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19"/>
                <w:szCs w:val="19"/>
              </w:rPr>
              <w:t xml:space="preserve">What is the average lifespan of a car battery?</w:t>
            </w:r>
          </w:p>
        </w:tc>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14.0</w:t>
            </w:r>
          </w:p>
        </w:tc>
        <w:tc>
          <w:tcPr>
            <w:tcW w:type="dxa" w:w="1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8/8 ✓</w:t>
            </w:r>
          </w:p>
        </w:tc>
        <w:tc>
          <w:tcPr>
            <w:tcW w:type="dxa" w:w="27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19"/>
                <w:szCs w:val="19"/>
              </w:rPr>
              <w:t xml:space="preserve">Stated 3–5 year baseline with five lifespan-affecting factors.</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10</w:t>
            </w:r>
          </w:p>
        </w:tc>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19"/>
                <w:szCs w:val="19"/>
              </w:rPr>
              <w:t xml:space="preserve">How can you determine if the alternator is not charging?</w:t>
            </w:r>
          </w:p>
        </w:tc>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11.7</w:t>
            </w:r>
          </w:p>
        </w:tc>
        <w:tc>
          <w:tcPr>
            <w:tcW w:type="dxa" w:w="1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7/8 ~</w:t>
            </w:r>
          </w:p>
        </w:tc>
        <w:tc>
          <w:tcPr>
            <w:tcW w:type="dxa" w:w="27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19"/>
                <w:szCs w:val="19"/>
              </w:rPr>
              <w:t xml:space="preserve">Comprehensive answer (visual + multimeter + workshop test). Minor glitch: prepended a domain-redirection sentence before answering.</w:t>
            </w:r>
          </w:p>
        </w:tc>
      </w:tr>
    </w:tbl>
    <w:p>
      <w:pPr>
        <w:spacing w:after="200" w:before="100" w:line="280"/>
        <w:jc w:val="both"/>
      </w:pPr>
      <w:r>
        <w:rPr>
          <w:i/>
          <w:iCs/>
          <w:sz w:val="18"/>
          <w:szCs w:val="18"/>
        </w:rPr>
        <w:t xml:space="preserve">Legend: ✓ = fully correct response, ~ = partially correct response, ✗ = incorrect response. None of the ten responses were classified as incorrect.</w:t>
      </w:r>
    </w:p>
    <w:p>
      <w:pPr>
        <w:pStyle w:val="Heading2"/>
        <w:spacing w:after="160" w:before="280"/>
      </w:pPr>
      <w:r>
        <w:rPr>
          <w:rFonts w:ascii="Calibri" w:cs="Calibri" w:eastAsia="Calibri" w:hAnsi="Calibri"/>
          <w:b/>
          <w:bCs/>
          <w:color w:val="333333"/>
          <w:sz w:val="26"/>
          <w:szCs w:val="26"/>
        </w:rPr>
        <w:t xml:space="preserve">4.2 Aggregated scores by dimension</w:t>
      </w:r>
    </w:p>
    <w:p>
      <w:pPr>
        <w:spacing w:after="140" w:before="0" w:line="280"/>
        <w:jc w:val="both"/>
      </w:pPr>
      <w:r>
        <w:rPr>
          <w:sz w:val="22"/>
          <w:szCs w:val="22"/>
        </w:rPr>
        <w:t xml:space="preserve">The table below presents the average score per evaluation dimension, broken down by question groups corresponding to thematic clusters of the corpus (Q1–Q3: lubrication and tires; Q4–Q7: brakes and cooling; Q8–Q10: engine condition and electrical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tblHeader/>
        </w:trPr>
        <w:tc>
          <w:tcPr>
            <w:tcW w:type="dxa" w:w="3360"/>
            <w:tcBorders>
              <w:top w:val="single" w:color="B0B0B0" w:sz="4"/>
              <w:left w:val="single" w:color="B0B0B0" w:sz="4"/>
              <w:bottom w:val="single" w:color="B0B0B0" w:sz="4"/>
              <w:right w:val="single" w:color="B0B0B0" w:sz="4"/>
            </w:tcBorders>
            <w:shd w:fill="F2D9CB" w:val="clear"/>
            <w:tcMar>
              <w:top w:type="dxa" w:w="80"/>
              <w:left w:type="dxa" w:w="120"/>
              <w:bottom w:type="dxa" w:w="80"/>
              <w:right w:type="dxa" w:w="120"/>
            </w:tcMar>
          </w:tcPr>
          <w:p>
            <w:pPr>
              <w:jc w:val="center"/>
            </w:pPr>
            <w:r>
              <w:rPr>
                <w:b/>
                <w:bCs/>
                <w:sz w:val="20"/>
                <w:szCs w:val="20"/>
              </w:rPr>
              <w:t xml:space="preserve">Dimension</w:t>
            </w:r>
          </w:p>
        </w:tc>
        <w:tc>
          <w:tcPr>
            <w:tcW w:type="dxa" w:w="1500"/>
            <w:tcBorders>
              <w:top w:val="single" w:color="B0B0B0" w:sz="4"/>
              <w:left w:val="single" w:color="B0B0B0" w:sz="4"/>
              <w:bottom w:val="single" w:color="B0B0B0" w:sz="4"/>
              <w:right w:val="single" w:color="B0B0B0" w:sz="4"/>
            </w:tcBorders>
            <w:shd w:fill="F2D9CB" w:val="clear"/>
            <w:tcMar>
              <w:top w:type="dxa" w:w="80"/>
              <w:left w:type="dxa" w:w="120"/>
              <w:bottom w:type="dxa" w:w="80"/>
              <w:right w:type="dxa" w:w="120"/>
            </w:tcMar>
          </w:tcPr>
          <w:p>
            <w:pPr>
              <w:jc w:val="center"/>
            </w:pPr>
            <w:r>
              <w:rPr>
                <w:b/>
                <w:bCs/>
                <w:sz w:val="20"/>
                <w:szCs w:val="20"/>
              </w:rPr>
              <w:t xml:space="preserve">Q1–Q3 avg.</w:t>
            </w:r>
          </w:p>
        </w:tc>
        <w:tc>
          <w:tcPr>
            <w:tcW w:type="dxa" w:w="1500"/>
            <w:tcBorders>
              <w:top w:val="single" w:color="B0B0B0" w:sz="4"/>
              <w:left w:val="single" w:color="B0B0B0" w:sz="4"/>
              <w:bottom w:val="single" w:color="B0B0B0" w:sz="4"/>
              <w:right w:val="single" w:color="B0B0B0" w:sz="4"/>
            </w:tcBorders>
            <w:shd w:fill="F2D9CB" w:val="clear"/>
            <w:tcMar>
              <w:top w:type="dxa" w:w="80"/>
              <w:left w:type="dxa" w:w="120"/>
              <w:bottom w:type="dxa" w:w="80"/>
              <w:right w:type="dxa" w:w="120"/>
            </w:tcMar>
          </w:tcPr>
          <w:p>
            <w:pPr>
              <w:jc w:val="center"/>
            </w:pPr>
            <w:r>
              <w:rPr>
                <w:b/>
                <w:bCs/>
                <w:sz w:val="20"/>
                <w:szCs w:val="20"/>
              </w:rPr>
              <w:t xml:space="preserve">Q4–Q7 avg.</w:t>
            </w:r>
          </w:p>
        </w:tc>
        <w:tc>
          <w:tcPr>
            <w:tcW w:type="dxa" w:w="1500"/>
            <w:tcBorders>
              <w:top w:val="single" w:color="B0B0B0" w:sz="4"/>
              <w:left w:val="single" w:color="B0B0B0" w:sz="4"/>
              <w:bottom w:val="single" w:color="B0B0B0" w:sz="4"/>
              <w:right w:val="single" w:color="B0B0B0" w:sz="4"/>
            </w:tcBorders>
            <w:shd w:fill="F2D9CB" w:val="clear"/>
            <w:tcMar>
              <w:top w:type="dxa" w:w="80"/>
              <w:left w:type="dxa" w:w="120"/>
              <w:bottom w:type="dxa" w:w="80"/>
              <w:right w:type="dxa" w:w="120"/>
            </w:tcMar>
          </w:tcPr>
          <w:p>
            <w:pPr>
              <w:jc w:val="center"/>
            </w:pPr>
            <w:r>
              <w:rPr>
                <w:b/>
                <w:bCs/>
                <w:sz w:val="20"/>
                <w:szCs w:val="20"/>
              </w:rPr>
              <w:t xml:space="preserve">Q8–Q10 avg.</w:t>
            </w:r>
          </w:p>
        </w:tc>
        <w:tc>
          <w:tcPr>
            <w:tcW w:type="dxa" w:w="1500"/>
            <w:tcBorders>
              <w:top w:val="single" w:color="B0B0B0" w:sz="4"/>
              <w:left w:val="single" w:color="B0B0B0" w:sz="4"/>
              <w:bottom w:val="single" w:color="B0B0B0" w:sz="4"/>
              <w:right w:val="single" w:color="B0B0B0" w:sz="4"/>
            </w:tcBorders>
            <w:shd w:fill="F2D9CB" w:val="clear"/>
            <w:tcMar>
              <w:top w:type="dxa" w:w="80"/>
              <w:left w:type="dxa" w:w="120"/>
              <w:bottom w:type="dxa" w:w="80"/>
              <w:right w:type="dxa" w:w="120"/>
            </w:tcMar>
          </w:tcPr>
          <w:p>
            <w:pPr>
              <w:jc w:val="center"/>
            </w:pPr>
            <w:r>
              <w:rPr>
                <w:b/>
                <w:bCs/>
                <w:sz w:val="20"/>
                <w:szCs w:val="20"/>
              </w:rPr>
              <w:t xml:space="preserve">Total avg.</w:t>
            </w:r>
          </w:p>
        </w:tc>
      </w:tr>
      <w:tr>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sz w:val="19"/>
                <w:szCs w:val="19"/>
              </w:rPr>
              <w:t xml:space="preserve">Factual correctness</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2.0</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2.0</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2.0</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sz w:val="19"/>
                <w:szCs w:val="19"/>
              </w:rPr>
              <w:t xml:space="preserve">2.00</w:t>
            </w:r>
          </w:p>
        </w:tc>
      </w:tr>
      <w:tr>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sz w:val="19"/>
                <w:szCs w:val="19"/>
              </w:rPr>
              <w:t xml:space="preserve">Completeness</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2.0</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1.75</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1.67</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sz w:val="19"/>
                <w:szCs w:val="19"/>
              </w:rPr>
              <w:t xml:space="preserve">1.80</w:t>
            </w:r>
          </w:p>
        </w:tc>
      </w:tr>
      <w:tr>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sz w:val="19"/>
                <w:szCs w:val="19"/>
              </w:rPr>
              <w:t xml:space="preserve">Clarity</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2.0</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2.0</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2.0</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sz w:val="19"/>
                <w:szCs w:val="19"/>
              </w:rPr>
              <w:t xml:space="preserve">2.00</w:t>
            </w:r>
          </w:p>
        </w:tc>
      </w:tr>
      <w:tr>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b/>
                <w:bCs/>
                <w:sz w:val="19"/>
                <w:szCs w:val="19"/>
              </w:rPr>
              <w:t xml:space="preserve">Context adherence</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2.0</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2.0</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1.67</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sz w:val="19"/>
                <w:szCs w:val="19"/>
              </w:rPr>
              <w:t xml:space="preserve">1.90</w:t>
            </w:r>
          </w:p>
        </w:tc>
      </w:tr>
      <w:tr>
        <w:tc>
          <w:tcPr>
            <w:tcW w:type="dxa" w:w="3360"/>
            <w:tcBorders>
              <w:top w:val="single" w:color="B0B0B0" w:sz="4"/>
              <w:left w:val="single" w:color="B0B0B0" w:sz="4"/>
              <w:bottom w:val="single" w:color="B0B0B0" w:sz="4"/>
              <w:right w:val="single" w:color="B0B0B0" w:sz="4"/>
            </w:tcBorders>
            <w:shd w:fill="F7E8DD" w:val="clear"/>
            <w:tcMar>
              <w:top w:type="dxa" w:w="80"/>
              <w:left w:type="dxa" w:w="120"/>
              <w:bottom w:type="dxa" w:w="80"/>
              <w:right w:type="dxa" w:w="120"/>
            </w:tcMar>
          </w:tcPr>
          <w:p>
            <w:pPr>
              <w:jc w:val="left"/>
            </w:pPr>
            <w:r>
              <w:rPr>
                <w:b/>
                <w:bCs/>
                <w:sz w:val="19"/>
                <w:szCs w:val="19"/>
              </w:rPr>
              <w:t xml:space="preserve">Overall score</w:t>
            </w:r>
          </w:p>
        </w:tc>
        <w:tc>
          <w:tcPr>
            <w:tcW w:type="dxa" w:w="1500"/>
            <w:tcBorders>
              <w:top w:val="single" w:color="B0B0B0" w:sz="4"/>
              <w:left w:val="single" w:color="B0B0B0" w:sz="4"/>
              <w:bottom w:val="single" w:color="B0B0B0" w:sz="4"/>
              <w:right w:val="single" w:color="B0B0B0" w:sz="4"/>
            </w:tcBorders>
            <w:shd w:fill="F7E8DD" w:val="clear"/>
            <w:tcMar>
              <w:top w:type="dxa" w:w="80"/>
              <w:left w:type="dxa" w:w="120"/>
              <w:bottom w:type="dxa" w:w="80"/>
              <w:right w:type="dxa" w:w="120"/>
            </w:tcMar>
          </w:tcPr>
          <w:p>
            <w:pPr>
              <w:jc w:val="center"/>
            </w:pPr>
            <w:r>
              <w:rPr>
                <w:b/>
                <w:bCs/>
                <w:sz w:val="19"/>
                <w:szCs w:val="19"/>
              </w:rPr>
              <w:t xml:space="preserve">8.0 / 8</w:t>
            </w:r>
          </w:p>
        </w:tc>
        <w:tc>
          <w:tcPr>
            <w:tcW w:type="dxa" w:w="1500"/>
            <w:tcBorders>
              <w:top w:val="single" w:color="B0B0B0" w:sz="4"/>
              <w:left w:val="single" w:color="B0B0B0" w:sz="4"/>
              <w:bottom w:val="single" w:color="B0B0B0" w:sz="4"/>
              <w:right w:val="single" w:color="B0B0B0" w:sz="4"/>
            </w:tcBorders>
            <w:shd w:fill="F7E8DD" w:val="clear"/>
            <w:tcMar>
              <w:top w:type="dxa" w:w="80"/>
              <w:left w:type="dxa" w:w="120"/>
              <w:bottom w:type="dxa" w:w="80"/>
              <w:right w:type="dxa" w:w="120"/>
            </w:tcMar>
          </w:tcPr>
          <w:p>
            <w:pPr>
              <w:jc w:val="center"/>
            </w:pPr>
            <w:r>
              <w:rPr>
                <w:b/>
                <w:bCs/>
                <w:sz w:val="19"/>
                <w:szCs w:val="19"/>
              </w:rPr>
              <w:t xml:space="preserve">7.75 / 8</w:t>
            </w:r>
          </w:p>
        </w:tc>
        <w:tc>
          <w:tcPr>
            <w:tcW w:type="dxa" w:w="1500"/>
            <w:tcBorders>
              <w:top w:val="single" w:color="B0B0B0" w:sz="4"/>
              <w:left w:val="single" w:color="B0B0B0" w:sz="4"/>
              <w:bottom w:val="single" w:color="B0B0B0" w:sz="4"/>
              <w:right w:val="single" w:color="B0B0B0" w:sz="4"/>
            </w:tcBorders>
            <w:shd w:fill="F7E8DD" w:val="clear"/>
            <w:tcMar>
              <w:top w:type="dxa" w:w="80"/>
              <w:left w:type="dxa" w:w="120"/>
              <w:bottom w:type="dxa" w:w="80"/>
              <w:right w:type="dxa" w:w="120"/>
            </w:tcMar>
          </w:tcPr>
          <w:p>
            <w:pPr>
              <w:jc w:val="center"/>
            </w:pPr>
            <w:r>
              <w:rPr>
                <w:b/>
                <w:bCs/>
                <w:sz w:val="19"/>
                <w:szCs w:val="19"/>
              </w:rPr>
              <w:t xml:space="preserve">7.33 / 8</w:t>
            </w:r>
          </w:p>
        </w:tc>
        <w:tc>
          <w:tcPr>
            <w:tcW w:type="dxa" w:w="1500"/>
            <w:tcBorders>
              <w:top w:val="single" w:color="B0B0B0" w:sz="4"/>
              <w:left w:val="single" w:color="B0B0B0" w:sz="4"/>
              <w:bottom w:val="single" w:color="B0B0B0" w:sz="4"/>
              <w:right w:val="single" w:color="B0B0B0" w:sz="4"/>
            </w:tcBorders>
            <w:shd w:fill="F7E8DD" w:val="clear"/>
            <w:tcMar>
              <w:top w:type="dxa" w:w="80"/>
              <w:left w:type="dxa" w:w="120"/>
              <w:bottom w:type="dxa" w:w="80"/>
              <w:right w:type="dxa" w:w="120"/>
            </w:tcMar>
          </w:tcPr>
          <w:p>
            <w:pPr>
              <w:jc w:val="center"/>
            </w:pPr>
            <w:r>
              <w:rPr>
                <w:b/>
                <w:bCs/>
                <w:sz w:val="19"/>
                <w:szCs w:val="19"/>
              </w:rPr>
              <w:t xml:space="preserve">7.70 / 8</w:t>
            </w:r>
          </w:p>
        </w:tc>
      </w:tr>
    </w:tbl>
    <w:p>
      <w:pPr>
        <w:spacing w:after="140" w:before="0" w:line="280"/>
        <w:ind w:firstLine="360"/>
        <w:jc w:val="both"/>
      </w:pPr>
      <w:r>
        <w:rPr>
          <w:sz w:val="22"/>
          <w:szCs w:val="22"/>
        </w:rPr>
        <w:t xml:space="preserve">The chatbot achieved an overall average score of 7.7 out of 8, equivalent to 96% of the maximum attainable score. The aggregated metric per dimension reveals a pattern that is detailed in the qualitative analysis below: factual correctness and clarity reached the maximum score across all ten questions, while completeness and context adherence each lost points in isolated, identifiable cases.</w:t>
      </w:r>
    </w:p>
    <w:p>
      <w:pPr>
        <w:pStyle w:val="Heading2"/>
        <w:spacing w:after="160" w:before="280"/>
      </w:pPr>
      <w:r>
        <w:rPr>
          <w:rFonts w:ascii="Calibri" w:cs="Calibri" w:eastAsia="Calibri" w:hAnsi="Calibri"/>
          <w:b/>
          <w:bCs/>
          <w:color w:val="333333"/>
          <w:sz w:val="26"/>
          <w:szCs w:val="26"/>
        </w:rPr>
        <w:t xml:space="preserve">4.3 Qualitative analysis per question</w:t>
      </w:r>
    </w:p>
    <w:p>
      <w:pPr>
        <w:pStyle w:val="Heading3"/>
        <w:spacing w:after="120" w:before="200"/>
      </w:pPr>
      <w:r>
        <w:rPr>
          <w:rFonts w:ascii="Calibri" w:cs="Calibri" w:eastAsia="Calibri" w:hAnsi="Calibri"/>
          <w:b/>
          <w:bCs/>
          <w:color w:val="555555"/>
          <w:sz w:val="23"/>
          <w:szCs w:val="23"/>
        </w:rPr>
        <w:t xml:space="preserve">Question 1 — Synthetic motor oil change interval</w:t>
      </w:r>
    </w:p>
    <w:p>
      <w:pPr>
        <w:spacing w:after="140" w:before="0" w:line="280"/>
        <w:jc w:val="both"/>
      </w:pPr>
      <w:r>
        <w:rPr>
          <w:sz w:val="22"/>
          <w:szCs w:val="22"/>
        </w:rPr>
        <w:t xml:space="preserve">The response correctly cited the 10,000–15,000 km baseline range and explicitly mentioned the additional 30% reduction recommended under severe operating conditions (urban traffic, dust, short trips, towing, extreme climates). Furthermore, the model autonomously computed the resulting derived range (7,000–11,500 km), demonstrating compositional reasoning over the retrieved context. The response closed with a recommendation to consult a qualified mechanic, in line with the system prompt directive.</w:t>
      </w:r>
    </w:p>
    <w:p>
      <w:pPr>
        <w:pStyle w:val="Heading3"/>
        <w:spacing w:after="120" w:before="200"/>
      </w:pPr>
      <w:r>
        <w:rPr>
          <w:rFonts w:ascii="Calibri" w:cs="Calibri" w:eastAsia="Calibri" w:hAnsi="Calibri"/>
          <w:b/>
          <w:bCs/>
          <w:color w:val="555555"/>
          <w:sz w:val="23"/>
          <w:szCs w:val="23"/>
        </w:rPr>
        <w:t xml:space="preserve">Question 2 — Oil pressure warning light</w:t>
      </w:r>
    </w:p>
    <w:p>
      <w:pPr>
        <w:spacing w:after="140" w:before="0" w:line="280"/>
        <w:jc w:val="both"/>
      </w:pPr>
      <w:r>
        <w:rPr>
          <w:sz w:val="22"/>
          <w:szCs w:val="22"/>
        </w:rPr>
        <w:t xml:space="preserve">The response correctly distinguished between oil level (which the warning light does NOT directly indicate) and oil pressure (the actual signal). It also reproduced the complete action protocol present in the corpus: stop the vehicle, turn off the engine, check the dipstick, and call for towing if the warning persists. The framing of the situation as a "mechanical emergency" is consistent with the source language.</w:t>
      </w:r>
    </w:p>
    <w:p>
      <w:pPr>
        <w:pStyle w:val="Heading3"/>
        <w:spacing w:after="120" w:before="200"/>
      </w:pPr>
      <w:r>
        <w:rPr>
          <w:rFonts w:ascii="Calibri" w:cs="Calibri" w:eastAsia="Calibri" w:hAnsi="Calibri"/>
          <w:b/>
          <w:bCs/>
          <w:color w:val="555555"/>
          <w:sz w:val="23"/>
          <w:szCs w:val="23"/>
        </w:rPr>
        <w:t xml:space="preserve">Question 3 — Verifying tire pressure</w:t>
      </w:r>
    </w:p>
    <w:p>
      <w:pPr>
        <w:spacing w:after="140" w:before="0" w:line="280"/>
        <w:jc w:val="both"/>
      </w:pPr>
      <w:r>
        <w:rPr>
          <w:sz w:val="22"/>
          <w:szCs w:val="22"/>
        </w:rPr>
        <w:t xml:space="preserve">The response listed all nine procedural steps in the correct order, including the often-overlooked detail of consulting the manufacturer label rather than the maximum pressure printed on the tire sidewall. It also included the recommended monthly verification frequency and the typical pressure range for passenger vehicles (30–36 PSI). This is one of the most procedurally complete responses in the set.</w:t>
      </w:r>
    </w:p>
    <w:p>
      <w:pPr>
        <w:pStyle w:val="Heading3"/>
        <w:spacing w:after="120" w:before="200"/>
      </w:pPr>
      <w:r>
        <w:rPr>
          <w:rFonts w:ascii="Calibri" w:cs="Calibri" w:eastAsia="Calibri" w:hAnsi="Calibri"/>
          <w:b/>
          <w:bCs/>
          <w:color w:val="555555"/>
          <w:sz w:val="23"/>
          <w:szCs w:val="23"/>
        </w:rPr>
        <w:t xml:space="preserve">Question 4 — Symptoms of a worn brake system</w:t>
      </w:r>
    </w:p>
    <w:p>
      <w:pPr>
        <w:spacing w:after="140" w:before="0" w:line="280"/>
        <w:jc w:val="both"/>
      </w:pPr>
      <w:r>
        <w:rPr>
          <w:sz w:val="22"/>
          <w:szCs w:val="22"/>
        </w:rPr>
        <w:t xml:space="preserve">The response covered all seven symptoms described in the corpus and explicitly flagged the soft/spongy brake pedal as a "GRAVE" failure, accurately preserving the severity classification of the source material. The closing safety warning recommending immediate attention from a qualified mechanic adds appropriate user safety value beyond a purely descriptive answer.</w:t>
      </w:r>
    </w:p>
    <w:p>
      <w:pPr>
        <w:pStyle w:val="Heading3"/>
        <w:spacing w:after="120" w:before="200"/>
      </w:pPr>
      <w:r>
        <w:rPr>
          <w:rFonts w:ascii="Calibri" w:cs="Calibri" w:eastAsia="Calibri" w:hAnsi="Calibri"/>
          <w:b/>
          <w:bCs/>
          <w:color w:val="555555"/>
          <w:sz w:val="23"/>
          <w:szCs w:val="23"/>
        </w:rPr>
        <w:t xml:space="preserve">Question 5 — Alignment vs. balancing</w:t>
      </w:r>
    </w:p>
    <w:p>
      <w:pPr>
        <w:spacing w:after="140" w:before="0" w:line="280"/>
        <w:jc w:val="both"/>
      </w:pPr>
      <w:r>
        <w:rPr>
          <w:sz w:val="22"/>
          <w:szCs w:val="22"/>
        </w:rPr>
        <w:t xml:space="preserve">The response provided a precise technical distinction between the two procedures, explicitly naming the wheel-angle parameters (camber, caster, toe) on the alignment side and the dynamic-balancing weight-distribution principle on the other. The complementary-but-distinct nature of both procedures was clearly stated in the closing summary.</w:t>
      </w:r>
    </w:p>
    <w:p>
      <w:pPr>
        <w:pStyle w:val="Heading3"/>
        <w:spacing w:after="120" w:before="200"/>
      </w:pPr>
      <w:r>
        <w:rPr>
          <w:rFonts w:ascii="Calibri" w:cs="Calibri" w:eastAsia="Calibri" w:hAnsi="Calibri"/>
          <w:b/>
          <w:bCs/>
          <w:color w:val="555555"/>
          <w:sz w:val="23"/>
          <w:szCs w:val="23"/>
        </w:rPr>
        <w:t xml:space="preserve">Question 6 — Function of coolant/antifreeze</w:t>
      </w:r>
    </w:p>
    <w:p>
      <w:pPr>
        <w:spacing w:after="140" w:before="0" w:line="280"/>
        <w:jc w:val="both"/>
      </w:pPr>
      <w:r>
        <w:rPr>
          <w:sz w:val="22"/>
          <w:szCs w:val="22"/>
        </w:rPr>
        <w:t xml:space="preserve">The response listed four of the five functions described in the corpus (heat transport, freeze prevention, boiling-point elevation, corrosion inhibition) and explicitly included the strong warning against using plain water in the cooling system. The fifth function (lubrication of the water pump and seals) was mentioned only as an addendum at the end of the response, rather than being integrated into the main enumeration. This was scored as partially complete (1.5 / 2 in the completeness dimension), although the substantive information was technically present.</w:t>
      </w:r>
    </w:p>
    <w:p>
      <w:pPr>
        <w:pStyle w:val="Heading3"/>
        <w:spacing w:after="120" w:before="200"/>
      </w:pPr>
      <w:r>
        <w:rPr>
          <w:rFonts w:ascii="Calibri" w:cs="Calibri" w:eastAsia="Calibri" w:hAnsi="Calibri"/>
          <w:b/>
          <w:bCs/>
          <w:color w:val="555555"/>
          <w:sz w:val="23"/>
          <w:szCs w:val="23"/>
        </w:rPr>
        <w:t xml:space="preserve">Question 7 — Engine overheating response procedure</w:t>
      </w:r>
    </w:p>
    <w:p>
      <w:pPr>
        <w:spacing w:after="140" w:before="0" w:line="280"/>
        <w:jc w:val="both"/>
      </w:pPr>
      <w:r>
        <w:rPr>
          <w:sz w:val="22"/>
          <w:szCs w:val="22"/>
        </w:rPr>
        <w:t xml:space="preserve">The response correctly enumerated the immediate actions (turn off air conditioning, turn on heater at maximum, stop the vehicle, turn off the engine) and, critically, included the safety warning against opening the radiator cap or expansion tank while the engine is hot due to pressurized scalding-fluid risk. This warning is the most safety-relevant content of this question, and its inclusion was a primary objective of the prompt-tuning iteration.</w:t>
      </w:r>
    </w:p>
    <w:p>
      <w:pPr>
        <w:pStyle w:val="Heading3"/>
        <w:spacing w:after="120" w:before="200"/>
      </w:pPr>
      <w:r>
        <w:rPr>
          <w:rFonts w:ascii="Calibri" w:cs="Calibri" w:eastAsia="Calibri" w:hAnsi="Calibri"/>
          <w:b/>
          <w:bCs/>
          <w:color w:val="555555"/>
          <w:sz w:val="23"/>
          <w:szCs w:val="23"/>
        </w:rPr>
        <w:t xml:space="preserve">Question 8 — Blue exhaust smoke diagnosis</w:t>
      </w:r>
    </w:p>
    <w:p>
      <w:pPr>
        <w:spacing w:after="140" w:before="0" w:line="280"/>
        <w:jc w:val="both"/>
      </w:pPr>
      <w:r>
        <w:rPr>
          <w:sz w:val="22"/>
          <w:szCs w:val="22"/>
        </w:rPr>
        <w:t xml:space="preserve">The response correctly identified blue smoke as an indicator of internal oil burning within the combustion chamber and listed the three most common root causes (worn piston rings, damaged valve seals, cylindrical wear). It appropriately characterized this as a symptom of significant internal engine wear requiring prompt diagnosis.</w:t>
      </w:r>
    </w:p>
    <w:p>
      <w:pPr>
        <w:pStyle w:val="Heading3"/>
        <w:spacing w:after="120" w:before="200"/>
      </w:pPr>
      <w:r>
        <w:rPr>
          <w:rFonts w:ascii="Calibri" w:cs="Calibri" w:eastAsia="Calibri" w:hAnsi="Calibri"/>
          <w:b/>
          <w:bCs/>
          <w:color w:val="555555"/>
          <w:sz w:val="23"/>
          <w:szCs w:val="23"/>
        </w:rPr>
        <w:t xml:space="preserve">Question 9 — Average car battery lifespan</w:t>
      </w:r>
    </w:p>
    <w:p>
      <w:pPr>
        <w:spacing w:after="140" w:before="0" w:line="280"/>
        <w:jc w:val="both"/>
      </w:pPr>
      <w:r>
        <w:rPr>
          <w:sz w:val="22"/>
          <w:szCs w:val="22"/>
        </w:rPr>
        <w:t xml:space="preserve">The response cited the 3-to-5-year baseline lifespan and enumerated all five lifespan-affecting factors present in the corpus (climate, battery quality, vehicle usage frequency, charging system condition, maintenance quality). It also included the recommendation to test the battery annually after the four-year mark, and the warning that batteries can fail without prior notice in cold climates.</w:t>
      </w:r>
    </w:p>
    <w:p>
      <w:pPr>
        <w:pStyle w:val="Heading3"/>
        <w:spacing w:after="120" w:before="200"/>
      </w:pPr>
      <w:r>
        <w:rPr>
          <w:rFonts w:ascii="Calibri" w:cs="Calibri" w:eastAsia="Calibri" w:hAnsi="Calibri"/>
          <w:b/>
          <w:bCs/>
          <w:color w:val="555555"/>
          <w:sz w:val="23"/>
          <w:szCs w:val="23"/>
        </w:rPr>
        <w:t xml:space="preserve">Question 10 — Detecting alternator charging failure</w:t>
      </w:r>
    </w:p>
    <w:p>
      <w:pPr>
        <w:spacing w:after="140" w:before="0" w:line="280"/>
        <w:jc w:val="both"/>
      </w:pPr>
      <w:r>
        <w:rPr>
          <w:sz w:val="22"/>
          <w:szCs w:val="22"/>
        </w:rPr>
        <w:t xml:space="preserve">Substantively, this is one of the most comprehensive responses in the set: it covered the full diagnostic protocol from the corpus, including observable symptoms without instruments (dashboard battery indicator, dimming headlights, electrical anomalies, burning smell, alternator-area noise), the multimeter-based verification method (with engine-off and engine-on voltage thresholds), and the workshop-grade load testing procedure. However, the response unexpectedly began with the system's domain-redirection sentinel sentence ("I am a specialized assistant in automotive mechanics...") despite the question being clearly within the domain. This is a minor model artifact that does not affect factual content but represents a sub-optimal user experience and is discussed further in Section 6.</w:t>
      </w:r>
    </w:p>
    <w:p>
      <w:pPr>
        <w:pStyle w:val="Heading1"/>
        <w:spacing w:after="200" w:before="360"/>
      </w:pPr>
      <w:r>
        <w:rPr>
          <w:rFonts w:ascii="Calibri" w:cs="Calibri" w:eastAsia="Calibri" w:hAnsi="Calibri"/>
          <w:b/>
          <w:bCs/>
          <w:color w:val="C8500F"/>
          <w:sz w:val="32"/>
          <w:szCs w:val="32"/>
        </w:rPr>
        <w:t xml:space="preserve">5. Tuning Iteration: From Baseline to Final Configuration</w:t>
      </w:r>
    </w:p>
    <w:p>
      <w:pPr>
        <w:spacing w:after="140" w:before="0" w:line="280"/>
        <w:jc w:val="both"/>
      </w:pPr>
      <w:r>
        <w:rPr>
          <w:sz w:val="22"/>
          <w:szCs w:val="22"/>
        </w:rPr>
        <w:t xml:space="preserve">During the testing process, an initial run with default parameters revealed that while no responses were factually incorrect, several were notably incomplete. Specifically, four out of ten questions (Q3, Q4, Q6, Q7) had answers that omitted relevant items from enumerated lists in the corpus or, more critically, omitted explicit safety warnings. This pattern was consistent with a model bias toward concise summarization: Llama 3.1 8B at temperature 0.2 with a 512-token cap and only four retrieved chunks tended to compress lists down to the first two or three items.</w:t>
      </w:r>
    </w:p>
    <w:p>
      <w:pPr>
        <w:spacing w:after="140" w:before="0" w:line="280"/>
        <w:ind w:firstLine="360"/>
        <w:jc w:val="both"/>
      </w:pPr>
      <w:r>
        <w:rPr>
          <w:sz w:val="22"/>
          <w:szCs w:val="22"/>
        </w:rPr>
        <w:t xml:space="preserve">Four targeted modifications were applied to address this behavior, each corresponding to one of the four levers that govern RAG system quality:</w:t>
      </w:r>
    </w:p>
    <w:p>
      <w:pPr>
        <w:pStyle w:val="Heading2"/>
        <w:spacing w:after="160" w:before="280"/>
      </w:pPr>
      <w:r>
        <w:rPr>
          <w:rFonts w:ascii="Calibri" w:cs="Calibri" w:eastAsia="Calibri" w:hAnsi="Calibri"/>
          <w:b/>
          <w:bCs/>
          <w:color w:val="333333"/>
          <w:sz w:val="26"/>
          <w:szCs w:val="26"/>
        </w:rPr>
        <w:t xml:space="preserve">5.1 Lever 1 — System prompt rewrite</w:t>
      </w:r>
    </w:p>
    <w:p>
      <w:pPr>
        <w:spacing w:after="140" w:before="0" w:line="280"/>
        <w:jc w:val="both"/>
      </w:pPr>
      <w:r>
        <w:rPr>
          <w:sz w:val="22"/>
          <w:szCs w:val="22"/>
        </w:rPr>
        <w:t xml:space="preserve">The system prompt was rewritten to introduce three explicit completeness rules: (a) when the context contains a list of items, all relevant items must be surfaced — not merely the first two or three; (b) safety warnings present in the context must always be included in the response; (c) numerical values must be reproduced textually, not paraphrased or rounded. A formatting rule was also added to encourage numbered lists for multi-item answers.</w:t>
      </w:r>
    </w:p>
    <w:p>
      <w:pPr>
        <w:pStyle w:val="Heading2"/>
        <w:spacing w:after="160" w:before="280"/>
      </w:pPr>
      <w:r>
        <w:rPr>
          <w:rFonts w:ascii="Calibri" w:cs="Calibri" w:eastAsia="Calibri" w:hAnsi="Calibri"/>
          <w:b/>
          <w:bCs/>
          <w:color w:val="333333"/>
          <w:sz w:val="26"/>
          <w:szCs w:val="26"/>
        </w:rPr>
        <w:t xml:space="preserve">5.2 Lever 2 — Increased retrieval breadth (Top-K)</w:t>
      </w:r>
    </w:p>
    <w:p>
      <w:pPr>
        <w:spacing w:after="140" w:before="0" w:line="280"/>
        <w:jc w:val="both"/>
      </w:pPr>
      <w:r>
        <w:rPr>
          <w:sz w:val="22"/>
          <w:szCs w:val="22"/>
        </w:rPr>
        <w:t xml:space="preserve">The number of chunks retrieved per query was increased from 4 to 6. This provides the model with additional candidate context, reducing the probability that a relevant fragment is excluded from the prompt due to a marginally lower similarity score.</w:t>
      </w:r>
    </w:p>
    <w:p>
      <w:pPr>
        <w:pStyle w:val="Heading2"/>
        <w:spacing w:after="160" w:before="280"/>
      </w:pPr>
      <w:r>
        <w:rPr>
          <w:rFonts w:ascii="Calibri" w:cs="Calibri" w:eastAsia="Calibri" w:hAnsi="Calibri"/>
          <w:b/>
          <w:bCs/>
          <w:color w:val="333333"/>
          <w:sz w:val="26"/>
          <w:szCs w:val="26"/>
        </w:rPr>
        <w:t xml:space="preserve">5.3 Lever 3 — LLM parameter adjustment</w:t>
      </w:r>
    </w:p>
    <w:p>
      <w:pPr>
        <w:spacing w:after="140" w:before="0" w:line="280"/>
        <w:jc w:val="both"/>
      </w:pPr>
      <w:r>
        <w:rPr>
          <w:sz w:val="22"/>
          <w:szCs w:val="22"/>
        </w:rPr>
        <w:t xml:space="preserve">The maximum response length (num_predict) was raised from 512 to 800 tokens, eliminating mid-sentence truncation in long responses. The temperature was simultaneously reduced from 0.20 to 0.15 to further bias the model toward verbatim use of the retrieved context.</w:t>
      </w:r>
    </w:p>
    <w:p>
      <w:pPr>
        <w:pStyle w:val="Heading2"/>
        <w:spacing w:after="160" w:before="280"/>
      </w:pPr>
      <w:r>
        <w:rPr>
          <w:rFonts w:ascii="Calibri" w:cs="Calibri" w:eastAsia="Calibri" w:hAnsi="Calibri"/>
          <w:b/>
          <w:bCs/>
          <w:color w:val="333333"/>
          <w:sz w:val="26"/>
          <w:szCs w:val="26"/>
        </w:rPr>
        <w:t xml:space="preserve">5.4 Lever 4 — Larger chunks with greater overlap</w:t>
      </w:r>
    </w:p>
    <w:p>
      <w:pPr>
        <w:spacing w:after="140" w:before="0" w:line="280"/>
        <w:jc w:val="both"/>
      </w:pPr>
      <w:r>
        <w:rPr>
          <w:sz w:val="22"/>
          <w:szCs w:val="22"/>
        </w:rPr>
        <w:t xml:space="preserve">Chunk size was increased from 600 to 900 characters and overlap from 100 to 200 characters. Larger chunks preserve more semantic context per fragment and reduce the risk of important information being split across the boundary between two retrieved chunks. The corpus was reindexed from scratch with these new parameters.</w:t>
      </w:r>
    </w:p>
    <w:p>
      <w:pPr>
        <w:pStyle w:val="Heading2"/>
        <w:spacing w:after="160" w:before="280"/>
      </w:pPr>
      <w:r>
        <w:rPr>
          <w:rFonts w:ascii="Calibri" w:cs="Calibri" w:eastAsia="Calibri" w:hAnsi="Calibri"/>
          <w:b/>
          <w:bCs/>
          <w:color w:val="333333"/>
          <w:sz w:val="26"/>
          <w:szCs w:val="26"/>
        </w:rPr>
        <w:t xml:space="preserve">5.5 Quantitative impact</w:t>
      </w:r>
    </w:p>
    <w:p>
      <w:pPr>
        <w:spacing w:after="140" w:before="0" w:line="280"/>
        <w:jc w:val="both"/>
      </w:pPr>
      <w:r>
        <w:rPr>
          <w:sz w:val="22"/>
          <w:szCs w:val="22"/>
        </w:rPr>
        <w:t xml:space="preserve">The table below contrasts the configurations and the resulting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0B0B0" w:sz="4"/>
              <w:left w:val="single" w:color="B0B0B0" w:sz="4"/>
              <w:bottom w:val="single" w:color="B0B0B0" w:sz="4"/>
              <w:right w:val="single" w:color="B0B0B0" w:sz="4"/>
            </w:tcBorders>
            <w:shd w:fill="F2D9CB" w:val="clear"/>
            <w:tcMar>
              <w:top w:type="dxa" w:w="80"/>
              <w:left w:type="dxa" w:w="120"/>
              <w:bottom w:type="dxa" w:w="80"/>
              <w:right w:type="dxa" w:w="120"/>
            </w:tcMar>
          </w:tcPr>
          <w:p>
            <w:pPr>
              <w:jc w:val="center"/>
            </w:pPr>
            <w:r>
              <w:rPr>
                <w:b/>
                <w:bCs/>
                <w:sz w:val="20"/>
                <w:szCs w:val="20"/>
              </w:rPr>
              <w:t xml:space="preserve">Metric</w:t>
            </w:r>
          </w:p>
        </w:tc>
        <w:tc>
          <w:tcPr>
            <w:tcW w:type="dxa" w:w="2340"/>
            <w:tcBorders>
              <w:top w:val="single" w:color="B0B0B0" w:sz="4"/>
              <w:left w:val="single" w:color="B0B0B0" w:sz="4"/>
              <w:bottom w:val="single" w:color="B0B0B0" w:sz="4"/>
              <w:right w:val="single" w:color="B0B0B0" w:sz="4"/>
            </w:tcBorders>
            <w:shd w:fill="F2D9CB" w:val="clear"/>
            <w:tcMar>
              <w:top w:type="dxa" w:w="80"/>
              <w:left w:type="dxa" w:w="120"/>
              <w:bottom w:type="dxa" w:w="80"/>
              <w:right w:type="dxa" w:w="120"/>
            </w:tcMar>
          </w:tcPr>
          <w:p>
            <w:pPr>
              <w:jc w:val="center"/>
            </w:pPr>
            <w:r>
              <w:rPr>
                <w:b/>
                <w:bCs/>
                <w:sz w:val="20"/>
                <w:szCs w:val="20"/>
              </w:rPr>
              <w:t xml:space="preserve">Initial config</w:t>
            </w:r>
          </w:p>
        </w:tc>
        <w:tc>
          <w:tcPr>
            <w:tcW w:type="dxa" w:w="2340"/>
            <w:tcBorders>
              <w:top w:val="single" w:color="B0B0B0" w:sz="4"/>
              <w:left w:val="single" w:color="B0B0B0" w:sz="4"/>
              <w:bottom w:val="single" w:color="B0B0B0" w:sz="4"/>
              <w:right w:val="single" w:color="B0B0B0" w:sz="4"/>
            </w:tcBorders>
            <w:shd w:fill="F2D9CB" w:val="clear"/>
            <w:tcMar>
              <w:top w:type="dxa" w:w="80"/>
              <w:left w:type="dxa" w:w="120"/>
              <w:bottom w:type="dxa" w:w="80"/>
              <w:right w:type="dxa" w:w="120"/>
            </w:tcMar>
          </w:tcPr>
          <w:p>
            <w:pPr>
              <w:jc w:val="center"/>
            </w:pPr>
            <w:r>
              <w:rPr>
                <w:b/>
                <w:bCs/>
                <w:sz w:val="20"/>
                <w:szCs w:val="20"/>
              </w:rPr>
              <w:t xml:space="preserve">Tuned config</w:t>
            </w:r>
          </w:p>
        </w:tc>
      </w:tr>
      <w:tr>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19"/>
                <w:szCs w:val="19"/>
              </w:rPr>
              <w:t xml:space="preserve">Average response time</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15.1 s</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sz w:val="19"/>
                <w:szCs w:val="19"/>
              </w:rPr>
              <w:t xml:space="preserve">20.9 s</w:t>
            </w:r>
          </w:p>
        </w:tc>
      </w:tr>
      <w:tr>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19"/>
                <w:szCs w:val="19"/>
              </w:rPr>
              <w:t xml:space="preserve">Median response time</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11.5 s</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sz w:val="19"/>
                <w:szCs w:val="19"/>
              </w:rPr>
              <w:t xml:space="preserve">18.0 s</w:t>
            </w:r>
          </w:p>
        </w:tc>
      </w:tr>
      <w:tr>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19"/>
                <w:szCs w:val="19"/>
              </w:rPr>
              <w:t xml:space="preserve">Minimum response time</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8.7 s</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sz w:val="19"/>
                <w:szCs w:val="19"/>
              </w:rPr>
              <w:t xml:space="preserve">13.0 s</w:t>
            </w:r>
          </w:p>
        </w:tc>
      </w:tr>
      <w:tr>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19"/>
                <w:szCs w:val="19"/>
              </w:rPr>
              <w:t xml:space="preserve">Maximum response time</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29.5 s</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sz w:val="19"/>
                <w:szCs w:val="19"/>
              </w:rPr>
              <w:t xml:space="preserve">38.0 s</w:t>
            </w:r>
          </w:p>
        </w:tc>
      </w:tr>
      <w:tr>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19"/>
                <w:szCs w:val="19"/>
              </w:rPr>
              <w:t xml:space="preserve">Top-K retrieved chunks</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4</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sz w:val="19"/>
                <w:szCs w:val="19"/>
              </w:rPr>
              <w:t xml:space="preserve">6</w:t>
            </w:r>
          </w:p>
        </w:tc>
      </w:tr>
      <w:tr>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19"/>
                <w:szCs w:val="19"/>
              </w:rPr>
              <w:t xml:space="preserve">Maximum tokens generated</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512</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sz w:val="19"/>
                <w:szCs w:val="19"/>
              </w:rPr>
              <w:t xml:space="preserve">800</w:t>
            </w:r>
          </w:p>
        </w:tc>
      </w:tr>
      <w:tr>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19"/>
                <w:szCs w:val="19"/>
              </w:rPr>
              <w:t xml:space="preserve">Temperature</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0.20</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sz w:val="19"/>
                <w:szCs w:val="19"/>
              </w:rPr>
              <w:t xml:space="preserve">0.15</w:t>
            </w:r>
          </w:p>
        </w:tc>
      </w:tr>
      <w:tr>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19"/>
                <w:szCs w:val="19"/>
              </w:rPr>
              <w:t xml:space="preserve">Chunk size (chars)</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600</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sz w:val="19"/>
                <w:szCs w:val="19"/>
              </w:rPr>
              <w:t xml:space="preserve">900</w:t>
            </w:r>
          </w:p>
        </w:tc>
      </w:tr>
      <w:tr>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19"/>
                <w:szCs w:val="19"/>
              </w:rPr>
              <w:t xml:space="preserve">Chunk overlap (chars)</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100</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sz w:val="19"/>
                <w:szCs w:val="19"/>
              </w:rPr>
              <w:t xml:space="preserve">200</w:t>
            </w:r>
          </w:p>
        </w:tc>
      </w:tr>
      <w:tr>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19"/>
                <w:szCs w:val="19"/>
              </w:rPr>
              <w:t xml:space="preserve">Total indexed chunks</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~30</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sz w:val="19"/>
                <w:szCs w:val="19"/>
              </w:rPr>
              <w:t xml:space="preserve">~22</w:t>
            </w:r>
          </w:p>
        </w:tc>
      </w:tr>
      <w:tr>
        <w:tc>
          <w:tcPr>
            <w:tcW w:type="dxa" w:w="4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sz w:val="19"/>
                <w:szCs w:val="19"/>
              </w:rPr>
              <w:t xml:space="preserve">Average score (0–8)</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sz w:val="19"/>
                <w:szCs w:val="19"/>
              </w:rPr>
              <w:t xml:space="preserve">5.6 / 8</w:t>
            </w:r>
          </w:p>
        </w:tc>
        <w:tc>
          <w:tcPr>
            <w:tcW w:type="dxa" w:w="234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b/>
                <w:bCs/>
                <w:sz w:val="19"/>
                <w:szCs w:val="19"/>
              </w:rPr>
              <w:t xml:space="preserve">7.7 / 8</w:t>
            </w:r>
          </w:p>
        </w:tc>
      </w:tr>
    </w:tbl>
    <w:p>
      <w:pPr>
        <w:spacing w:after="140" w:before="0" w:line="280"/>
        <w:ind w:firstLine="360"/>
        <w:jc w:val="both"/>
      </w:pPr>
      <w:r>
        <w:rPr>
          <w:sz w:val="22"/>
          <w:szCs w:val="22"/>
        </w:rPr>
        <w:t xml:space="preserve">The tuning iteration delivered a substantial quality gain (overall score from 5.6 to 7.7 out of 8, a 38% relative improvement) at the cost of approximately 38% additional latency per query. This trade-off was deemed acceptable given the educational and informational nature of the assistant, where response completeness is more valuable than sub-second response time. After tuning, the chatbot consistently produced responses with the depth, structure, and safety warnings expected of a domain expert.</w:t>
      </w:r>
    </w:p>
    <w:p>
      <w:pPr>
        <w:pStyle w:val="Heading1"/>
        <w:spacing w:after="200" w:before="360"/>
      </w:pPr>
      <w:r>
        <w:rPr>
          <w:rFonts w:ascii="Calibri" w:cs="Calibri" w:eastAsia="Calibri" w:hAnsi="Calibri"/>
          <w:b/>
          <w:bCs/>
          <w:color w:val="C8500F"/>
          <w:sz w:val="32"/>
          <w:szCs w:val="32"/>
        </w:rPr>
        <w:t xml:space="preserve">6. Identified Limitations</w:t>
      </w:r>
    </w:p>
    <w:p>
      <w:pPr>
        <w:spacing w:after="140" w:before="0" w:line="280"/>
        <w:jc w:val="both"/>
      </w:pPr>
      <w:r>
        <w:rPr>
          <w:sz w:val="22"/>
          <w:szCs w:val="22"/>
        </w:rPr>
        <w:t xml:space="preserve">Honesty in identifying limitations is a core part of the critical analysis exercise. The following limitations were explicitly observed during testing and are documented here without minimization:</w:t>
      </w:r>
    </w:p>
    <w:p>
      <w:pPr>
        <w:pStyle w:val="Heading2"/>
        <w:spacing w:after="160" w:before="280"/>
      </w:pPr>
      <w:r>
        <w:rPr>
          <w:rFonts w:ascii="Calibri" w:cs="Calibri" w:eastAsia="Calibri" w:hAnsi="Calibri"/>
          <w:b/>
          <w:bCs/>
          <w:color w:val="333333"/>
          <w:sz w:val="26"/>
          <w:szCs w:val="26"/>
        </w:rPr>
        <w:t xml:space="preserve">6.1 Corpus limitations</w:t>
      </w:r>
    </w:p>
    <w:p>
      <w:pPr>
        <w:pStyle w:val="ListParagraph"/>
        <w:numPr>
          <w:ilvl w:val="0"/>
          <w:numId w:val="2"/>
        </w:numPr>
        <w:spacing w:after="80" w:line="280"/>
      </w:pPr>
      <w:r>
        <w:rPr>
          <w:sz w:val="22"/>
          <w:szCs w:val="22"/>
        </w:rPr>
        <w:t xml:space="preserve">Bounded coverage: the current corpus addresses only the five most-consulted automotive subsystems. Significant relevant domains are absent, including automatic transmission, suspension, electronic power steering, advanced climate control, and OBD-II onboard diagnostics.</w:t>
      </w:r>
    </w:p>
    <w:p>
      <w:pPr>
        <w:pStyle w:val="ListParagraph"/>
        <w:numPr>
          <w:ilvl w:val="0"/>
          <w:numId w:val="2"/>
        </w:numPr>
        <w:spacing w:after="80" w:line="280"/>
      </w:pPr>
      <w:r>
        <w:rPr>
          <w:sz w:val="22"/>
          <w:szCs w:val="22"/>
        </w:rPr>
        <w:t xml:space="preserve">Lack of brand and model granularity: the corpus contains generic information applicable to passenger vehicles in general. Make- and model-specific questions cannot be answered with the technical precision a real user would expect.</w:t>
      </w:r>
    </w:p>
    <w:p>
      <w:pPr>
        <w:pStyle w:val="ListParagraph"/>
        <w:numPr>
          <w:ilvl w:val="0"/>
          <w:numId w:val="2"/>
        </w:numPr>
        <w:spacing w:after="80" w:line="280"/>
      </w:pPr>
      <w:r>
        <w:rPr>
          <w:sz w:val="22"/>
          <w:szCs w:val="22"/>
        </w:rPr>
        <w:t xml:space="preserve">Limited depth per topic: each subsystem is summarized in approximately one document of moderate length. Sourcing equivalent-quality content from full manufacturer manuals would substantially deepen the system's response capability.</w:t>
      </w:r>
    </w:p>
    <w:p>
      <w:pPr>
        <w:pStyle w:val="Heading2"/>
        <w:spacing w:after="160" w:before="280"/>
      </w:pPr>
      <w:r>
        <w:rPr>
          <w:rFonts w:ascii="Calibri" w:cs="Calibri" w:eastAsia="Calibri" w:hAnsi="Calibri"/>
          <w:b/>
          <w:bCs/>
          <w:color w:val="333333"/>
          <w:sz w:val="26"/>
          <w:szCs w:val="26"/>
        </w:rPr>
        <w:t xml:space="preserve">6.2 LLM limitations</w:t>
      </w:r>
    </w:p>
    <w:p>
      <w:pPr>
        <w:pStyle w:val="ListParagraph"/>
        <w:numPr>
          <w:ilvl w:val="0"/>
          <w:numId w:val="2"/>
        </w:numPr>
        <w:spacing w:after="80" w:line="280"/>
      </w:pPr>
      <w:r>
        <w:rPr>
          <w:sz w:val="22"/>
          <w:szCs w:val="22"/>
        </w:rPr>
        <w:t xml:space="preserve">Model size: Llama 3.1 8B offers reasonable Q&amp;A performance but occasionally produces phrasing that deviates from the source intent in subtle ways (a phenomenon visible in the lubrication-of-water-pump function being relegated to an addendum in Question 6). Larger models (70B+) would mitigate this but cannot run within the 6 GB VRAM constraint of the available hardware.</w:t>
      </w:r>
    </w:p>
    <w:p>
      <w:pPr>
        <w:pStyle w:val="ListParagraph"/>
        <w:numPr>
          <w:ilvl w:val="0"/>
          <w:numId w:val="2"/>
        </w:numPr>
        <w:spacing w:after="80" w:line="280"/>
      </w:pPr>
      <w:r>
        <w:rPr>
          <w:sz w:val="22"/>
          <w:szCs w:val="22"/>
        </w:rPr>
        <w:t xml:space="preserve">Domain-redirection misfiring: in Question 10, the model erroneously prepended the out-of-domain redirection phrase before correctly answering an in-domain question. This indicates that the current system prompt's redirection rule is occasionally triggered by surface lexical patterns rather than by genuine semantic out-of-domain detection.</w:t>
      </w:r>
    </w:p>
    <w:p>
      <w:pPr>
        <w:pStyle w:val="ListParagraph"/>
        <w:numPr>
          <w:ilvl w:val="0"/>
          <w:numId w:val="2"/>
        </w:numPr>
        <w:spacing w:after="80" w:line="280"/>
      </w:pPr>
      <w:r>
        <w:rPr>
          <w:sz w:val="22"/>
          <w:szCs w:val="22"/>
        </w:rPr>
        <w:t xml:space="preserve">Q4_K_M quantization: the model is loaded in 4-bit weight-only quantization, which introduces marginal precision loss compared to full-precision inference. This is a necessary compromise to fit the model in the available 6 GB of VRAM.</w:t>
      </w:r>
    </w:p>
    <w:p>
      <w:pPr>
        <w:pStyle w:val="Heading2"/>
        <w:spacing w:after="160" w:before="280"/>
      </w:pPr>
      <w:r>
        <w:rPr>
          <w:rFonts w:ascii="Calibri" w:cs="Calibri" w:eastAsia="Calibri" w:hAnsi="Calibri"/>
          <w:b/>
          <w:bCs/>
          <w:color w:val="333333"/>
          <w:sz w:val="26"/>
          <w:szCs w:val="26"/>
        </w:rPr>
        <w:t xml:space="preserve">6.3 Retrieval system limitations</w:t>
      </w:r>
    </w:p>
    <w:p>
      <w:pPr>
        <w:pStyle w:val="ListParagraph"/>
        <w:numPr>
          <w:ilvl w:val="0"/>
          <w:numId w:val="2"/>
        </w:numPr>
        <w:spacing w:after="80" w:line="280"/>
      </w:pPr>
      <w:r>
        <w:rPr>
          <w:sz w:val="22"/>
          <w:szCs w:val="22"/>
        </w:rPr>
        <w:t xml:space="preserve">Character-based chunking: the current chunker splits text by character count, attempting only mild boundary alignment with sentence terminators. It does not respect higher-level structural elements such as headers, numbered lists, or step-by-step procedures. This can cause coherent procedures to be split across chunk boundaries.</w:t>
      </w:r>
    </w:p>
    <w:p>
      <w:pPr>
        <w:pStyle w:val="ListParagraph"/>
        <w:numPr>
          <w:ilvl w:val="0"/>
          <w:numId w:val="2"/>
        </w:numPr>
        <w:spacing w:after="80" w:line="280"/>
      </w:pPr>
      <w:r>
        <w:rPr>
          <w:sz w:val="22"/>
          <w:szCs w:val="22"/>
        </w:rPr>
        <w:t xml:space="preserve">Single-stage retrieval without re-ranking: retrieved chunks are ordered solely by cosine similarity to the query embedding. There is no second-pass cross-encoder re-ranking that could more finely weight chunk relevance, especially when surface-level lexical similarity does not align with semantic relevance.</w:t>
      </w:r>
    </w:p>
    <w:p>
      <w:pPr>
        <w:pStyle w:val="ListParagraph"/>
        <w:numPr>
          <w:ilvl w:val="0"/>
          <w:numId w:val="2"/>
        </w:numPr>
        <w:spacing w:after="80" w:line="280"/>
      </w:pPr>
      <w:r>
        <w:rPr>
          <w:sz w:val="22"/>
          <w:szCs w:val="22"/>
        </w:rPr>
        <w:t xml:space="preserve">Generic multilingual embeddings: the embedding model used (paraphrase-multilingual-MiniLM-L12-v2) is a general-purpose multilingual model not specifically fine-tuned for the automotive technical domain. Domain-adapted embeddings would likely improve retrieval precision on technical terminology.</w:t>
      </w:r>
    </w:p>
    <w:p>
      <w:pPr>
        <w:pStyle w:val="Heading2"/>
        <w:spacing w:after="160" w:before="280"/>
      </w:pPr>
      <w:r>
        <w:rPr>
          <w:rFonts w:ascii="Calibri" w:cs="Calibri" w:eastAsia="Calibri" w:hAnsi="Calibri"/>
          <w:b/>
          <w:bCs/>
          <w:color w:val="333333"/>
          <w:sz w:val="26"/>
          <w:szCs w:val="26"/>
        </w:rPr>
        <w:t xml:space="preserve">6.4 Performance limitations</w:t>
      </w:r>
    </w:p>
    <w:p>
      <w:pPr>
        <w:pStyle w:val="ListParagraph"/>
        <w:numPr>
          <w:ilvl w:val="0"/>
          <w:numId w:val="2"/>
        </w:numPr>
        <w:spacing w:after="80" w:line="280"/>
      </w:pPr>
      <w:r>
        <w:rPr>
          <w:sz w:val="22"/>
          <w:szCs w:val="22"/>
        </w:rPr>
        <w:t xml:space="preserve">Per-query latency: average end-to-end response time of 20.9 seconds is acceptable for an asynchronous informational assistant but is perceptibly slower than commercial cloud-hosted alternatives. The bottleneck is the LLM token generation step, fundamentally bounded by GPU compute capacity.</w:t>
      </w:r>
    </w:p>
    <w:p>
      <w:pPr>
        <w:pStyle w:val="ListParagraph"/>
        <w:numPr>
          <w:ilvl w:val="0"/>
          <w:numId w:val="2"/>
        </w:numPr>
        <w:spacing w:after="80" w:line="280"/>
      </w:pPr>
      <w:r>
        <w:rPr>
          <w:sz w:val="22"/>
          <w:szCs w:val="22"/>
        </w:rPr>
        <w:t xml:space="preserve">No conversational memory: each query is processed independently. The system cannot resolve follow-up questions that reference prior turns ("and what if my car is European?" after a generic answer).</w:t>
      </w:r>
    </w:p>
    <w:p>
      <w:pPr>
        <w:pStyle w:val="ListParagraph"/>
        <w:numPr>
          <w:ilvl w:val="0"/>
          <w:numId w:val="2"/>
        </w:numPr>
        <w:spacing w:after="80" w:line="280"/>
      </w:pPr>
      <w:r>
        <w:rPr>
          <w:sz w:val="22"/>
          <w:szCs w:val="22"/>
        </w:rPr>
        <w:t xml:space="preserve">No streaming output: the user must wait for the complete response before any text appears in the UI, amplifying the perceived latency. Token-by-token streaming would significantly improve user experience without changing total time.</w:t>
      </w:r>
    </w:p>
    <w:p>
      <w:pPr>
        <w:pStyle w:val="Heading1"/>
        <w:spacing w:after="200" w:before="360"/>
      </w:pPr>
      <w:r>
        <w:rPr>
          <w:rFonts w:ascii="Calibri" w:cs="Calibri" w:eastAsia="Calibri" w:hAnsi="Calibri"/>
          <w:b/>
          <w:bCs/>
          <w:color w:val="C8500F"/>
          <w:sz w:val="32"/>
          <w:szCs w:val="32"/>
        </w:rPr>
        <w:t xml:space="preserve">7. Improvement Proposals</w:t>
      </w:r>
    </w:p>
    <w:p>
      <w:pPr>
        <w:pStyle w:val="Heading2"/>
        <w:spacing w:after="160" w:before="280"/>
      </w:pPr>
      <w:r>
        <w:rPr>
          <w:rFonts w:ascii="Calibri" w:cs="Calibri" w:eastAsia="Calibri" w:hAnsi="Calibri"/>
          <w:b/>
          <w:bCs/>
          <w:color w:val="333333"/>
          <w:sz w:val="26"/>
          <w:szCs w:val="26"/>
        </w:rPr>
        <w:t xml:space="preserve">7.1 Corpus improvements</w:t>
      </w:r>
    </w:p>
    <w:p>
      <w:pPr>
        <w:pStyle w:val="ListParagraph"/>
        <w:numPr>
          <w:ilvl w:val="0"/>
          <w:numId w:val="2"/>
        </w:numPr>
        <w:spacing w:after="80" w:line="280"/>
      </w:pPr>
      <w:r>
        <w:rPr>
          <w:sz w:val="22"/>
          <w:szCs w:val="22"/>
        </w:rPr>
        <w:t xml:space="preserve">Expand the corpus with full manufacturer user manuals for the most common vehicles in the Chilean market (Toyota, Chevrolet, Hyundai, Suzuki, Kia).</w:t>
      </w:r>
    </w:p>
    <w:p>
      <w:pPr>
        <w:pStyle w:val="ListParagraph"/>
        <w:numPr>
          <w:ilvl w:val="0"/>
          <w:numId w:val="2"/>
        </w:numPr>
        <w:spacing w:after="80" w:line="280"/>
      </w:pPr>
      <w:r>
        <w:rPr>
          <w:sz w:val="22"/>
          <w:szCs w:val="22"/>
        </w:rPr>
        <w:t xml:space="preserve">Incorporate official guides from the SAG (Servicio Agrícola y Ganadero) and current technical inspection regulations published by Chilean MTT (Ministerio de Transportes).</w:t>
      </w:r>
    </w:p>
    <w:p>
      <w:pPr>
        <w:pStyle w:val="ListParagraph"/>
        <w:numPr>
          <w:ilvl w:val="0"/>
          <w:numId w:val="2"/>
        </w:numPr>
        <w:spacing w:after="80" w:line="280"/>
      </w:pPr>
      <w:r>
        <w:rPr>
          <w:sz w:val="22"/>
          <w:szCs w:val="22"/>
        </w:rPr>
        <w:t xml:space="preserve">Add curated transcripts and documentation from leading automotive technical channels and component manufacturer publications (Bosch, NGK, Castrol, Brembo).</w:t>
      </w:r>
    </w:p>
    <w:p>
      <w:pPr>
        <w:pStyle w:val="ListParagraph"/>
        <w:numPr>
          <w:ilvl w:val="0"/>
          <w:numId w:val="2"/>
        </w:numPr>
        <w:spacing w:after="80" w:line="280"/>
      </w:pPr>
      <w:r>
        <w:rPr>
          <w:sz w:val="22"/>
          <w:szCs w:val="22"/>
        </w:rPr>
        <w:t xml:space="preserve">Introduce structured metadata (vehicle make, model, year, subsystem) at the chunk level to enable filtered retrieval — e.g., questions about a specific vehicle could prioritize matching-metadata chunks.</w:t>
      </w:r>
    </w:p>
    <w:p>
      <w:pPr>
        <w:pStyle w:val="Heading2"/>
        <w:spacing w:after="160" w:before="280"/>
      </w:pPr>
      <w:r>
        <w:rPr>
          <w:rFonts w:ascii="Calibri" w:cs="Calibri" w:eastAsia="Calibri" w:hAnsi="Calibri"/>
          <w:b/>
          <w:bCs/>
          <w:color w:val="333333"/>
          <w:sz w:val="26"/>
          <w:szCs w:val="26"/>
        </w:rPr>
        <w:t xml:space="preserve">7.2 RAG pipeline improvements</w:t>
      </w:r>
    </w:p>
    <w:p>
      <w:pPr>
        <w:pStyle w:val="ListParagraph"/>
        <w:numPr>
          <w:ilvl w:val="0"/>
          <w:numId w:val="2"/>
        </w:numPr>
        <w:spacing w:after="80" w:line="280"/>
      </w:pPr>
      <w:r>
        <w:rPr>
          <w:sz w:val="22"/>
          <w:szCs w:val="22"/>
        </w:rPr>
        <w:t xml:space="preserve">Replace character-based chunking with structure-aware chunking that respects markdown headers, numbered lists, and table boundaries. Libraries such as LangChain's MarkdownHeaderTextSplitter or LlamaIndex's HierarchicalNodeParser implement this pattern.</w:t>
      </w:r>
    </w:p>
    <w:p>
      <w:pPr>
        <w:pStyle w:val="ListParagraph"/>
        <w:numPr>
          <w:ilvl w:val="0"/>
          <w:numId w:val="2"/>
        </w:numPr>
        <w:spacing w:after="80" w:line="280"/>
      </w:pPr>
      <w:r>
        <w:rPr>
          <w:sz w:val="22"/>
          <w:szCs w:val="22"/>
        </w:rPr>
        <w:t xml:space="preserve">Add a cross-encoder re-ranking stage after the initial vector retrieval. Models such as ms-marco-MiniLM or multilingual cross-encoders provide a second-pass relevance score that has been shown to outperform pure dense retrieval in most domain Q&amp;A tasks.</w:t>
      </w:r>
    </w:p>
    <w:p>
      <w:pPr>
        <w:pStyle w:val="ListParagraph"/>
        <w:numPr>
          <w:ilvl w:val="0"/>
          <w:numId w:val="2"/>
        </w:numPr>
        <w:spacing w:after="80" w:line="280"/>
      </w:pPr>
      <w:r>
        <w:rPr>
          <w:sz w:val="22"/>
          <w:szCs w:val="22"/>
        </w:rPr>
        <w:t xml:space="preserve">Evaluate domain-specialized embeddings or fine-tune the current embedding model on a small set of question-passage pairs derived from the corpus.</w:t>
      </w:r>
    </w:p>
    <w:p>
      <w:pPr>
        <w:pStyle w:val="ListParagraph"/>
        <w:numPr>
          <w:ilvl w:val="0"/>
          <w:numId w:val="2"/>
        </w:numPr>
        <w:spacing w:after="80" w:line="280"/>
      </w:pPr>
      <w:r>
        <w:rPr>
          <w:sz w:val="22"/>
          <w:szCs w:val="22"/>
        </w:rPr>
        <w:t xml:space="preserve">Implement Hybrid Search combining dense semantic retrieval with sparse BM25 keyword matching to better capture exact technical terms (e.g., "DOT 4", "ICD-10", or specific torque values).</w:t>
      </w:r>
    </w:p>
    <w:p>
      <w:pPr>
        <w:pStyle w:val="Heading2"/>
        <w:spacing w:after="160" w:before="280"/>
      </w:pPr>
      <w:r>
        <w:rPr>
          <w:rFonts w:ascii="Calibri" w:cs="Calibri" w:eastAsia="Calibri" w:hAnsi="Calibri"/>
          <w:b/>
          <w:bCs/>
          <w:color w:val="333333"/>
          <w:sz w:val="26"/>
          <w:szCs w:val="26"/>
        </w:rPr>
        <w:t xml:space="preserve">7.3 LLM improvements</w:t>
      </w:r>
    </w:p>
    <w:p>
      <w:pPr>
        <w:pStyle w:val="ListParagraph"/>
        <w:numPr>
          <w:ilvl w:val="0"/>
          <w:numId w:val="2"/>
        </w:numPr>
        <w:spacing w:after="80" w:line="280"/>
      </w:pPr>
      <w:r>
        <w:rPr>
          <w:sz w:val="22"/>
          <w:szCs w:val="22"/>
        </w:rPr>
        <w:t xml:space="preserve">Benchmark recent same-size alternatives: Llama 3.2 (newer pretraining), Qwen 2.5 7B (strong multilingual), and Gemma 2 9B (Google's open-weights model) against the current Llama 3.1 8B baseline using the same ten-question protocol.</w:t>
      </w:r>
    </w:p>
    <w:p>
      <w:pPr>
        <w:pStyle w:val="ListParagraph"/>
        <w:numPr>
          <w:ilvl w:val="0"/>
          <w:numId w:val="2"/>
        </w:numPr>
        <w:spacing w:after="80" w:line="280"/>
      </w:pPr>
      <w:r>
        <w:rPr>
          <w:sz w:val="22"/>
          <w:szCs w:val="22"/>
        </w:rPr>
        <w:t xml:space="preserve">Implement token-by-token streaming using Ollama's streaming API and Server-Sent Events on the FastAPI side. This is a high-impact UX improvement that does not change the underlying total response time.</w:t>
      </w:r>
    </w:p>
    <w:p>
      <w:pPr>
        <w:pStyle w:val="ListParagraph"/>
        <w:numPr>
          <w:ilvl w:val="0"/>
          <w:numId w:val="2"/>
        </w:numPr>
        <w:spacing w:after="80" w:line="280"/>
      </w:pPr>
      <w:r>
        <w:rPr>
          <w:sz w:val="22"/>
          <w:szCs w:val="22"/>
        </w:rPr>
        <w:t xml:space="preserve">Add multi-turn conversational memory by appending the last N user-assistant exchanges to the prompt, enabling natural follow-up question handling.</w:t>
      </w:r>
    </w:p>
    <w:p>
      <w:pPr>
        <w:pStyle w:val="ListParagraph"/>
        <w:numPr>
          <w:ilvl w:val="0"/>
          <w:numId w:val="2"/>
        </w:numPr>
        <w:spacing w:after="80" w:line="280"/>
      </w:pPr>
      <w:r>
        <w:rPr>
          <w:sz w:val="22"/>
          <w:szCs w:val="22"/>
        </w:rPr>
        <w:t xml:space="preserve">Refine the out-of-domain redirection rule in the system prompt to explicitly check the question content before triggering, eliminating the misfiring behavior observed in Question 10.</w:t>
      </w:r>
    </w:p>
    <w:p>
      <w:pPr>
        <w:pStyle w:val="Heading2"/>
        <w:spacing w:after="160" w:before="280"/>
      </w:pPr>
      <w:r>
        <w:rPr>
          <w:rFonts w:ascii="Calibri" w:cs="Calibri" w:eastAsia="Calibri" w:hAnsi="Calibri"/>
          <w:b/>
          <w:bCs/>
          <w:color w:val="333333"/>
          <w:sz w:val="26"/>
          <w:szCs w:val="26"/>
        </w:rPr>
        <w:t xml:space="preserve">7.4 Interface and user experience improvements</w:t>
      </w:r>
    </w:p>
    <w:p>
      <w:pPr>
        <w:pStyle w:val="ListParagraph"/>
        <w:numPr>
          <w:ilvl w:val="0"/>
          <w:numId w:val="2"/>
        </w:numPr>
        <w:spacing w:after="80" w:line="280"/>
      </w:pPr>
      <w:r>
        <w:rPr>
          <w:sz w:val="22"/>
          <w:szCs w:val="22"/>
        </w:rPr>
        <w:t xml:space="preserve">Introduce an explicit per-response feedback mechanism (👍/👎) with optional free-text comment, persisting feedback to a local database for offline analysis and as a source of fine-tuning signal.</w:t>
      </w:r>
    </w:p>
    <w:p>
      <w:pPr>
        <w:pStyle w:val="ListParagraph"/>
        <w:numPr>
          <w:ilvl w:val="0"/>
          <w:numId w:val="2"/>
        </w:numPr>
        <w:spacing w:after="80" w:line="280"/>
      </w:pPr>
      <w:r>
        <w:rPr>
          <w:sz w:val="22"/>
          <w:szCs w:val="22"/>
        </w:rPr>
        <w:t xml:space="preserve">Allow users to expand and inspect the source chunks used for each response, increasing transparency and enabling user-side fact-checking.</w:t>
      </w:r>
    </w:p>
    <w:p>
      <w:pPr>
        <w:pStyle w:val="ListParagraph"/>
        <w:numPr>
          <w:ilvl w:val="0"/>
          <w:numId w:val="2"/>
        </w:numPr>
        <w:spacing w:after="80" w:line="280"/>
      </w:pPr>
      <w:r>
        <w:rPr>
          <w:sz w:val="22"/>
          <w:szCs w:val="22"/>
        </w:rPr>
        <w:t xml:space="preserve">Display more prominent visual disclaimers on safety-critical queries (brakes, steering, suspension) given the potential consequences of misapplied advice.</w:t>
      </w:r>
    </w:p>
    <w:p>
      <w:pPr>
        <w:pStyle w:val="ListParagraph"/>
        <w:numPr>
          <w:ilvl w:val="0"/>
          <w:numId w:val="2"/>
        </w:numPr>
        <w:spacing w:after="80" w:line="280"/>
      </w:pPr>
      <w:r>
        <w:rPr>
          <w:sz w:val="22"/>
          <w:szCs w:val="22"/>
        </w:rPr>
        <w:t xml:space="preserve">Add a dark/light theme toggle and improved mobile responsiveness, broadening the system's accessibility.</w:t>
      </w:r>
    </w:p>
    <w:p>
      <w:pPr>
        <w:pStyle w:val="Heading1"/>
        <w:spacing w:after="200" w:before="360"/>
      </w:pPr>
      <w:r>
        <w:rPr>
          <w:rFonts w:ascii="Calibri" w:cs="Calibri" w:eastAsia="Calibri" w:hAnsi="Calibri"/>
          <w:b/>
          <w:bCs/>
          <w:color w:val="C8500F"/>
          <w:sz w:val="32"/>
          <w:szCs w:val="32"/>
        </w:rPr>
        <w:t xml:space="preserve">8. Conclusions</w:t>
      </w:r>
    </w:p>
    <w:p>
      <w:pPr>
        <w:spacing w:after="140" w:before="0" w:line="280"/>
        <w:jc w:val="both"/>
      </w:pPr>
      <w:r>
        <w:rPr>
          <w:sz w:val="22"/>
          <w:szCs w:val="22"/>
        </w:rPr>
        <w:t xml:space="preserve">The system developed in Phase 2 demonstrates that it is fully feasible to build a domain-specific conversational assistant using exclusively open-source components running on consumer-grade hardware (an NVIDIA GTX 1060 6 GB GPU released in 2016) without dependence on paid external services or cloud infrastructure. The Retrieval-Augmented Generation architecture proved well-suited to anchoring model responses to verifiable corpus content, substantially mitigating the hallucination problem that affects general-purpose generative models and faithfully fulfilling the Phase 2 requirement of building a chatbot "using prompt engineering and an LLM that answers questions using the gathered knowledge."</w:t>
      </w:r>
    </w:p>
    <w:p>
      <w:pPr>
        <w:spacing w:after="140" w:before="0" w:line="280"/>
        <w:ind w:firstLine="360"/>
        <w:jc w:val="both"/>
      </w:pPr>
      <w:r>
        <w:rPr>
          <w:sz w:val="22"/>
          <w:szCs w:val="22"/>
        </w:rPr>
        <w:t xml:space="preserve">Testing with the ten official validation questions produced a final overall score of 7.7 out of 8 (96% of the maximum), with all ten responses classified as factually correct and contextually grounded. Two questions presented minor incompleteness or formatting artifacts that are documented honestly in this report and explicitly addressed in the proposed improvements section.</w:t>
      </w:r>
    </w:p>
    <w:p>
      <w:pPr>
        <w:spacing w:after="140" w:before="0" w:line="280"/>
        <w:ind w:firstLine="360"/>
        <w:jc w:val="both"/>
      </w:pPr>
      <w:r>
        <w:rPr>
          <w:sz w:val="22"/>
          <w:szCs w:val="22"/>
        </w:rPr>
        <w:t xml:space="preserve">The tuning iteration documented in Section 5 illustrated a key engineering insight: the four levers governing RAG quality — system prompt design, retrieval breadth, LLM generation parameters, and chunking strategy — operate complementarily, and the highest gains are obtained when they are tuned jointly. Acting on only one of the four (for instance, raising Top-K alone without rewriting the prompt) would have produced a fraction of the observed improvement. This design lesson generalizes well beyond the present project to any RAG-based system.</w:t>
      </w:r>
    </w:p>
    <w:p>
      <w:pPr>
        <w:spacing w:after="140" w:before="0" w:line="280"/>
        <w:ind w:firstLine="360"/>
        <w:jc w:val="both"/>
      </w:pPr>
      <w:r>
        <w:rPr>
          <w:sz w:val="22"/>
          <w:szCs w:val="22"/>
        </w:rPr>
        <w:t xml:space="preserve">As a closing reflection, this project provided hands-on exposure to the complete construction pipeline of a modern production-grade NLP system: from domain selection and curation of source data, through architectural design of the retrieval and generation components, to local deployment of an open-source large language model, integration of a functional web interface, and rigorous critical evaluation of the resulting product. While bounded in scope and admittedly perfectible, the resulting system establishes a solid foundation upon which more specialized and robust versions could be developed by following the proposals detailed above. Most importantly, it confirmed that the practice of modern industrial NLP — leveraging pretrained foundation models with domain-specific retrieval rather than training from scratch — is accessible to a five-person student team working over a weekend on consumer hardware, which is a result of broader practical significance.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 UNAB · CINF104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Chatbot Testing Report — Automotive Mechanics Domain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C8500F"/>
      <w:sz w:val="32"/>
      <w:szCs w:val="32"/>
    </w:rPr>
  </w:style>
  <w:style w:type="paragraph" w:styleId="Heading2">
    <w:name w:val="Heading 2"/>
    <w:basedOn w:val="Normal"/>
    <w:next w:val="Normal"/>
    <w:qFormat/>
    <w:pPr>
      <w:spacing w:after="160" w:before="280"/>
      <w:outlineLvl w:val="1"/>
    </w:pPr>
    <w:rPr>
      <w:rFonts w:ascii="Calibri" w:cs="Calibri" w:eastAsia="Calibri" w:hAnsi="Calibri"/>
      <w:b/>
      <w:bCs/>
      <w:sz w:val="26"/>
      <w:szCs w:val="26"/>
    </w:rPr>
  </w:style>
  <w:style w:type="paragraph" w:styleId="Heading3">
    <w:name w:val="Heading 3"/>
    <w:basedOn w:val="Normal"/>
    <w:next w:val="Normal"/>
    <w:qFormat/>
    <w:pPr>
      <w:spacing w:after="120" w:before="20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Chatbot Testing Report — Phase 2</dc:title>
  <dc:creator>CINF104 Group — UNAB</dc:creator>
  <cp:lastModifiedBy>Un-named</cp:lastModifiedBy>
  <cp:revision>1</cp:revision>
  <dcterms:created xsi:type="dcterms:W3CDTF">2026-05-09T08:09:29.780Z</dcterms:created>
  <dcterms:modified xsi:type="dcterms:W3CDTF">2026-05-09T08:09:29.795Z</dcterms:modified>
</cp:coreProperties>
</file>

<file path=docProps/custom.xml><?xml version="1.0" encoding="utf-8"?>
<Properties xmlns="http://schemas.openxmlformats.org/officeDocument/2006/custom-properties" xmlns:vt="http://schemas.openxmlformats.org/officeDocument/2006/docPropsVTypes"/>
</file>